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C0" w:rsidRPr="008550FB" w:rsidRDefault="004B4AC0" w:rsidP="004B4AC0">
      <w:pPr>
        <w:pStyle w:val="Tekstpodstawowy"/>
        <w:pageBreakBefore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0F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W polskim systemie prawnym nie ma zdefiniowanego pojęcia budowli ochronnej (schronu lub ukrycia), a tym samym żaden podmiot ani organ nie jest wprost zobowiązany do prowadzenia ich ewidencji, konserwacji, planowania użycia i określenia sposobu przygotowania. 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Ostatnim aktem prawnym regulującym problematykę schronów było rozporządzenie Rady Ministrów z</w:t>
      </w:r>
      <w:r w:rsidR="0074264E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>dnia 28 września 1993 r. w sprawie obrony cyw</w:t>
      </w:r>
      <w:r w:rsidR="00F11650" w:rsidRPr="008069CB">
        <w:rPr>
          <w:rFonts w:ascii="Times New Roman" w:hAnsi="Times New Roman" w:cs="Times New Roman"/>
          <w:sz w:val="22"/>
          <w:szCs w:val="22"/>
        </w:rPr>
        <w:t>ilnej, wydane na podstawie art. </w:t>
      </w:r>
      <w:r w:rsidRPr="008069CB">
        <w:rPr>
          <w:rFonts w:ascii="Times New Roman" w:hAnsi="Times New Roman" w:cs="Times New Roman"/>
          <w:sz w:val="22"/>
          <w:szCs w:val="22"/>
        </w:rPr>
        <w:t>140 ustawy z dnia 21</w:t>
      </w:r>
      <w:r w:rsidR="0074264E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 xml:space="preserve">listopada 1967 r. o powszechnym obowiązku obrony Rzeczpospolitej Polskiej. Artykuł ten został uchylony </w:t>
      </w:r>
      <w:r w:rsidR="0074264E">
        <w:rPr>
          <w:rFonts w:ascii="Times New Roman" w:hAnsi="Times New Roman" w:cs="Times New Roman"/>
          <w:sz w:val="22"/>
          <w:szCs w:val="22"/>
        </w:rPr>
        <w:t>art.</w:t>
      </w:r>
      <w:r w:rsidRPr="008069CB">
        <w:rPr>
          <w:rFonts w:ascii="Times New Roman" w:hAnsi="Times New Roman" w:cs="Times New Roman"/>
          <w:sz w:val="22"/>
          <w:szCs w:val="22"/>
        </w:rPr>
        <w:t xml:space="preserve"> 1 pkt 63 ustawy z dnia 29 października 2003 r. o zmianie ustawy o powszechnym obowiązku obrony Rzeczypospolitej Polskiej oraz o zmianie niektórych innych ustaw (Dz.</w:t>
      </w:r>
      <w:r w:rsidR="00F11650" w:rsidRPr="008069CB">
        <w:rPr>
          <w:rFonts w:ascii="Times New Roman" w:hAnsi="Times New Roman" w:cs="Times New Roman"/>
          <w:sz w:val="22"/>
          <w:szCs w:val="22"/>
        </w:rPr>
        <w:t xml:space="preserve"> </w:t>
      </w:r>
      <w:r w:rsidRPr="008069CB">
        <w:rPr>
          <w:rFonts w:ascii="Times New Roman" w:hAnsi="Times New Roman" w:cs="Times New Roman"/>
          <w:sz w:val="22"/>
          <w:szCs w:val="22"/>
        </w:rPr>
        <w:t xml:space="preserve">U. poz. 2036) i utracił moc z dniem 1 lipca 2004 r. 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Ponadto, na podstawie obwieszczenia Rady Ministrów z dnia 18 grudnia 2001 r. w sprawie wykazu uchwał Rady Ministrów, zarządzeń i innych aktów normatywnych Prezesa Rady Ministrów, ministrów i innych organów administracji rządowej, które utraciły moc z dniem 30</w:t>
      </w:r>
      <w:r w:rsidR="00886A48" w:rsidRPr="008069CB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>marca 2001 r. (M.</w:t>
      </w:r>
      <w:r w:rsidR="0074264E">
        <w:rPr>
          <w:rFonts w:ascii="Times New Roman" w:hAnsi="Times New Roman" w:cs="Times New Roman"/>
          <w:sz w:val="22"/>
          <w:szCs w:val="22"/>
        </w:rPr>
        <w:t xml:space="preserve"> </w:t>
      </w:r>
      <w:r w:rsidRPr="008069CB">
        <w:rPr>
          <w:rFonts w:ascii="Times New Roman" w:hAnsi="Times New Roman" w:cs="Times New Roman"/>
          <w:sz w:val="22"/>
          <w:szCs w:val="22"/>
        </w:rPr>
        <w:t xml:space="preserve">P. </w:t>
      </w:r>
      <w:r w:rsidR="00EE7ECA">
        <w:rPr>
          <w:rFonts w:ascii="Times New Roman" w:hAnsi="Times New Roman" w:cs="Times New Roman"/>
          <w:sz w:val="22"/>
          <w:szCs w:val="22"/>
        </w:rPr>
        <w:t xml:space="preserve"> Nr </w:t>
      </w:r>
      <w:r w:rsidRPr="008069CB">
        <w:rPr>
          <w:rFonts w:ascii="Times New Roman" w:hAnsi="Times New Roman" w:cs="Times New Roman"/>
          <w:sz w:val="22"/>
          <w:szCs w:val="22"/>
        </w:rPr>
        <w:t xml:space="preserve">47, poz. 782), przestały obowiązywać m. in. następujące regulacje: </w:t>
      </w:r>
      <w:r w:rsidRPr="008069CB">
        <w:rPr>
          <w:rFonts w:ascii="Times New Roman" w:hAnsi="Times New Roman" w:cs="Times New Roman"/>
          <w:sz w:val="22"/>
          <w:szCs w:val="22"/>
        </w:rPr>
        <w:sym w:font="Symbol" w:char="F02D"/>
      </w:r>
      <w:r w:rsidRPr="008069CB">
        <w:rPr>
          <w:rFonts w:ascii="Times New Roman" w:hAnsi="Times New Roman" w:cs="Times New Roman"/>
          <w:sz w:val="22"/>
          <w:szCs w:val="22"/>
        </w:rPr>
        <w:t xml:space="preserve"> zarządzenie Nr 15 Ministra Budownictwa, Gospodarki Przestrzennej i Komunalnej z </w:t>
      </w:r>
      <w:r w:rsidR="00EE7ECA">
        <w:rPr>
          <w:rFonts w:ascii="Times New Roman" w:hAnsi="Times New Roman" w:cs="Times New Roman"/>
          <w:sz w:val="22"/>
          <w:szCs w:val="22"/>
        </w:rPr>
        <w:t xml:space="preserve">dnia </w:t>
      </w:r>
      <w:r w:rsidRPr="008069CB">
        <w:rPr>
          <w:rFonts w:ascii="Times New Roman" w:hAnsi="Times New Roman" w:cs="Times New Roman"/>
          <w:sz w:val="22"/>
          <w:szCs w:val="22"/>
        </w:rPr>
        <w:t>3</w:t>
      </w:r>
      <w:r w:rsidR="00886A48" w:rsidRPr="008069CB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>listopada 1986 r. w sprawie zasad wykorzystywania i eksploatacji budowli ochronnych, zmienione zarządzeniem Nr 6 z dnia 26 listopada 1990 r. określającym „Zasady modernizacji budowli o</w:t>
      </w:r>
      <w:r w:rsidR="00F11650" w:rsidRPr="008069CB">
        <w:rPr>
          <w:rFonts w:ascii="Times New Roman" w:hAnsi="Times New Roman" w:cs="Times New Roman"/>
          <w:sz w:val="22"/>
          <w:szCs w:val="22"/>
        </w:rPr>
        <w:t>chronnych” (Część II, poz. 93);</w:t>
      </w:r>
      <w:r w:rsidRPr="008069CB">
        <w:rPr>
          <w:rFonts w:ascii="Times New Roman" w:hAnsi="Times New Roman" w:cs="Times New Roman"/>
          <w:sz w:val="22"/>
          <w:szCs w:val="22"/>
        </w:rPr>
        <w:t xml:space="preserve"> zarządzenie Nr</w:t>
      </w:r>
      <w:r w:rsidR="0074264E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 xml:space="preserve">16 Ministra Budownictwa, Gospodarki Przestrzennej i Komunalnej z </w:t>
      </w:r>
      <w:r w:rsidR="00EE7ECA">
        <w:rPr>
          <w:rFonts w:ascii="Times New Roman" w:hAnsi="Times New Roman" w:cs="Times New Roman"/>
          <w:sz w:val="22"/>
          <w:szCs w:val="22"/>
        </w:rPr>
        <w:t xml:space="preserve">dnia </w:t>
      </w:r>
      <w:r w:rsidRPr="008069CB">
        <w:rPr>
          <w:rFonts w:ascii="Times New Roman" w:hAnsi="Times New Roman" w:cs="Times New Roman"/>
          <w:sz w:val="22"/>
          <w:szCs w:val="22"/>
        </w:rPr>
        <w:t xml:space="preserve">12 grudnia 1986 r. w sprawie zasad planowania przygotowania budowli ochronnych (część II, poz. 95). Po utracie mocy prawnej wymienionych przepisów nie zostały wprowadzone inne regulacje, określające w szczególności tryb, zasady budowy oraz utrzymania i przygotowywania budowli ochronnych. 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W związku z uchyleniem z dniem 23 kwietnia </w:t>
      </w:r>
      <w:r w:rsidR="00E31D0A" w:rsidRPr="008069CB">
        <w:rPr>
          <w:rFonts w:ascii="Times New Roman" w:hAnsi="Times New Roman" w:cs="Times New Roman"/>
          <w:sz w:val="22"/>
          <w:szCs w:val="22"/>
        </w:rPr>
        <w:t>2022</w:t>
      </w:r>
      <w:r w:rsidR="009D7CFE" w:rsidRPr="008069CB">
        <w:rPr>
          <w:rFonts w:ascii="Times New Roman" w:hAnsi="Times New Roman" w:cs="Times New Roman"/>
          <w:sz w:val="22"/>
          <w:szCs w:val="22"/>
        </w:rPr>
        <w:t xml:space="preserve"> r.</w:t>
      </w:r>
      <w:r w:rsidRPr="008069CB">
        <w:rPr>
          <w:rFonts w:ascii="Times New Roman" w:hAnsi="Times New Roman" w:cs="Times New Roman"/>
          <w:sz w:val="22"/>
          <w:szCs w:val="22"/>
        </w:rPr>
        <w:t xml:space="preserve"> ustawy o powszechnym obowiązku obrony Rzeczypospolitej Polskiej przestały obowiązywać wydane przez Szefa Obrony Cywilnej Kraju wytyczne z dnia 4 grudnia 2018 roku w sprawie zasad postępowania z zasobami budownictwa ochronnego. W tym akcie normatywnym zawarte były podstawowe założenia dot</w:t>
      </w:r>
      <w:r w:rsidR="0074264E">
        <w:rPr>
          <w:rFonts w:ascii="Times New Roman" w:hAnsi="Times New Roman" w:cs="Times New Roman"/>
          <w:sz w:val="22"/>
          <w:szCs w:val="22"/>
        </w:rPr>
        <w:t>yczące</w:t>
      </w:r>
      <w:r w:rsidRPr="008069CB">
        <w:rPr>
          <w:rFonts w:ascii="Times New Roman" w:hAnsi="Times New Roman" w:cs="Times New Roman"/>
          <w:sz w:val="22"/>
          <w:szCs w:val="22"/>
        </w:rPr>
        <w:t xml:space="preserve"> ewidencjonowania obiektów przewidzianych na cele ochronne dla ludności cywilnej z uwzględnieniem przyjętej klasyfikacji. W związku z powyższym, obecnie nie obowiązuje żaden akt prawny określający sposób zabezpieczenia i przygotowania obiektów mogących spełniać funkcję ochronną, przez co trudno jest ustalić jeden organ czy przepis wskazujący lub ustalający wprost odpowiedzialność za tę infrastrukturę. 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Jako przykład przytoczyć można chociaż</w:t>
      </w:r>
      <w:r w:rsidR="00EE7ECA">
        <w:rPr>
          <w:rFonts w:ascii="Times New Roman" w:hAnsi="Times New Roman" w:cs="Times New Roman"/>
          <w:sz w:val="22"/>
          <w:szCs w:val="22"/>
        </w:rPr>
        <w:t>by przepis art. 7 ust. 1 pkt 14</w:t>
      </w:r>
      <w:r w:rsidRPr="008069CB">
        <w:rPr>
          <w:rFonts w:ascii="Times New Roman" w:hAnsi="Times New Roman" w:cs="Times New Roman"/>
          <w:sz w:val="22"/>
          <w:szCs w:val="22"/>
        </w:rPr>
        <w:t xml:space="preserve"> ustawy</w:t>
      </w:r>
      <w:r w:rsidR="0074264E">
        <w:rPr>
          <w:rFonts w:ascii="Times New Roman" w:hAnsi="Times New Roman" w:cs="Times New Roman"/>
          <w:sz w:val="22"/>
          <w:szCs w:val="22"/>
        </w:rPr>
        <w:t xml:space="preserve"> z dnia 8 marca 1990 r.</w:t>
      </w:r>
      <w:r w:rsidRPr="008069CB">
        <w:rPr>
          <w:rFonts w:ascii="Times New Roman" w:hAnsi="Times New Roman" w:cs="Times New Roman"/>
          <w:sz w:val="22"/>
          <w:szCs w:val="22"/>
        </w:rPr>
        <w:t xml:space="preserve"> o</w:t>
      </w:r>
      <w:r w:rsidR="0074264E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>samorządzie gminnym, zgodnie z którym dbanie o porządek publiczny, bezpieczeństwo obywateli oraz prowadzenie działań z zakresu ochrony przeciwpożarowej i przeciwpowodziowej, należy do zadań własnych gminy. Powyższy przepis nie koliduje i w żaden sposób nie zwalnia z odpowiedzialności innych użytkowników, administratorów i zarządców obiektów, urządzeń czy instalacji będących infrastrukturą istotną z punktu widzenia bezpieczeństwa ludności. W</w:t>
      </w:r>
      <w:r w:rsidR="00886A48" w:rsidRPr="008069CB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>odniesieniu do obiektów, które mogą służyć zbiorowej ochronie ludności na wypadek konfliktu zbrojnego i ataku z powietrza obowiązek ich przygotowania i utrzymania spoczywa w obecnym stanie prawnym na ich zarządcach lub właścicielach. Wynika to z art. 61 ustawy z dnia 7 lipca 1994 r. - Prawo budowlane, zgodnie z którym właściciel lub zarządca obiektu budowlanego jest obowiązany zapewnić, dochowując należytej staranności, bezpieczne użytkowanie obiektu w razie wystąpienia czynników zewnętrznych odziaływujących na obiekt, związanych z działaniem człowieka lub sił natury, w wyniku których następuje uszkodzenie obiektu budowlanego lub bezpośrednie zagrożenie takim uszkodzeniem, mogące spowodować zagrożenie życia lub zdrowia ludzi, bezpieczeństwa mienia lub środowiska.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W związku z powyższym w zakresie przygotowania i utrzymania budowli do pełnienia funkcji ochronnych zastosowanie mają przepisy ogólne, ustalające ogólne obowiązki w oparciu o prawo własności lub prawo do dysponowania mieniem. Stan techniczny istniejących budowli ochronnych </w:t>
      </w:r>
      <w:r w:rsidRPr="008069CB">
        <w:rPr>
          <w:rFonts w:ascii="Times New Roman" w:hAnsi="Times New Roman" w:cs="Times New Roman"/>
          <w:sz w:val="22"/>
          <w:szCs w:val="22"/>
        </w:rPr>
        <w:lastRenderedPageBreak/>
        <w:t>(schronów i ukryć) w</w:t>
      </w:r>
      <w:r w:rsidR="00F11650" w:rsidRPr="008069CB">
        <w:rPr>
          <w:rFonts w:ascii="Times New Roman" w:hAnsi="Times New Roman" w:cs="Times New Roman"/>
          <w:sz w:val="22"/>
          <w:szCs w:val="22"/>
        </w:rPr>
        <w:t xml:space="preserve"> dalszym ciągu pozostaje niezado</w:t>
      </w:r>
      <w:r w:rsidRPr="008069CB">
        <w:rPr>
          <w:rFonts w:ascii="Times New Roman" w:hAnsi="Times New Roman" w:cs="Times New Roman"/>
          <w:sz w:val="22"/>
          <w:szCs w:val="22"/>
        </w:rPr>
        <w:t>walający. Znaczący wpływ na ten stan mają m.in. nadal niskie, w stosunku do istniejących potrzeb, wydatki na utrzymanie, konserwację oraz finansowanie utrzymania budowli ochronnych.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Mając na uwadze powyższe, w szczególności brak przepisów odnoszących się wprost do wymogów technicznych i zasad użytkowania obiektów ochronnych, a także mając na uwadze aktualną sytuację geopolityczną, tj. przede wszystkim konflikt zbrojny w graniczącej z Polską Ukrain</w:t>
      </w:r>
      <w:r w:rsidR="0074264E">
        <w:rPr>
          <w:rFonts w:ascii="Times New Roman" w:hAnsi="Times New Roman" w:cs="Times New Roman"/>
          <w:sz w:val="22"/>
          <w:szCs w:val="22"/>
        </w:rPr>
        <w:t>ie</w:t>
      </w:r>
      <w:r w:rsidRPr="008069CB">
        <w:rPr>
          <w:rFonts w:ascii="Times New Roman" w:hAnsi="Times New Roman" w:cs="Times New Roman"/>
          <w:sz w:val="22"/>
          <w:szCs w:val="22"/>
        </w:rPr>
        <w:t xml:space="preserve"> i wynikające z tego tytułu potencjalne zagrożenie dla ludności cywilnej należy uznać, że istnieje potrzeba uregulowania w przepisach powszechnie obowiązujących kwestii związanych z budową i utrzymaniem budowli ochronnych oraz dostosowywaniem budynków istniejących do pełnienia funkcji ochronnej. Zasadne jest zdefiniowanie w prawie terminu budowli ochronnej, schronu, ukrycia oraz określenie szczegółowych wymagań, jakim muszą odpowiadać, a także określenie sposobu prowadzenia ich ewidencji i przygotowywania na wypadek zagrożeń. 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Należy dążyć do zapewnienia adekwatnych środków finansowych na budowę oraz utrzymanie i konserwację istniejących już budowli ochronnych oraz zaangażować w to działanie jak największą liczbę podmiotów, w tym wspólnot i spółdzielni. Jako kierunek zmian prawnych należy przyjąć rozwiązania umożliwiające partycypację społeczeństwa w tworzeniu warunków dla ich bezpieczeństwa i możliwości schronienia, co byłoby skorelowane z nadawaniem powszechnego charakteru obronie cywilnej, zgodnie z postanowieniem Strategii Bezpieczeństwa Narodowego w części Odporność Państwa i Obrona Powszechna, cyt.: 2.1 Budować system obrony powszechnej w pełni wykorzystujący potencjał instytucji państwowych i samorządowych, podmiotów systemu edukacji i szkolnictwa wyższego, społeczności lokalnych, podmiotów gospodarczych, organizacji pozarządowych oraz obywateli, który będzie stanowił kompleksową odporność państwa na zagrożenia niemilitarne i militarne. </w:t>
      </w:r>
    </w:p>
    <w:p w:rsidR="004B4AC0" w:rsidRPr="008069CB" w:rsidRDefault="004B4AC0" w:rsidP="008069CB">
      <w:pPr>
        <w:pStyle w:val="Tekstpodstawowy"/>
        <w:widowControl w:val="0"/>
        <w:tabs>
          <w:tab w:val="left" w:pos="540"/>
        </w:tabs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Projektowana regulacja dotyczy uczestników procesu budowlanego oraz osób przygotowujących ukrycia doraźne w celu ochrony własnej. Rozporządzenie umożliwia projektowanie i realizowanie inwestycji związanych z obiektami zbiorowej ochrony zgodnie </w:t>
      </w:r>
      <w:r w:rsidR="00F11650" w:rsidRPr="008069CB">
        <w:rPr>
          <w:rFonts w:ascii="Times New Roman" w:hAnsi="Times New Roman" w:cs="Times New Roman"/>
          <w:sz w:val="22"/>
          <w:szCs w:val="22"/>
        </w:rPr>
        <w:t>z</w:t>
      </w:r>
      <w:r w:rsidRPr="008069CB">
        <w:rPr>
          <w:rFonts w:ascii="Times New Roman" w:hAnsi="Times New Roman" w:cs="Times New Roman"/>
          <w:sz w:val="22"/>
          <w:szCs w:val="22"/>
        </w:rPr>
        <w:t xml:space="preserve"> określonymi wymaganiami technicznymi i funkcjonalnymi oraz przygotowywanie ukryć doraźnych spełniających wymagania osłonowe. Zakłada się, że obiekty ochronne, w warunkach, w których nie będzie występowała konieczność zapewnienia ochrony ludności będą mogły być wykorzystywane do innych celów, np. do prowadzenia działalności gospodarczej (magazyny, pralnie, kluby, świetlice, itp.). </w:t>
      </w:r>
      <w:r w:rsidR="000C60C7" w:rsidRPr="008069CB">
        <w:rPr>
          <w:rFonts w:ascii="Times New Roman" w:hAnsi="Times New Roman" w:cs="Times New Roman"/>
          <w:sz w:val="22"/>
          <w:szCs w:val="22"/>
        </w:rPr>
        <w:t>Zakłada się, że</w:t>
      </w:r>
      <w:r w:rsidR="0074264E">
        <w:rPr>
          <w:rFonts w:ascii="Times New Roman" w:hAnsi="Times New Roman" w:cs="Times New Roman"/>
          <w:sz w:val="22"/>
          <w:szCs w:val="22"/>
        </w:rPr>
        <w:t> </w:t>
      </w:r>
      <w:r w:rsidR="000C60C7" w:rsidRPr="008069CB">
        <w:rPr>
          <w:rFonts w:ascii="Times New Roman" w:hAnsi="Times New Roman" w:cs="Times New Roman"/>
          <w:sz w:val="22"/>
          <w:szCs w:val="22"/>
        </w:rPr>
        <w:t>docelowo schrony i ukrycia zapewnią ochronę dla 50% ludności kraju. W rejonach znacznego skupiska ludzi, w których występują szczególne zagrożenia, np. obiektach wykorzystywanych przez siły zbrojne, obiektach infrastruktury krytycznej (lotniska, dworce, zakłady o kluczowym znaczeniu dla gospodarki) liczba budowli ochronnych będzie znacznie większa niż na obszarach słabiej zaludnionych, na których tego typu zagrożenia nie wystę</w:t>
      </w:r>
      <w:r w:rsidR="000722CA" w:rsidRPr="008069CB">
        <w:rPr>
          <w:rFonts w:ascii="Times New Roman" w:hAnsi="Times New Roman" w:cs="Times New Roman"/>
          <w:sz w:val="22"/>
          <w:szCs w:val="22"/>
        </w:rPr>
        <w:t>p</w:t>
      </w:r>
      <w:r w:rsidR="000C60C7" w:rsidRPr="008069CB">
        <w:rPr>
          <w:rFonts w:ascii="Times New Roman" w:hAnsi="Times New Roman" w:cs="Times New Roman"/>
          <w:sz w:val="22"/>
          <w:szCs w:val="22"/>
        </w:rPr>
        <w:t xml:space="preserve">ują. </w:t>
      </w:r>
    </w:p>
    <w:p w:rsidR="004B4AC0" w:rsidRPr="008069CB" w:rsidRDefault="004B4AC0" w:rsidP="008069CB">
      <w:pPr>
        <w:pStyle w:val="Tekstpodstawowy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Rozporządzenie określa warunki techniczne, jakim powinny odpowiadać obiekty zbiorowej ochrony i ich usytuowanie, w tym: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klasyfikację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usytuowania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ogólne wymagania bezpieczeństwa dla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pojemności i powierzchni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odporności obiektów zbiorowej ochrony, w tym dodatkowe wymagania w zakresie odporności schronów,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przeciwpożarowe dla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wymagania, jakie powinny spełniać wejścia i ciągi komunikacyjne w obiektach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lastRenderedPageBreak/>
        <w:t>wymagania, jakie powinny spełniać wyjścia zapasowe w obiektach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wymagania, jakie powinny spełniać pomieszczenia funkcji podstawowej oraz pomieszczenia socjalne w obiektach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wymagania, jakie powinny spełniać pomieszczenia strefy technicznej w obiektach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wymagania w zakresie wentylacji w obiektach zbiorowej ochrony, 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zaopatrzenia w wodę i odprowadzania ścieków w obiektach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zaopatrzenia w energię elektryczną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ogrzewania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urządzeń kontrolno-pomiarowych w obiektach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przykładowe rozwiązania ochronne w budownictwie jednorodzinnym,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techniczne w zakresie przystosowania istniejących obiektów budowanych na ukrycia doraźne oraz przygotowywania ukryć doraźnych w formie wolnostojącej,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rozwiązania osłonowe chroniące przed skutkami ekstremalnych zjawisk pogodowych.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stopnie przygotowania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warunki użytkowania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wymagania w zakresie obsługi bieżącej i konserwacji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zasady oznakowania obiektów zbiorowej ochrony,</w:t>
      </w:r>
    </w:p>
    <w:p w:rsidR="004B4AC0" w:rsidRPr="008069CB" w:rsidRDefault="004B4AC0" w:rsidP="008069CB">
      <w:pPr>
        <w:pStyle w:val="Tekstpodstawowy"/>
        <w:widowControl w:val="0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zasady prowadzenia graficznych planów zasobu obiektów zbiorowej ochrony.</w:t>
      </w:r>
    </w:p>
    <w:p w:rsidR="00427661" w:rsidRPr="008069CB" w:rsidRDefault="00427661" w:rsidP="008069CB">
      <w:pPr>
        <w:pStyle w:val="Tekstpodstawowy"/>
        <w:widowControl w:val="0"/>
        <w:spacing w:after="60"/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E07384" w:rsidRPr="00681D64" w:rsidRDefault="00E07384" w:rsidP="003810BC">
      <w:pPr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8069CB">
        <w:rPr>
          <w:rFonts w:ascii="Times New Roman" w:hAnsi="Times New Roman" w:cs="Times New Roman"/>
        </w:rPr>
        <w:t xml:space="preserve">Rozporządzenie ma charakter techniczny, tzn. wprowadza wymagania techniczne dla budowli ochronnych, które w zamierzeniu projektodawcy będą stanowiły podstawę do przeprowadzenia oceny stanu technicznego istniejących obiektów i ustalenie poziomu nakładów niezbędnych do ich przystosowania do parametrów budowli ochronnej. </w:t>
      </w:r>
      <w:r w:rsidR="00681D64">
        <w:rPr>
          <w:rFonts w:ascii="Times New Roman" w:eastAsiaTheme="minorHAnsi" w:hAnsi="Times New Roman" w:cs="Times New Roman"/>
          <w:bCs/>
          <w:kern w:val="0"/>
          <w:lang w:eastAsia="en-US"/>
        </w:rPr>
        <w:t>O</w:t>
      </w:r>
      <w:r w:rsidR="00681D64" w:rsidRPr="00681D64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przeznaczeniu obiektu budowlanego lub jego części do ochrony osób, urządzeń zapasów materiałowych lub innych dóbr materialnych będzie decydował zgodnie z przepisami budowlanymi inwestor w porozumieniu z właściwym organem administracji architektoniczno-budowlanej.</w:t>
      </w:r>
    </w:p>
    <w:p w:rsidR="001F79B4" w:rsidRPr="008069CB" w:rsidRDefault="001F79B4" w:rsidP="008069CB">
      <w:pPr>
        <w:pStyle w:val="Tekstpodstawowy"/>
        <w:widowControl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Projekt rozporządzenia podlega notyfikacji określonej w przepisach rozporządzenia Rady Ministrów z dnia 23 grudnia 2002 r.</w:t>
      </w:r>
      <w:r w:rsidRPr="008069CB">
        <w:rPr>
          <w:rFonts w:ascii="Times New Roman" w:hAnsi="Times New Roman" w:cs="Times New Roman"/>
          <w:i/>
          <w:iCs/>
          <w:sz w:val="22"/>
          <w:szCs w:val="22"/>
        </w:rPr>
        <w:t xml:space="preserve"> w sprawie sposobu funkcjonowania krajowego systemu notyfikacji norm i aktów prawnyc</w:t>
      </w:r>
      <w:r w:rsidRPr="008069CB">
        <w:rPr>
          <w:rFonts w:ascii="Times New Roman" w:hAnsi="Times New Roman" w:cs="Times New Roman"/>
          <w:sz w:val="22"/>
          <w:szCs w:val="22"/>
        </w:rPr>
        <w:t>h.</w:t>
      </w:r>
    </w:p>
    <w:p w:rsidR="001F79B4" w:rsidRPr="008069CB" w:rsidRDefault="001F79B4" w:rsidP="008069CB">
      <w:pPr>
        <w:pStyle w:val="Tekstpodstawowy"/>
        <w:widowControl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Projekt nie podlega dokonaniu oceny OSR przez koordynatora OSR w trybie § 32 uchwały nr 190 Rady Ministrów z dnia 29 października 2013 r.</w:t>
      </w:r>
      <w:r w:rsidRPr="008069CB">
        <w:rPr>
          <w:rFonts w:ascii="Times New Roman" w:hAnsi="Times New Roman" w:cs="Times New Roman"/>
          <w:i/>
          <w:iCs/>
          <w:sz w:val="22"/>
          <w:szCs w:val="22"/>
        </w:rPr>
        <w:t xml:space="preserve"> – Regulamin pracy Rady Ministrów</w:t>
      </w:r>
      <w:r w:rsidRPr="008069CB">
        <w:rPr>
          <w:rFonts w:ascii="Times New Roman" w:hAnsi="Times New Roman" w:cs="Times New Roman"/>
          <w:sz w:val="22"/>
          <w:szCs w:val="22"/>
        </w:rPr>
        <w:t>.</w:t>
      </w:r>
    </w:p>
    <w:p w:rsidR="001F79B4" w:rsidRPr="008069CB" w:rsidRDefault="001F79B4" w:rsidP="008069CB">
      <w:pPr>
        <w:pStyle w:val="Tekstpodstawowy"/>
        <w:widowControl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>W ocenie projektodawcy projekt</w:t>
      </w:r>
      <w:r w:rsidR="000379D9">
        <w:rPr>
          <w:rFonts w:ascii="Times New Roman" w:hAnsi="Times New Roman" w:cs="Times New Roman"/>
          <w:sz w:val="22"/>
          <w:szCs w:val="22"/>
        </w:rPr>
        <w:t xml:space="preserve"> </w:t>
      </w:r>
      <w:r w:rsidRPr="008069CB">
        <w:rPr>
          <w:rFonts w:ascii="Times New Roman" w:hAnsi="Times New Roman" w:cs="Times New Roman"/>
          <w:sz w:val="22"/>
          <w:szCs w:val="22"/>
        </w:rPr>
        <w:t xml:space="preserve">jest objęty </w:t>
      </w:r>
      <w:r w:rsidR="00A63B2E">
        <w:rPr>
          <w:rFonts w:ascii="Times New Roman" w:hAnsi="Times New Roman" w:cs="Times New Roman"/>
          <w:sz w:val="22"/>
          <w:szCs w:val="22"/>
        </w:rPr>
        <w:t xml:space="preserve">prawem Unii Europejskiej i </w:t>
      </w:r>
      <w:r w:rsidRPr="008069CB">
        <w:rPr>
          <w:rFonts w:ascii="Times New Roman" w:hAnsi="Times New Roman" w:cs="Times New Roman"/>
          <w:sz w:val="22"/>
          <w:szCs w:val="22"/>
        </w:rPr>
        <w:t>wymaga przedłożenia instytucjom i organom Unii Europejskiej oraz Europejskiemu Bankowi Centralnemu w</w:t>
      </w:r>
      <w:r w:rsidR="0074264E">
        <w:rPr>
          <w:rFonts w:ascii="Times New Roman" w:hAnsi="Times New Roman" w:cs="Times New Roman"/>
          <w:sz w:val="22"/>
          <w:szCs w:val="22"/>
        </w:rPr>
        <w:t> </w:t>
      </w:r>
      <w:r w:rsidRPr="008069CB">
        <w:rPr>
          <w:rFonts w:ascii="Times New Roman" w:hAnsi="Times New Roman" w:cs="Times New Roman"/>
          <w:sz w:val="22"/>
          <w:szCs w:val="22"/>
        </w:rPr>
        <w:t>celu uzyskania opinii, dokonania konsultacji lub uzgodnienia, o których mowa w § 39 uchwały nr 190 Rady Ministrów z dnia 29 października 2013 r.</w:t>
      </w:r>
      <w:r w:rsidRPr="008069CB">
        <w:rPr>
          <w:rFonts w:ascii="Times New Roman" w:hAnsi="Times New Roman" w:cs="Times New Roman"/>
          <w:i/>
          <w:iCs/>
          <w:sz w:val="22"/>
          <w:szCs w:val="22"/>
        </w:rPr>
        <w:t xml:space="preserve"> – Regulamin pracy Rady Ministrów</w:t>
      </w:r>
      <w:r w:rsidRPr="008069CB">
        <w:rPr>
          <w:rFonts w:ascii="Times New Roman" w:hAnsi="Times New Roman" w:cs="Times New Roman"/>
          <w:sz w:val="22"/>
          <w:szCs w:val="22"/>
        </w:rPr>
        <w:t>.</w:t>
      </w:r>
    </w:p>
    <w:p w:rsidR="004B4AC0" w:rsidRPr="008069CB" w:rsidRDefault="001F79B4" w:rsidP="008069CB">
      <w:pPr>
        <w:pStyle w:val="Tekstpodstawowy"/>
        <w:widowControl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8069CB">
        <w:rPr>
          <w:rFonts w:ascii="Times New Roman" w:hAnsi="Times New Roman" w:cs="Times New Roman"/>
          <w:sz w:val="22"/>
          <w:szCs w:val="22"/>
        </w:rPr>
        <w:t xml:space="preserve">Projekt rozporządzenia, stosownie do wymogów art. 5 ustawy z dnia 7 lipca 2005 r. o działalności lobbingowej w procesie stanowienia prawa oraz zgodnie z § 52 ust. 1 uchwały nr 190 Rady Ministrów z dnia 29 października 2013 r. </w:t>
      </w:r>
      <w:r w:rsidRPr="008069CB">
        <w:rPr>
          <w:rFonts w:ascii="Times New Roman" w:hAnsi="Times New Roman" w:cs="Times New Roman"/>
          <w:i/>
          <w:iCs/>
          <w:sz w:val="22"/>
          <w:szCs w:val="22"/>
        </w:rPr>
        <w:t>– Regulamin pracy Rady Ministrów</w:t>
      </w:r>
      <w:r w:rsidRPr="008069CB">
        <w:rPr>
          <w:rFonts w:ascii="Times New Roman" w:hAnsi="Times New Roman" w:cs="Times New Roman"/>
          <w:sz w:val="22"/>
          <w:szCs w:val="22"/>
        </w:rPr>
        <w:t>, został udostępniony w Biuletynie Informacji Publiczn</w:t>
      </w:r>
      <w:r w:rsidR="000965E3" w:rsidRPr="008069CB">
        <w:rPr>
          <w:rFonts w:ascii="Times New Roman" w:hAnsi="Times New Roman" w:cs="Times New Roman"/>
          <w:sz w:val="22"/>
          <w:szCs w:val="22"/>
        </w:rPr>
        <w:t>ej Rządowego Centrum Legislacji.</w:t>
      </w:r>
    </w:p>
    <w:p w:rsidR="008217E9" w:rsidRDefault="008217E9"/>
    <w:sectPr w:rsidR="008217E9" w:rsidSect="00381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1"/>
    <w:rsid w:val="000379D9"/>
    <w:rsid w:val="000722CA"/>
    <w:rsid w:val="000965E3"/>
    <w:rsid w:val="000C60C7"/>
    <w:rsid w:val="000D2BF6"/>
    <w:rsid w:val="00114260"/>
    <w:rsid w:val="0014593F"/>
    <w:rsid w:val="00146104"/>
    <w:rsid w:val="00171213"/>
    <w:rsid w:val="00195F69"/>
    <w:rsid w:val="001A7A32"/>
    <w:rsid w:val="001F79B4"/>
    <w:rsid w:val="00217F64"/>
    <w:rsid w:val="00220747"/>
    <w:rsid w:val="0022690A"/>
    <w:rsid w:val="002754C1"/>
    <w:rsid w:val="00350BCD"/>
    <w:rsid w:val="003810BC"/>
    <w:rsid w:val="003865E5"/>
    <w:rsid w:val="003F15B3"/>
    <w:rsid w:val="00427661"/>
    <w:rsid w:val="004B4AC0"/>
    <w:rsid w:val="004C6866"/>
    <w:rsid w:val="005F0682"/>
    <w:rsid w:val="006143CE"/>
    <w:rsid w:val="006736C6"/>
    <w:rsid w:val="00681D64"/>
    <w:rsid w:val="006A24C0"/>
    <w:rsid w:val="006C0C10"/>
    <w:rsid w:val="006F35E3"/>
    <w:rsid w:val="006F4B86"/>
    <w:rsid w:val="0074264E"/>
    <w:rsid w:val="00775F22"/>
    <w:rsid w:val="008069CB"/>
    <w:rsid w:val="008217E9"/>
    <w:rsid w:val="00886A48"/>
    <w:rsid w:val="008A3B4B"/>
    <w:rsid w:val="009635E3"/>
    <w:rsid w:val="009955A5"/>
    <w:rsid w:val="009D7CFE"/>
    <w:rsid w:val="00A4557C"/>
    <w:rsid w:val="00A63B2E"/>
    <w:rsid w:val="00AB3954"/>
    <w:rsid w:val="00AE2DAD"/>
    <w:rsid w:val="00B258FB"/>
    <w:rsid w:val="00B83301"/>
    <w:rsid w:val="00BE4B78"/>
    <w:rsid w:val="00C40092"/>
    <w:rsid w:val="00C4626B"/>
    <w:rsid w:val="00D5713B"/>
    <w:rsid w:val="00E07384"/>
    <w:rsid w:val="00E27321"/>
    <w:rsid w:val="00E31364"/>
    <w:rsid w:val="00E31D0A"/>
    <w:rsid w:val="00E776B5"/>
    <w:rsid w:val="00E94ED1"/>
    <w:rsid w:val="00EB1FE7"/>
    <w:rsid w:val="00EE7ECA"/>
    <w:rsid w:val="00EF3B33"/>
    <w:rsid w:val="00F11650"/>
    <w:rsid w:val="00F7051C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107B-2106-44F4-9D39-771F010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C0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4AC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4AC0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F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Wojciech</dc:creator>
  <cp:keywords/>
  <dc:description/>
  <cp:lastModifiedBy>Kawałek Ireneusz</cp:lastModifiedBy>
  <cp:revision>2</cp:revision>
  <cp:lastPrinted>2023-11-14T14:46:00Z</cp:lastPrinted>
  <dcterms:created xsi:type="dcterms:W3CDTF">2024-03-08T07:09:00Z</dcterms:created>
  <dcterms:modified xsi:type="dcterms:W3CDTF">2024-03-08T07:09:00Z</dcterms:modified>
</cp:coreProperties>
</file>