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CFC2" w14:textId="60991C1C" w:rsidR="00EA300B" w:rsidRPr="00EF5AC7" w:rsidRDefault="00EA300B" w:rsidP="00EA300B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3366FF"/>
          <w:lang w:eastAsia="pl-PL"/>
        </w:rPr>
      </w:pPr>
      <w:bookmarkStart w:id="0" w:name="_Toc70588118"/>
      <w:r w:rsidRPr="00EF5AC7">
        <w:rPr>
          <w:rFonts w:ascii="Arial" w:eastAsia="Times New Roman" w:hAnsi="Arial" w:cs="Arial"/>
          <w:b/>
          <w:bCs/>
          <w:color w:val="3366FF"/>
          <w:lang w:eastAsia="pl-PL"/>
        </w:rPr>
        <w:t>Komponent B „Zielona energia i zmniejszenie energochłonności”</w:t>
      </w:r>
      <w:bookmarkEnd w:id="0"/>
      <w:r w:rsidRPr="00EF5AC7">
        <w:rPr>
          <w:rFonts w:ascii="Arial" w:eastAsia="Times New Roman" w:hAnsi="Arial" w:cs="Arial"/>
          <w:b/>
          <w:bCs/>
          <w:color w:val="3366FF"/>
          <w:lang w:eastAsia="pl-PL"/>
        </w:rPr>
        <w:t xml:space="preserve"> </w:t>
      </w:r>
    </w:p>
    <w:p w14:paraId="1C773D9A" w14:textId="4F09625F" w:rsidR="004E26CC" w:rsidRPr="00EF5AC7" w:rsidRDefault="008A4874" w:rsidP="00EA300B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F5AC7">
        <w:rPr>
          <w:rFonts w:ascii="Arial" w:eastAsia="Times New Roman" w:hAnsi="Arial" w:cs="Arial"/>
          <w:b/>
          <w:bCs/>
          <w:u w:val="single"/>
          <w:lang w:eastAsia="pl-PL"/>
        </w:rPr>
        <w:t>REFORMA:</w:t>
      </w:r>
      <w:r w:rsidRPr="00EF5AC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E26CC" w:rsidRPr="00EF5AC7">
        <w:rPr>
          <w:rFonts w:ascii="Arial" w:eastAsia="Times New Roman" w:hAnsi="Arial" w:cs="Arial"/>
          <w:b/>
          <w:bCs/>
          <w:lang w:eastAsia="pl-PL"/>
        </w:rPr>
        <w:t>B3.4. Ramowe warunki dla inwestycji w zieloną transformację na obszarach miejskich</w:t>
      </w:r>
    </w:p>
    <w:p w14:paraId="0399FBE1" w14:textId="2C2B592B" w:rsidR="00EA300B" w:rsidRPr="00EF5AC7" w:rsidRDefault="008A4874" w:rsidP="00EA300B">
      <w:pPr>
        <w:keepNext/>
        <w:spacing w:before="120" w:after="120" w:line="264" w:lineRule="auto"/>
        <w:jc w:val="both"/>
        <w:rPr>
          <w:rFonts w:ascii="Arial" w:eastAsia="Times New Roman" w:hAnsi="Arial" w:cs="Arial"/>
          <w:b/>
          <w:spacing w:val="6"/>
          <w:lang w:eastAsia="pl-PL"/>
        </w:rPr>
      </w:pPr>
      <w:r w:rsidRPr="00EF5AC7">
        <w:rPr>
          <w:rFonts w:ascii="Arial" w:eastAsia="Times New Roman" w:hAnsi="Arial" w:cs="Arial"/>
          <w:b/>
          <w:spacing w:val="6"/>
          <w:u w:val="single"/>
          <w:lang w:eastAsia="pl-PL"/>
        </w:rPr>
        <w:t>INWESTYCJA:</w:t>
      </w:r>
      <w:r w:rsidRPr="00EF5AC7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 w:rsidR="00EA300B" w:rsidRPr="00EF5AC7">
        <w:rPr>
          <w:rFonts w:ascii="Arial" w:eastAsia="Times New Roman" w:hAnsi="Arial" w:cs="Arial"/>
          <w:b/>
          <w:spacing w:val="6"/>
          <w:lang w:eastAsia="pl-PL"/>
        </w:rPr>
        <w:t>B3.4.1. Inwestycje na rzecz</w:t>
      </w:r>
      <w:r w:rsidR="00010219" w:rsidRPr="00EF5AC7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 w:rsidR="00EA300B" w:rsidRPr="00EF5AC7">
        <w:rPr>
          <w:rFonts w:ascii="Arial" w:eastAsia="Times New Roman" w:hAnsi="Arial" w:cs="Arial"/>
          <w:b/>
          <w:spacing w:val="6"/>
          <w:lang w:eastAsia="pl-PL"/>
        </w:rPr>
        <w:t xml:space="preserve">zielonej transformacji miast </w:t>
      </w:r>
    </w:p>
    <w:p w14:paraId="60322C61" w14:textId="77777777" w:rsidR="00010219" w:rsidRPr="00EF5AC7" w:rsidRDefault="00010219" w:rsidP="00832BFA">
      <w:pPr>
        <w:keepNext/>
        <w:spacing w:after="120" w:line="240" w:lineRule="auto"/>
        <w:jc w:val="center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</w:p>
    <w:p w14:paraId="2A31BCA7" w14:textId="16088710" w:rsidR="00832BFA" w:rsidRPr="00EF5AC7" w:rsidRDefault="00EA300B" w:rsidP="00832BFA">
      <w:pPr>
        <w:keepNext/>
        <w:spacing w:after="120" w:line="240" w:lineRule="auto"/>
        <w:jc w:val="center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  <w:r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>Instrument Zielonej Transformacji Miast</w:t>
      </w:r>
      <w:r w:rsidR="00832BFA"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 xml:space="preserve"> - </w:t>
      </w:r>
    </w:p>
    <w:p w14:paraId="1530AC70" w14:textId="5DA53576" w:rsidR="00832BFA" w:rsidRPr="00EF5AC7" w:rsidRDefault="00832BFA" w:rsidP="00832BFA">
      <w:pPr>
        <w:keepNext/>
        <w:spacing w:after="120" w:line="240" w:lineRule="auto"/>
        <w:jc w:val="center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  <w:r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>Zmiany w związku z rewizją KPO</w:t>
      </w:r>
    </w:p>
    <w:p w14:paraId="3AE5BA9F" w14:textId="77777777" w:rsidR="00832BFA" w:rsidRPr="00EF5AC7" w:rsidRDefault="00832BFA" w:rsidP="00EA300B">
      <w:pPr>
        <w:keepNext/>
        <w:spacing w:after="120" w:line="240" w:lineRule="auto"/>
        <w:jc w:val="both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</w:p>
    <w:p w14:paraId="34C0A5CB" w14:textId="02141608" w:rsidR="00832BFA" w:rsidRPr="00EF5AC7" w:rsidRDefault="00832BFA" w:rsidP="00832BFA">
      <w:pPr>
        <w:spacing w:after="12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pl-PL"/>
        </w:rPr>
      </w:pPr>
      <w:r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 xml:space="preserve">Budżet Instrumentu: </w:t>
      </w:r>
      <w:r w:rsidRPr="00EF5AC7">
        <w:rPr>
          <w:rFonts w:ascii="Arial" w:eastAsia="Times New Roman" w:hAnsi="Arial" w:cs="Arial"/>
          <w:bCs/>
          <w:lang w:eastAsia="pl-PL"/>
        </w:rPr>
        <w:t>Zwiększenie z 2 800 000 000 EUR do 8 879 059 920 EUR</w:t>
      </w:r>
    </w:p>
    <w:p w14:paraId="41CA3E85" w14:textId="77777777" w:rsidR="00EF5AC7" w:rsidRPr="00EF5AC7" w:rsidRDefault="00EF5AC7" w:rsidP="00EA300B">
      <w:pPr>
        <w:keepNext/>
        <w:spacing w:after="120" w:line="240" w:lineRule="auto"/>
        <w:jc w:val="both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</w:p>
    <w:p w14:paraId="30CB66EE" w14:textId="10C805E3" w:rsidR="00010219" w:rsidRPr="006526C9" w:rsidRDefault="00EF5AC7" w:rsidP="00EA300B">
      <w:pPr>
        <w:keepNext/>
        <w:spacing w:after="120" w:line="240" w:lineRule="auto"/>
        <w:jc w:val="both"/>
        <w:rPr>
          <w:rFonts w:ascii="Arial" w:eastAsia="Times New Roman" w:hAnsi="Arial" w:cs="Arial"/>
          <w:b/>
          <w:color w:val="FF0000"/>
          <w:shd w:val="clear" w:color="auto" w:fill="DBE5F1"/>
          <w:lang w:eastAsia="pl-PL"/>
        </w:rPr>
      </w:pPr>
      <w:r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>Okres wdrażania:</w:t>
      </w:r>
      <w:r w:rsidR="00BD35EA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 xml:space="preserve"> </w:t>
      </w:r>
      <w:r w:rsidR="00BD35EA" w:rsidRPr="00BD35EA">
        <w:rPr>
          <w:rFonts w:ascii="Arial" w:hAnsi="Arial" w:cs="Arial"/>
        </w:rPr>
        <w:t>IV kw. 2022 r. – III kwartał 2026 r.</w:t>
      </w:r>
    </w:p>
    <w:p w14:paraId="0E24FBBB" w14:textId="77777777" w:rsidR="00EF5AC7" w:rsidRPr="00EF5AC7" w:rsidRDefault="00EF5AC7" w:rsidP="00EA300B">
      <w:pPr>
        <w:keepNext/>
        <w:spacing w:after="120" w:line="240" w:lineRule="auto"/>
        <w:jc w:val="both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</w:p>
    <w:p w14:paraId="06321B81" w14:textId="06CD543A" w:rsidR="00832BFA" w:rsidRPr="00EF5AC7" w:rsidRDefault="00832BFA" w:rsidP="00EA300B">
      <w:pPr>
        <w:keepNext/>
        <w:spacing w:after="120" w:line="240" w:lineRule="auto"/>
        <w:jc w:val="both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  <w:r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>Wskaźniki:</w:t>
      </w:r>
    </w:p>
    <w:p w14:paraId="12A4EEEA" w14:textId="7F888363" w:rsidR="00C24F44" w:rsidRDefault="00A057C0" w:rsidP="00832BFA">
      <w:pPr>
        <w:keepNext/>
        <w:spacing w:after="120" w:line="240" w:lineRule="auto"/>
        <w:jc w:val="both"/>
        <w:rPr>
          <w:rFonts w:ascii="Arial" w:hAnsi="Arial" w:cs="Arial"/>
        </w:rPr>
      </w:pPr>
      <w:r w:rsidRPr="00EF5AC7">
        <w:rPr>
          <w:rFonts w:ascii="Arial" w:hAnsi="Arial" w:cs="Arial"/>
        </w:rPr>
        <w:t>Liczba zawartych umów pożyczkowych</w:t>
      </w:r>
      <w:r w:rsidR="000354F8">
        <w:rPr>
          <w:rFonts w:ascii="Arial" w:hAnsi="Arial" w:cs="Arial"/>
        </w:rPr>
        <w:t xml:space="preserve"> </w:t>
      </w:r>
      <w:r w:rsidR="00C24F44">
        <w:rPr>
          <w:rFonts w:ascii="Arial" w:hAnsi="Arial" w:cs="Arial"/>
        </w:rPr>
        <w:t xml:space="preserve">dla </w:t>
      </w:r>
      <w:r w:rsidR="00C07D43" w:rsidRPr="00C07D43">
        <w:rPr>
          <w:rFonts w:ascii="Arial" w:hAnsi="Arial" w:cs="Arial"/>
        </w:rPr>
        <w:t xml:space="preserve">639 </w:t>
      </w:r>
      <w:r w:rsidR="00C07D43">
        <w:rPr>
          <w:rFonts w:ascii="Arial" w:hAnsi="Arial" w:cs="Arial"/>
        </w:rPr>
        <w:t>projektów</w:t>
      </w:r>
      <w:r w:rsidR="00A4445B">
        <w:rPr>
          <w:rFonts w:ascii="Arial" w:hAnsi="Arial" w:cs="Arial"/>
        </w:rPr>
        <w:t xml:space="preserve"> (</w:t>
      </w:r>
      <w:r w:rsidR="00A4445B" w:rsidRPr="00C07D43">
        <w:rPr>
          <w:rFonts w:ascii="Arial" w:hAnsi="Arial" w:cs="Arial"/>
        </w:rPr>
        <w:t>60 w miastach dużych, 439 w miastach średnich i 140 w miastach małych</w:t>
      </w:r>
      <w:r w:rsidR="00A4445B">
        <w:rPr>
          <w:rFonts w:ascii="Arial" w:hAnsi="Arial" w:cs="Arial"/>
        </w:rPr>
        <w:t>)</w:t>
      </w:r>
      <w:r w:rsidR="00C07D43">
        <w:rPr>
          <w:rFonts w:ascii="Arial" w:hAnsi="Arial" w:cs="Arial"/>
        </w:rPr>
        <w:t>, w tym</w:t>
      </w:r>
      <w:r w:rsidR="00C07D43" w:rsidRPr="00C07D43">
        <w:rPr>
          <w:rFonts w:ascii="Arial" w:hAnsi="Arial" w:cs="Arial"/>
        </w:rPr>
        <w:t xml:space="preserve">: </w:t>
      </w:r>
    </w:p>
    <w:p w14:paraId="7F07F123" w14:textId="0A4A3F27" w:rsidR="001C6E60" w:rsidRDefault="00C24F44" w:rsidP="001C6E60">
      <w:pPr>
        <w:keepNext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D3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 umów do </w:t>
      </w:r>
      <w:r w:rsidRPr="00EF5AC7">
        <w:rPr>
          <w:rFonts w:ascii="Arial" w:hAnsi="Arial" w:cs="Arial"/>
        </w:rPr>
        <w:t>31.12.2024 r.</w:t>
      </w:r>
    </w:p>
    <w:p w14:paraId="5968B46E" w14:textId="5D657BD4" w:rsidR="001C6E60" w:rsidRPr="00EF5AC7" w:rsidRDefault="001C6E60" w:rsidP="001C6E60">
      <w:pPr>
        <w:keepNext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D35EA">
        <w:rPr>
          <w:rFonts w:ascii="Arial" w:hAnsi="Arial" w:cs="Arial"/>
        </w:rPr>
        <w:t xml:space="preserve"> </w:t>
      </w:r>
      <w:r w:rsidRPr="00EF5AC7">
        <w:rPr>
          <w:rFonts w:ascii="Arial" w:hAnsi="Arial" w:cs="Arial"/>
        </w:rPr>
        <w:t>438 umów do 31.12.2025 r.</w:t>
      </w:r>
    </w:p>
    <w:p w14:paraId="24F85C03" w14:textId="0C0EE379" w:rsidR="001C6E60" w:rsidRDefault="00A4445B" w:rsidP="00A4445B">
      <w:pPr>
        <w:keepNext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0EF9B3DD" w14:textId="3E58DCD2" w:rsidR="00C24F44" w:rsidRDefault="00A4445B" w:rsidP="00832BFA">
      <w:pPr>
        <w:keepNext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zakończenie realizacji 390 projektów (spośród ww. 639) </w:t>
      </w:r>
      <w:r w:rsidR="000126B6">
        <w:rPr>
          <w:rFonts w:ascii="Arial" w:hAnsi="Arial" w:cs="Arial"/>
        </w:rPr>
        <w:t xml:space="preserve">do </w:t>
      </w:r>
      <w:r w:rsidR="000126B6" w:rsidRPr="000F5D5B">
        <w:rPr>
          <w:rFonts w:ascii="Arial" w:hAnsi="Arial" w:cs="Arial"/>
        </w:rPr>
        <w:t xml:space="preserve">30.09.2026 r. </w:t>
      </w:r>
    </w:p>
    <w:p w14:paraId="721C2938" w14:textId="77777777" w:rsidR="00F14C97" w:rsidRDefault="00F14C97" w:rsidP="00832BFA">
      <w:pPr>
        <w:keepNext/>
        <w:spacing w:after="120" w:line="240" w:lineRule="auto"/>
        <w:jc w:val="both"/>
        <w:rPr>
          <w:rFonts w:ascii="Arial" w:hAnsi="Arial" w:cs="Arial"/>
        </w:rPr>
      </w:pPr>
    </w:p>
    <w:p w14:paraId="2E625557" w14:textId="28B19705" w:rsidR="00EA300B" w:rsidRPr="00EF5AC7" w:rsidRDefault="00A057C0" w:rsidP="00EA300B">
      <w:pPr>
        <w:keepNext/>
        <w:spacing w:after="120" w:line="240" w:lineRule="auto"/>
        <w:jc w:val="both"/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</w:pPr>
      <w:r w:rsidRPr="00EF5AC7">
        <w:rPr>
          <w:rFonts w:ascii="Arial" w:eastAsia="Times New Roman" w:hAnsi="Arial" w:cs="Arial"/>
          <w:b/>
          <w:color w:val="1F497D"/>
          <w:shd w:val="clear" w:color="auto" w:fill="DBE5F1"/>
          <w:lang w:eastAsia="pl-PL"/>
        </w:rPr>
        <w:t>Rozszerzenie zakresu wsparcia:</w:t>
      </w:r>
    </w:p>
    <w:p w14:paraId="0041E354" w14:textId="252DA6C5" w:rsidR="00A057C0" w:rsidRPr="00EF5AC7" w:rsidRDefault="00A057C0" w:rsidP="002F7993">
      <w:pPr>
        <w:pStyle w:val="Tekstkomentarza"/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>Połączenie zielonej transformacji miast z transformacją energetyczną</w:t>
      </w:r>
      <w:r w:rsidR="00A14B96">
        <w:rPr>
          <w:rFonts w:ascii="Arial" w:hAnsi="Arial" w:cs="Arial"/>
          <w:sz w:val="22"/>
          <w:szCs w:val="22"/>
        </w:rPr>
        <w:t>:</w:t>
      </w:r>
    </w:p>
    <w:p w14:paraId="4D1CA3BE" w14:textId="77777777" w:rsidR="006526C9" w:rsidRPr="000F5D5B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 xml:space="preserve">zwiększenie powierzchni biologicznie czynnej w przestrzeniach miast i obszarów funkcjonalnych oraz ograniczanie </w:t>
      </w:r>
      <w:r w:rsidRPr="000F5D5B">
        <w:rPr>
          <w:rFonts w:ascii="Arial" w:hAnsi="Arial" w:cs="Arial"/>
          <w:sz w:val="22"/>
          <w:szCs w:val="22"/>
        </w:rPr>
        <w:t>zasklepiania gleby w tym tworzenie farm i upraw miejskich;</w:t>
      </w:r>
    </w:p>
    <w:p w14:paraId="5EC281C5" w14:textId="1B764D33" w:rsidR="006526C9" w:rsidRPr="00EF5AC7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 xml:space="preserve">inwestycje miejskie oparte na przyrodzie (NBS), w których wprowadzono rozwiązania dot. roślinności towarzyszącej; </w:t>
      </w:r>
    </w:p>
    <w:p w14:paraId="66F942EC" w14:textId="77777777" w:rsidR="006526C9" w:rsidRPr="00EF5AC7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 xml:space="preserve">zrównoważone systemy gospodarowania wodami opadowymi z udziałem zielono-błękitnej infrastruktury oraz rozwiązań opartych na przyrodzie; </w:t>
      </w:r>
    </w:p>
    <w:p w14:paraId="03894835" w14:textId="5D59139D" w:rsidR="006526C9" w:rsidRPr="00EF5AC7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 xml:space="preserve">poprawę jakości </w:t>
      </w:r>
      <w:r w:rsidRPr="000F5D5B">
        <w:rPr>
          <w:rFonts w:ascii="Arial" w:hAnsi="Arial" w:cs="Arial"/>
          <w:sz w:val="22"/>
          <w:szCs w:val="22"/>
        </w:rPr>
        <w:t xml:space="preserve">powietrza w miastach oraz zmniejszenie hałasu, </w:t>
      </w:r>
    </w:p>
    <w:p w14:paraId="44A3BF05" w14:textId="3D525AE8" w:rsidR="006526C9" w:rsidRPr="00EF5AC7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 xml:space="preserve">tworzenie stref niskoemisyjnych, wprowadzanie zrównoważonej multimodalnej mobilności miejskiej, realizację planów efektywnej mobilności, ustanowienie zielonych stref na </w:t>
      </w:r>
      <w:r w:rsidRPr="000F5D5B">
        <w:rPr>
          <w:rFonts w:ascii="Arial" w:hAnsi="Arial" w:cs="Arial"/>
          <w:sz w:val="22"/>
          <w:szCs w:val="22"/>
        </w:rPr>
        <w:t xml:space="preserve">obszarach miejskich, zwiększenie udziału zeroemisyjnego transportu zbiorowego, optymalizacja pracy przewozowej miejskiego transportu publicznego, w tym aplikacja rozwiązań ICT oraz usług elektronicznych; </w:t>
      </w:r>
    </w:p>
    <w:p w14:paraId="58E3EB45" w14:textId="77777777" w:rsidR="006526C9" w:rsidRPr="000F5D5B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5D5B">
        <w:rPr>
          <w:rFonts w:ascii="Arial" w:eastAsia="Calibri" w:hAnsi="Arial" w:cs="Arial"/>
          <w:sz w:val="22"/>
          <w:szCs w:val="22"/>
        </w:rPr>
        <w:t xml:space="preserve">rozwój energetyki rozproszonej i obywatelskiej, w tym </w:t>
      </w:r>
      <w:r w:rsidRPr="000F5D5B">
        <w:rPr>
          <w:rFonts w:ascii="Arial" w:hAnsi="Arial" w:cs="Arial"/>
          <w:sz w:val="22"/>
          <w:szCs w:val="22"/>
        </w:rPr>
        <w:t xml:space="preserve">rozwój klastrów energii i spółdzielni energetycznych wraz lokalnymi magazynami energii; </w:t>
      </w:r>
    </w:p>
    <w:p w14:paraId="3AC5A8B5" w14:textId="77777777" w:rsidR="006526C9" w:rsidRPr="00EF5AC7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sz w:val="22"/>
          <w:szCs w:val="22"/>
        </w:rPr>
        <w:t xml:space="preserve">zwiększenie wykorzystania OZE jako źródła energii w mieście; </w:t>
      </w:r>
    </w:p>
    <w:p w14:paraId="4BE5FE25" w14:textId="5E9E6B5D" w:rsidR="006526C9" w:rsidRPr="000F5D5B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5D5B">
        <w:rPr>
          <w:rFonts w:ascii="Arial" w:hAnsi="Arial" w:cs="Arial"/>
          <w:sz w:val="22"/>
          <w:szCs w:val="22"/>
        </w:rPr>
        <w:t>rewitalizacja budynków oraz przestrzeni miejskich</w:t>
      </w:r>
      <w:r w:rsidR="000B1E12" w:rsidRPr="000F5D5B">
        <w:rPr>
          <w:rFonts w:ascii="Arial" w:hAnsi="Arial" w:cs="Arial"/>
          <w:sz w:val="22"/>
          <w:szCs w:val="22"/>
        </w:rPr>
        <w:t>;</w:t>
      </w:r>
      <w:r w:rsidRPr="000F5D5B">
        <w:rPr>
          <w:rFonts w:ascii="Arial" w:hAnsi="Arial" w:cs="Arial"/>
          <w:sz w:val="22"/>
          <w:szCs w:val="22"/>
        </w:rPr>
        <w:t xml:space="preserve"> </w:t>
      </w:r>
    </w:p>
    <w:p w14:paraId="5153BBD7" w14:textId="5447367A" w:rsidR="006526C9" w:rsidRPr="000F5D5B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5D5B">
        <w:rPr>
          <w:rFonts w:ascii="Arial" w:hAnsi="Arial" w:cs="Arial"/>
          <w:sz w:val="22"/>
          <w:szCs w:val="22"/>
        </w:rPr>
        <w:t>rozwój infrastruktury transportu zeroemisyjnego (pieszego, rowerowego) zintegrowanego z transportem zbiorowym;</w:t>
      </w:r>
    </w:p>
    <w:p w14:paraId="1459FE40" w14:textId="247C6BFB" w:rsidR="006526C9" w:rsidRPr="000F5D5B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5D5B">
        <w:rPr>
          <w:rFonts w:ascii="Arial" w:hAnsi="Arial" w:cs="Arial"/>
          <w:sz w:val="22"/>
          <w:szCs w:val="22"/>
        </w:rPr>
        <w:lastRenderedPageBreak/>
        <w:t xml:space="preserve">wdrażanie energooszczędnych technologii oświetlenia dróg, budynków użyteczności publicznej przestrzeni publicznych; </w:t>
      </w:r>
    </w:p>
    <w:p w14:paraId="5B7B9A3E" w14:textId="77777777" w:rsidR="006526C9" w:rsidRPr="000F5D5B" w:rsidRDefault="006526C9" w:rsidP="006526C9">
      <w:pPr>
        <w:pStyle w:val="Tekstkomentarz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5D5B">
        <w:rPr>
          <w:rFonts w:ascii="Arial" w:hAnsi="Arial" w:cs="Arial"/>
          <w:sz w:val="22"/>
          <w:szCs w:val="22"/>
        </w:rPr>
        <w:t>edukację oraz budowanie świadomości mieszkańców dotyczącej konieczności transformacji miast w kierunku neutralności klimatycznej w zakresie adaptacji do zmian klimatu w tym tworzenie centrów edukacji i szkoleń w zakresie zielonej transformacji miast z wykorzystaniem zaawansowanych technologii. Koszt tych działań nie może przekraczać 10 % kosztów inwestycji B3.4.1.</w:t>
      </w:r>
    </w:p>
    <w:p w14:paraId="2D32D599" w14:textId="77777777" w:rsidR="00A057C0" w:rsidRPr="00EF5AC7" w:rsidRDefault="00A057C0" w:rsidP="002F7993">
      <w:pPr>
        <w:pStyle w:val="Tekstkomentarza"/>
        <w:rPr>
          <w:rFonts w:ascii="Arial" w:hAnsi="Arial" w:cs="Arial"/>
          <w:sz w:val="22"/>
          <w:szCs w:val="22"/>
        </w:rPr>
      </w:pPr>
    </w:p>
    <w:p w14:paraId="732A8F09" w14:textId="4C43CAA1" w:rsidR="00777B71" w:rsidRPr="00EF5AC7" w:rsidRDefault="00777B71" w:rsidP="002F7993">
      <w:pPr>
        <w:pStyle w:val="Tekstkomentarza"/>
        <w:rPr>
          <w:rFonts w:ascii="Arial" w:hAnsi="Arial" w:cs="Arial"/>
          <w:b/>
          <w:color w:val="1F497D"/>
          <w:sz w:val="22"/>
          <w:szCs w:val="22"/>
          <w:shd w:val="clear" w:color="auto" w:fill="DBE5F1"/>
        </w:rPr>
      </w:pPr>
      <w:r w:rsidRPr="00EF5AC7">
        <w:rPr>
          <w:rFonts w:ascii="Arial" w:hAnsi="Arial" w:cs="Arial"/>
          <w:b/>
          <w:color w:val="1F497D"/>
          <w:sz w:val="22"/>
          <w:szCs w:val="22"/>
          <w:shd w:val="clear" w:color="auto" w:fill="DBE5F1"/>
        </w:rPr>
        <w:t>Subinwestycje:</w:t>
      </w:r>
    </w:p>
    <w:p w14:paraId="5FC16CA9" w14:textId="7291FD60" w:rsidR="00777B71" w:rsidRPr="00EF5AC7" w:rsidRDefault="00777B71" w:rsidP="002F7993">
      <w:pPr>
        <w:pStyle w:val="Tekstkomentarza"/>
        <w:rPr>
          <w:rFonts w:ascii="Arial" w:hAnsi="Arial" w:cs="Arial"/>
          <w:b/>
          <w:bCs/>
          <w:sz w:val="22"/>
          <w:szCs w:val="22"/>
        </w:rPr>
      </w:pPr>
      <w:r w:rsidRPr="00EF5AC7">
        <w:rPr>
          <w:rFonts w:ascii="Arial" w:hAnsi="Arial" w:cs="Arial"/>
          <w:b/>
          <w:bCs/>
          <w:sz w:val="22"/>
          <w:szCs w:val="22"/>
        </w:rPr>
        <w:t>Zwiększenie z 4 do 7</w:t>
      </w:r>
      <w:r w:rsidR="006526C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9CEF3E" w14:textId="01576CE3" w:rsidR="00777B71" w:rsidRPr="00EF5AC7" w:rsidRDefault="00777B71" w:rsidP="00777B71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EF5AC7">
        <w:rPr>
          <w:rFonts w:ascii="Arial" w:hAnsi="Arial" w:cs="Arial"/>
          <w:sz w:val="22"/>
          <w:szCs w:val="22"/>
        </w:rPr>
        <w:t>Subinwestycja</w:t>
      </w:r>
      <w:proofErr w:type="spellEnd"/>
      <w:r w:rsidRPr="00EF5AC7">
        <w:rPr>
          <w:rFonts w:ascii="Arial" w:hAnsi="Arial" w:cs="Arial"/>
          <w:sz w:val="22"/>
          <w:szCs w:val="22"/>
        </w:rPr>
        <w:t xml:space="preserve"> B3.4.1.1 Renowacja w celu zwiększenia efektywności energetycznej lub środki poprawy efektywności energetycznej infrastruktury publicznej, projekty demonstracyjne i środki wsparcia</w:t>
      </w:r>
      <w:r w:rsidR="00370F6B">
        <w:rPr>
          <w:rFonts w:ascii="Arial" w:hAnsi="Arial" w:cs="Arial"/>
          <w:sz w:val="22"/>
          <w:szCs w:val="22"/>
        </w:rPr>
        <w:t>;</w:t>
      </w:r>
    </w:p>
    <w:p w14:paraId="0F92D892" w14:textId="11F8E196" w:rsidR="00777B71" w:rsidRPr="00EF5AC7" w:rsidRDefault="00777B71" w:rsidP="00777B71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EF5AC7">
        <w:rPr>
          <w:rFonts w:ascii="Arial" w:hAnsi="Arial" w:cs="Arial"/>
          <w:sz w:val="22"/>
          <w:szCs w:val="22"/>
        </w:rPr>
        <w:t>Subinwestycja</w:t>
      </w:r>
      <w:proofErr w:type="spellEnd"/>
      <w:r w:rsidRPr="00EF5AC7">
        <w:rPr>
          <w:rFonts w:ascii="Arial" w:hAnsi="Arial" w:cs="Arial"/>
          <w:sz w:val="22"/>
          <w:szCs w:val="22"/>
        </w:rPr>
        <w:t xml:space="preserve"> B 3.4.1.2 Gospodarka wodna i ochrona zasobów wodnych (w tym zarządzanie dorzeczem, szczególne działania adaptacyjne do zmian klimatu, ponowne wykorzystanie, ograniczenie wycieków)</w:t>
      </w:r>
      <w:r w:rsidR="00370F6B">
        <w:rPr>
          <w:rFonts w:ascii="Arial" w:hAnsi="Arial" w:cs="Arial"/>
          <w:sz w:val="22"/>
          <w:szCs w:val="22"/>
        </w:rPr>
        <w:t>;</w:t>
      </w:r>
    </w:p>
    <w:p w14:paraId="0F8B119D" w14:textId="13F2F5E9" w:rsidR="00777B71" w:rsidRPr="00EF5AC7" w:rsidRDefault="00777B71" w:rsidP="00777B71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EF5AC7">
        <w:rPr>
          <w:rFonts w:ascii="Arial" w:hAnsi="Arial" w:cs="Arial"/>
          <w:sz w:val="22"/>
          <w:szCs w:val="22"/>
        </w:rPr>
        <w:t>Subinwestycja</w:t>
      </w:r>
      <w:proofErr w:type="spellEnd"/>
      <w:r w:rsidRPr="00EF5AC7">
        <w:rPr>
          <w:rFonts w:ascii="Arial" w:hAnsi="Arial" w:cs="Arial"/>
          <w:sz w:val="22"/>
          <w:szCs w:val="22"/>
        </w:rPr>
        <w:t xml:space="preserve"> B 3.4.1.3 Działania mające na celu zmniejszenie hałasu i poprawę jakości powietrza</w:t>
      </w:r>
      <w:r w:rsidR="00370F6B">
        <w:rPr>
          <w:rFonts w:ascii="Arial" w:hAnsi="Arial" w:cs="Arial"/>
          <w:sz w:val="22"/>
          <w:szCs w:val="22"/>
        </w:rPr>
        <w:t>;</w:t>
      </w:r>
    </w:p>
    <w:p w14:paraId="652F6CD4" w14:textId="6AD0B662" w:rsidR="00777B71" w:rsidRPr="00EF5AC7" w:rsidRDefault="00777B71" w:rsidP="00777B71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EF5AC7">
        <w:rPr>
          <w:rFonts w:ascii="Arial" w:hAnsi="Arial" w:cs="Arial"/>
          <w:sz w:val="22"/>
          <w:szCs w:val="22"/>
        </w:rPr>
        <w:t>Subinwestycja</w:t>
      </w:r>
      <w:proofErr w:type="spellEnd"/>
      <w:r w:rsidRPr="00EF5AC7">
        <w:rPr>
          <w:rFonts w:ascii="Arial" w:hAnsi="Arial" w:cs="Arial"/>
          <w:sz w:val="22"/>
          <w:szCs w:val="22"/>
        </w:rPr>
        <w:t xml:space="preserve"> B 3.4.1.4 Ochrona przyrody i różnorodności biologicznej, dziedzictwa i zasobów naturalnych, zielonej i niebieskiej infrastruktury</w:t>
      </w:r>
      <w:r w:rsidR="00370F6B">
        <w:rPr>
          <w:rFonts w:ascii="Arial" w:hAnsi="Arial" w:cs="Arial"/>
          <w:sz w:val="22"/>
          <w:szCs w:val="22"/>
        </w:rPr>
        <w:t>;</w:t>
      </w:r>
    </w:p>
    <w:p w14:paraId="676EF514" w14:textId="63F1C1C7" w:rsidR="00777B71" w:rsidRPr="00370F6B" w:rsidRDefault="00777B71" w:rsidP="00777B71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370F6B">
        <w:rPr>
          <w:rFonts w:ascii="Arial" w:hAnsi="Arial" w:cs="Arial"/>
          <w:sz w:val="22"/>
          <w:szCs w:val="22"/>
        </w:rPr>
        <w:t>Subinwestycja</w:t>
      </w:r>
      <w:proofErr w:type="spellEnd"/>
      <w:r w:rsidRPr="00370F6B">
        <w:rPr>
          <w:rFonts w:ascii="Arial" w:hAnsi="Arial" w:cs="Arial"/>
          <w:sz w:val="22"/>
          <w:szCs w:val="22"/>
        </w:rPr>
        <w:t xml:space="preserve"> B 3.4.1.5 Renowacja budynków prowadząca do większej efektywności energetycznej</w:t>
      </w:r>
      <w:r w:rsidR="00370F6B" w:rsidRPr="00370F6B">
        <w:rPr>
          <w:rFonts w:ascii="Arial" w:hAnsi="Arial" w:cs="Arial"/>
          <w:sz w:val="22"/>
          <w:szCs w:val="22"/>
        </w:rPr>
        <w:t>;</w:t>
      </w:r>
    </w:p>
    <w:p w14:paraId="26BCE7F8" w14:textId="2FEE5146" w:rsidR="00777B71" w:rsidRPr="00370F6B" w:rsidRDefault="00777B71" w:rsidP="00777B71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370F6B">
        <w:rPr>
          <w:rFonts w:ascii="Arial" w:hAnsi="Arial" w:cs="Arial"/>
          <w:sz w:val="22"/>
          <w:szCs w:val="22"/>
        </w:rPr>
        <w:t>Subinwestycja</w:t>
      </w:r>
      <w:proofErr w:type="spellEnd"/>
      <w:r w:rsidRPr="00370F6B">
        <w:rPr>
          <w:rFonts w:ascii="Arial" w:hAnsi="Arial" w:cs="Arial"/>
          <w:sz w:val="22"/>
          <w:szCs w:val="22"/>
        </w:rPr>
        <w:t xml:space="preserve"> B 3.4.1.6 Optymalizacja pracy przewozowej miejskiego transportu publicznego eliminujące zużycie energii ze źródeł kopalnych, w tym aplikacja rozwiązań ICT, usług elektronicznych wspierających ograniczanie emisji gazów cieplarnianych lub efektywności energetycznej;</w:t>
      </w:r>
    </w:p>
    <w:p w14:paraId="72A81E39" w14:textId="393855BF" w:rsidR="00010219" w:rsidRPr="00F14C97" w:rsidRDefault="00777B71" w:rsidP="002F7993">
      <w:pPr>
        <w:pStyle w:val="Tekstkomentarz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370F6B">
        <w:rPr>
          <w:rFonts w:ascii="Arial" w:hAnsi="Arial" w:cs="Arial"/>
          <w:sz w:val="22"/>
          <w:szCs w:val="22"/>
        </w:rPr>
        <w:t>Subinwestycja</w:t>
      </w:r>
      <w:proofErr w:type="spellEnd"/>
      <w:r w:rsidRPr="00370F6B">
        <w:rPr>
          <w:rFonts w:ascii="Arial" w:hAnsi="Arial" w:cs="Arial"/>
          <w:sz w:val="22"/>
          <w:szCs w:val="22"/>
        </w:rPr>
        <w:t xml:space="preserve"> B 3.4.1.7 Centra edukacji i szkoleń w zakresie zielonej transformacji miast z wykorzystaniem zaawansowanych technologii, w tym rzeczywistości wirtualnej i poszerzonej oraz innych technologii cyfrowych</w:t>
      </w:r>
      <w:r w:rsidR="00370F6B" w:rsidRPr="00370F6B">
        <w:rPr>
          <w:rFonts w:ascii="Arial" w:hAnsi="Arial" w:cs="Arial"/>
          <w:sz w:val="22"/>
          <w:szCs w:val="22"/>
        </w:rPr>
        <w:t>.</w:t>
      </w:r>
    </w:p>
    <w:p w14:paraId="70D86123" w14:textId="77777777" w:rsidR="006526C9" w:rsidRPr="00EF5AC7" w:rsidRDefault="006526C9" w:rsidP="002F7993">
      <w:pPr>
        <w:pStyle w:val="Tekstkomentarza"/>
        <w:rPr>
          <w:rFonts w:ascii="Arial" w:hAnsi="Arial" w:cs="Arial"/>
          <w:b/>
          <w:color w:val="1F497D"/>
          <w:sz w:val="22"/>
          <w:szCs w:val="22"/>
          <w:shd w:val="clear" w:color="auto" w:fill="DBE5F1"/>
        </w:rPr>
      </w:pPr>
    </w:p>
    <w:p w14:paraId="095F48BB" w14:textId="369C72DC" w:rsidR="00777B71" w:rsidRPr="00EF5AC7" w:rsidRDefault="00777B71" w:rsidP="002F7993">
      <w:pPr>
        <w:pStyle w:val="Tekstkomentarza"/>
        <w:rPr>
          <w:rFonts w:ascii="Arial" w:hAnsi="Arial" w:cs="Arial"/>
          <w:sz w:val="22"/>
          <w:szCs w:val="22"/>
        </w:rPr>
      </w:pPr>
      <w:r w:rsidRPr="00EF5AC7">
        <w:rPr>
          <w:rFonts w:ascii="Arial" w:hAnsi="Arial" w:cs="Arial"/>
          <w:b/>
          <w:color w:val="1F497D"/>
          <w:sz w:val="22"/>
          <w:szCs w:val="22"/>
          <w:shd w:val="clear" w:color="auto" w:fill="DBE5F1"/>
        </w:rPr>
        <w:t>Populacja docelowa:</w:t>
      </w:r>
    </w:p>
    <w:p w14:paraId="25D7ED27" w14:textId="3BB6A5B6" w:rsidR="00777B71" w:rsidRPr="00EF5AC7" w:rsidRDefault="00650857" w:rsidP="002F7993">
      <w:pPr>
        <w:pStyle w:val="Tekstkomentarz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Rozszerzenie zakresu </w:t>
      </w:r>
      <w:r w:rsidR="00777B71" w:rsidRPr="00EF5AC7">
        <w:rPr>
          <w:rFonts w:ascii="Arial" w:hAnsi="Arial" w:cs="Arial"/>
          <w:b/>
          <w:bCs/>
          <w:sz w:val="22"/>
          <w:szCs w:val="22"/>
        </w:rPr>
        <w:t>ostatecznych odbiorców wsparcia</w:t>
      </w:r>
      <w:r w:rsidR="00777B71" w:rsidRPr="00EF5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777B71" w:rsidRPr="00EF5AC7">
        <w:rPr>
          <w:rFonts w:ascii="Arial" w:hAnsi="Arial" w:cs="Arial"/>
          <w:sz w:val="22"/>
          <w:szCs w:val="22"/>
        </w:rPr>
        <w:t>wspólnoty energetyczne tj. klastry energii, spółdzielnie energetyczne.</w:t>
      </w:r>
    </w:p>
    <w:p w14:paraId="702A2CC1" w14:textId="1D03D8F5" w:rsidR="00777B71" w:rsidRPr="00EF5AC7" w:rsidRDefault="00777B71" w:rsidP="002F7993">
      <w:pPr>
        <w:pStyle w:val="Tekstkomentarza"/>
        <w:rPr>
          <w:rFonts w:ascii="Arial" w:hAnsi="Arial" w:cs="Arial"/>
          <w:sz w:val="22"/>
          <w:szCs w:val="22"/>
        </w:rPr>
      </w:pPr>
    </w:p>
    <w:p w14:paraId="17C1A413" w14:textId="2C7B6877" w:rsidR="00777B71" w:rsidRPr="00EF5AC7" w:rsidRDefault="00777B71" w:rsidP="00777B71">
      <w:pPr>
        <w:spacing w:before="60" w:after="120"/>
        <w:jc w:val="both"/>
        <w:rPr>
          <w:rFonts w:ascii="Arial" w:hAnsi="Arial" w:cs="Arial"/>
          <w:b/>
          <w:iCs/>
        </w:rPr>
      </w:pPr>
      <w:r w:rsidRPr="00EF5AC7">
        <w:rPr>
          <w:rFonts w:ascii="Arial" w:hAnsi="Arial" w:cs="Arial"/>
          <w:b/>
          <w:iCs/>
        </w:rPr>
        <w:t>Ostatecznymi odbiorcami wsparcia IZTM będą</w:t>
      </w:r>
      <w:r w:rsidR="0063764A">
        <w:rPr>
          <w:rFonts w:ascii="Arial" w:hAnsi="Arial" w:cs="Arial"/>
          <w:b/>
          <w:iCs/>
        </w:rPr>
        <w:t xml:space="preserve"> zatem</w:t>
      </w:r>
      <w:r w:rsidRPr="00EF5AC7">
        <w:rPr>
          <w:rFonts w:ascii="Arial" w:hAnsi="Arial" w:cs="Arial"/>
          <w:b/>
          <w:iCs/>
        </w:rPr>
        <w:t>:</w:t>
      </w:r>
    </w:p>
    <w:p w14:paraId="4AE796A3" w14:textId="203F7573" w:rsidR="00CE7442" w:rsidRDefault="00777B71" w:rsidP="001600BA">
      <w:pPr>
        <w:pStyle w:val="Akapitzlist"/>
        <w:numPr>
          <w:ilvl w:val="0"/>
          <w:numId w:val="7"/>
        </w:numPr>
        <w:spacing w:before="60" w:after="120"/>
        <w:jc w:val="both"/>
        <w:rPr>
          <w:rFonts w:ascii="Arial" w:hAnsi="Arial" w:cs="Arial"/>
          <w:bCs/>
          <w:iCs/>
        </w:rPr>
      </w:pPr>
      <w:r w:rsidRPr="00EF5AC7">
        <w:rPr>
          <w:rFonts w:ascii="Arial" w:hAnsi="Arial" w:cs="Arial"/>
          <w:bCs/>
          <w:iCs/>
        </w:rPr>
        <w:t>Jednostki samorządu terytorialnego (JST; miasta i obszary funkcjonalne, porozumienia międzygminne, stowarzyszenia gmin, powiatów oraz gmin i powiatów), związki komunalne, przedsiębiorcy, jednostki naukowo-badawcze,</w:t>
      </w:r>
      <w:r w:rsidRPr="00EF5AC7">
        <w:rPr>
          <w:rFonts w:ascii="Arial" w:hAnsi="Arial" w:cs="Arial"/>
        </w:rPr>
        <w:t xml:space="preserve"> </w:t>
      </w:r>
      <w:r w:rsidRPr="001600BA">
        <w:rPr>
          <w:rFonts w:ascii="Arial" w:hAnsi="Arial" w:cs="Arial"/>
          <w:bCs/>
          <w:iCs/>
        </w:rPr>
        <w:t xml:space="preserve">wspólnoty energetyczne (klastry energii, spółdzielnie energetyczne),wspólnoty </w:t>
      </w:r>
      <w:r w:rsidRPr="00EF5AC7">
        <w:rPr>
          <w:rFonts w:ascii="Arial" w:hAnsi="Arial" w:cs="Arial"/>
          <w:bCs/>
          <w:iCs/>
        </w:rPr>
        <w:t xml:space="preserve">mieszkaniowe, spółdzielnie mieszkaniowe, TBS/SIM, podmioty z udziałem JST posiadające osobowość prawną, instytucje kultury, szkoły wyższe, państwowe osoby prawne, w tym jednostki od nich zależne, podmioty spoza administracji publicznej (m.in. organizacje społeczne, pozarządowe, gospodarcze) a także inne podmioty zaangażowane w realizację projektów. </w:t>
      </w:r>
    </w:p>
    <w:p w14:paraId="3D897E44" w14:textId="420E3D80" w:rsidR="00C0567C" w:rsidRPr="00C0567C" w:rsidRDefault="00FA4FA9" w:rsidP="00FA4FA9">
      <w:pPr>
        <w:spacing w:before="60" w:after="120"/>
        <w:jc w:val="both"/>
        <w:rPr>
          <w:rFonts w:ascii="Arial" w:hAnsi="Arial" w:cs="Arial"/>
          <w:bCs/>
          <w:iCs/>
        </w:rPr>
      </w:pPr>
      <w:r w:rsidRPr="00FA4FA9">
        <w:rPr>
          <w:rFonts w:ascii="Arial" w:hAnsi="Arial" w:cs="Arial"/>
          <w:bCs/>
          <w:iCs/>
        </w:rPr>
        <w:t xml:space="preserve">Więcej szczegółowych informacji znajduje się w </w:t>
      </w:r>
      <w:r w:rsidRPr="00FA4FA9">
        <w:rPr>
          <w:rFonts w:ascii="Arial" w:hAnsi="Arial" w:cs="Arial"/>
          <w:b/>
          <w:iCs/>
        </w:rPr>
        <w:t>Strategii Inwestycyjnej IZTM</w:t>
      </w:r>
      <w:r w:rsidRPr="00FA4FA9">
        <w:rPr>
          <w:rFonts w:ascii="Arial" w:hAnsi="Arial" w:cs="Arial"/>
          <w:bCs/>
          <w:iCs/>
        </w:rPr>
        <w:t xml:space="preserve"> opublikowanej na stronie internetowej </w:t>
      </w:r>
      <w:proofErr w:type="spellStart"/>
      <w:r w:rsidRPr="00FA4FA9">
        <w:rPr>
          <w:rFonts w:ascii="Arial" w:hAnsi="Arial" w:cs="Arial"/>
          <w:bCs/>
          <w:iCs/>
        </w:rPr>
        <w:t>MFiPR</w:t>
      </w:r>
      <w:proofErr w:type="spellEnd"/>
      <w:r>
        <w:rPr>
          <w:rFonts w:ascii="Arial" w:hAnsi="Arial" w:cs="Arial"/>
          <w:bCs/>
          <w:iCs/>
        </w:rPr>
        <w:t xml:space="preserve">: </w:t>
      </w:r>
      <w:hyperlink r:id="rId8" w:history="1">
        <w:r w:rsidRPr="00823030">
          <w:rPr>
            <w:rStyle w:val="Hipercze"/>
            <w:rFonts w:ascii="Arial" w:hAnsi="Arial" w:cs="Arial"/>
            <w:bCs/>
            <w:iCs/>
          </w:rPr>
          <w:t>https://www.gov.pl/web/planodbudowy/zielona-transformacja-miast2</w:t>
        </w:r>
      </w:hyperlink>
      <w:r>
        <w:rPr>
          <w:rFonts w:ascii="Arial" w:hAnsi="Arial" w:cs="Arial"/>
          <w:bCs/>
          <w:iCs/>
        </w:rPr>
        <w:t xml:space="preserve"> </w:t>
      </w:r>
    </w:p>
    <w:sectPr w:rsidR="00C0567C" w:rsidRPr="00C0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6EC" w14:textId="77777777" w:rsidR="00C1757C" w:rsidRDefault="00C1757C" w:rsidP="00C1757C">
      <w:pPr>
        <w:spacing w:after="0" w:line="240" w:lineRule="auto"/>
      </w:pPr>
      <w:r>
        <w:separator/>
      </w:r>
    </w:p>
  </w:endnote>
  <w:endnote w:type="continuationSeparator" w:id="0">
    <w:p w14:paraId="24A81D85" w14:textId="77777777" w:rsidR="00C1757C" w:rsidRDefault="00C1757C" w:rsidP="00C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D006" w14:textId="77777777" w:rsidR="00C1757C" w:rsidRDefault="00C1757C" w:rsidP="00C1757C">
      <w:pPr>
        <w:spacing w:after="0" w:line="240" w:lineRule="auto"/>
      </w:pPr>
      <w:r>
        <w:separator/>
      </w:r>
    </w:p>
  </w:footnote>
  <w:footnote w:type="continuationSeparator" w:id="0">
    <w:p w14:paraId="7CA5BAF0" w14:textId="77777777" w:rsidR="00C1757C" w:rsidRDefault="00C1757C" w:rsidP="00C1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51A"/>
    <w:multiLevelType w:val="hybridMultilevel"/>
    <w:tmpl w:val="C68A2278"/>
    <w:lvl w:ilvl="0" w:tplc="2F6A86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2B5566B"/>
    <w:multiLevelType w:val="hybridMultilevel"/>
    <w:tmpl w:val="25E66C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48A"/>
    <w:multiLevelType w:val="hybridMultilevel"/>
    <w:tmpl w:val="6E7E58D4"/>
    <w:lvl w:ilvl="0" w:tplc="8062C4C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396A"/>
    <w:multiLevelType w:val="hybridMultilevel"/>
    <w:tmpl w:val="6E16E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A54B0"/>
    <w:multiLevelType w:val="multilevel"/>
    <w:tmpl w:val="769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3A18"/>
    <w:multiLevelType w:val="hybridMultilevel"/>
    <w:tmpl w:val="8EB4F2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0B249E"/>
    <w:multiLevelType w:val="hybridMultilevel"/>
    <w:tmpl w:val="1A581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C7"/>
    <w:rsid w:val="00010219"/>
    <w:rsid w:val="000126B6"/>
    <w:rsid w:val="000354F8"/>
    <w:rsid w:val="000B1E12"/>
    <w:rsid w:val="000F5D5B"/>
    <w:rsid w:val="001600BA"/>
    <w:rsid w:val="001C6E60"/>
    <w:rsid w:val="00222BB4"/>
    <w:rsid w:val="00252992"/>
    <w:rsid w:val="002714E5"/>
    <w:rsid w:val="002A5B98"/>
    <w:rsid w:val="002F668D"/>
    <w:rsid w:val="002F7993"/>
    <w:rsid w:val="00306875"/>
    <w:rsid w:val="00370F6B"/>
    <w:rsid w:val="003D5FC7"/>
    <w:rsid w:val="004E26CC"/>
    <w:rsid w:val="0063406C"/>
    <w:rsid w:val="0063764A"/>
    <w:rsid w:val="00650857"/>
    <w:rsid w:val="006526C9"/>
    <w:rsid w:val="007322EB"/>
    <w:rsid w:val="00747706"/>
    <w:rsid w:val="00777B71"/>
    <w:rsid w:val="00832BFA"/>
    <w:rsid w:val="008A4874"/>
    <w:rsid w:val="00991FB4"/>
    <w:rsid w:val="009F21B9"/>
    <w:rsid w:val="00A057C0"/>
    <w:rsid w:val="00A14B96"/>
    <w:rsid w:val="00A4445B"/>
    <w:rsid w:val="00AF3732"/>
    <w:rsid w:val="00BD35EA"/>
    <w:rsid w:val="00C0567C"/>
    <w:rsid w:val="00C07D43"/>
    <w:rsid w:val="00C1757C"/>
    <w:rsid w:val="00C24F44"/>
    <w:rsid w:val="00CE7442"/>
    <w:rsid w:val="00D65EB9"/>
    <w:rsid w:val="00DC70B7"/>
    <w:rsid w:val="00DF3DA8"/>
    <w:rsid w:val="00E61190"/>
    <w:rsid w:val="00EA300B"/>
    <w:rsid w:val="00ED1700"/>
    <w:rsid w:val="00EF5AC7"/>
    <w:rsid w:val="00F02708"/>
    <w:rsid w:val="00F14C97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A51A"/>
  <w15:chartTrackingRefBased/>
  <w15:docId w15:val="{36BEF5A6-A00C-4EEA-8431-17D244ED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qFormat/>
    <w:rsid w:val="00EA300B"/>
    <w:pPr>
      <w:spacing w:before="60" w:after="60" w:line="240" w:lineRule="auto"/>
      <w:jc w:val="both"/>
    </w:pPr>
    <w:rPr>
      <w:rFonts w:ascii="Calibri Light" w:eastAsia="Times New Roman" w:hAnsi="Calibri Light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00B"/>
    <w:rPr>
      <w:rFonts w:ascii="Calibri Light" w:eastAsia="Times New Roman" w:hAnsi="Calibri Light" w:cs="Times New Roman"/>
      <w:sz w:val="20"/>
      <w:szCs w:val="20"/>
      <w:lang w:eastAsia="pl-PL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SUPERS"/>
    <w:link w:val="FootnotesymbolCarZchn"/>
    <w:uiPriority w:val="99"/>
    <w:qFormat/>
    <w:rsid w:val="00C1757C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C1757C"/>
    <w:pPr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character" w:styleId="Odwoaniedokomentarza">
    <w:name w:val="annotation reference"/>
    <w:uiPriority w:val="99"/>
    <w:semiHidden/>
    <w:unhideWhenUsed/>
    <w:rsid w:val="00C1757C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1757C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832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ootnote text Znak,Fußnotentext Ursprung Znak,-E Fußnotentext Znak,Fußnote Znak,Footnote text Znak,Tekst przypisu Znak Znak Znak Znak Znak1"/>
    <w:basedOn w:val="Domylnaczcionkaakapitu"/>
    <w:link w:val="Tekstprzypisudolnego"/>
    <w:rsid w:val="00832BFA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77B71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2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102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4F8"/>
    <w:pPr>
      <w:spacing w:before="0"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4F8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4F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lanodbudowy/zielona-transformacja-miast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9E10-A729-45FE-AAE9-D953814B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Binaś Adrianna</dc:creator>
  <cp:keywords/>
  <dc:description/>
  <cp:lastModifiedBy>Binaś Adrianna</cp:lastModifiedBy>
  <cp:revision>41</cp:revision>
  <dcterms:created xsi:type="dcterms:W3CDTF">2022-07-28T08:57:00Z</dcterms:created>
  <dcterms:modified xsi:type="dcterms:W3CDTF">2024-02-02T11:14:00Z</dcterms:modified>
</cp:coreProperties>
</file>