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FAA5" w14:textId="77777777" w:rsidR="0086017F" w:rsidRDefault="0086017F" w:rsidP="0086017F">
      <w:pPr>
        <w:spacing w:line="240" w:lineRule="auto"/>
      </w:pPr>
      <w:r w:rsidRPr="6001C31A">
        <w:rPr>
          <w:szCs w:val="16"/>
        </w:rPr>
        <w:t xml:space="preserve">Lista procedur </w:t>
      </w:r>
    </w:p>
    <w:p w14:paraId="41126EB2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ustaleniu lokalizacji inwestycji celu publicznego budowy infrastruktury telekomunikacyjnej. </w:t>
      </w:r>
    </w:p>
    <w:p w14:paraId="7B2D8BEF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ustaleniu lokalizacji inwestycji celu publicznego realizacji infrastruktury telekomunikacyjnej na obszarach zamkniętych. </w:t>
      </w:r>
    </w:p>
    <w:p w14:paraId="1D5E57E5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wypisu i wyrysu z miejscowego planu zagospodarowania przestrzennego. </w:t>
      </w:r>
    </w:p>
    <w:p w14:paraId="475EC0A3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udostępnia materiałów geodezyjnych i weryfikacji operatów technicznych na potrzeby geodezyjnej inwentaryzacji powykonawczej.  </w:t>
      </w:r>
    </w:p>
    <w:p w14:paraId="1910FBE4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badania zgłoszenia zamierzenia budowlanego dotyczącego infrastruktury telekomunikacyjnej. </w:t>
      </w:r>
    </w:p>
    <w:p w14:paraId="3B9C2907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zaświadczenia o braku sprzeciwu wobec zgłoszenia zamierzenia budowlanego dotyczącego infrastruktury telekomunikacyjnej. </w:t>
      </w:r>
    </w:p>
    <w:p w14:paraId="70DECB28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udzieleniu pozwolenia na budowę. </w:t>
      </w:r>
    </w:p>
    <w:p w14:paraId="2E24A0AA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przeniesieniu pozwolenia na budowę. </w:t>
      </w:r>
    </w:p>
    <w:p w14:paraId="4E345939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badania zawiadomienia o zamierzonym terminie rozpoczęcia robót budowlanych, dot. infrastruktury telekomunikacyjnej. </w:t>
      </w:r>
    </w:p>
    <w:p w14:paraId="494FB3C7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przeniesieniu zgłoszenia budowy lub innych robót budowlanych, dot. infrastruktury telekomunikacyjnej. </w:t>
      </w:r>
    </w:p>
    <w:p w14:paraId="11B0AB7E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lokalizacyjnej w pasie drogowym obiektów budowlanych lub urządzeń infrastruktury telekomunikacyjnej, które nie są związane z potrzebami zarządzania drogami i ruchu drogowego. </w:t>
      </w:r>
    </w:p>
    <w:p w14:paraId="41AFBE37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udzieleniu zezwolenia na zajęcie pasa drogowego, w celu umieszczenia urządzenia infrastruktury telekomunikacyjnej. </w:t>
      </w:r>
    </w:p>
    <w:p w14:paraId="0E211BBA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udzieleniu zezwolenia na zajęcie pasa drogowego, w celu prowadzenia robót związanych z umieszczeniem urządzeń infrastruktury telekomunikacyjnej, niezwiązanych z potrzebami zarządzania drogami lub potrzebami ruchu drogowego. </w:t>
      </w:r>
    </w:p>
    <w:p w14:paraId="27315695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>Procedura wydania decyzji o udostępnienie istniejącego kanału technologicznego na potrzeby umieszczenia infrastruktury telekomunikacyjnej niezwiązanej z potrzebami ruchu drogowego.</w:t>
      </w:r>
    </w:p>
    <w:p w14:paraId="2AD36BD2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zgody na remont infrastruktury telekomunikacyjnej istniejącej w pasie drogowym w trybie art. 38 ust. 2 ustawy o drogach publicznych. </w:t>
      </w:r>
    </w:p>
    <w:p w14:paraId="0BDC1B07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pozwolenie na użytkowanie wybudowanej infrastruktury telekomunikacyjnej. </w:t>
      </w:r>
    </w:p>
    <w:p w14:paraId="160596D0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przyjęcia zawiadomienia o zakończeniu budowy infrastruktury telekomunikacyjnej. </w:t>
      </w:r>
    </w:p>
    <w:p w14:paraId="6F777709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decyzji, zastępującej zgodę na wejście na nieruchomość sąsiednią. </w:t>
      </w:r>
    </w:p>
    <w:p w14:paraId="551E8D6D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decyzji o korzystanie z nieruchomości celem umieszczenia na nieruchomości obiektów i urządzeń infrastruktury telekomunikacyjnej w celu niezwiązanym z zapewnieniem telekomunikacji w budynku znajdującym się na tej nieruchomości (art. 33 Ustawy o wspieraniu rozwoju usług i sieci telekomunikacyjnych). </w:t>
      </w:r>
    </w:p>
    <w:p w14:paraId="102483DD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decyzji o zapewnienie dostępu do infrastruktury technicznej operatora sieci. </w:t>
      </w:r>
    </w:p>
    <w:p w14:paraId="63E37306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decyzji o korzystanie z nieruchomości celem umieszczenia na nieruchomości obiektów i urządzeń infrastruktury telekomunikacyjnej w celu zapewnienia telekomunikacji w budynku oraz punktu </w:t>
      </w:r>
      <w:proofErr w:type="spellStart"/>
      <w:r w:rsidRPr="6001C31A">
        <w:rPr>
          <w:szCs w:val="16"/>
        </w:rPr>
        <w:t>sytku</w:t>
      </w:r>
      <w:proofErr w:type="spellEnd"/>
      <w:r w:rsidRPr="6001C31A">
        <w:rPr>
          <w:szCs w:val="16"/>
        </w:rPr>
        <w:t xml:space="preserve"> znajdującym się na tej nieruchomości (art. 30 ustawy o wspieraniu rozwoju usług i sieci telekomunikacyjnych).</w:t>
      </w:r>
    </w:p>
    <w:p w14:paraId="27C0A0CC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o środowiskowych uwarunkowaniach zgody na realizację przedsięwzięcia dot. infrastruktury telekomunikacyjnej. </w:t>
      </w:r>
    </w:p>
    <w:p w14:paraId="23E57001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opinii Państwowej Inspekcji Sanitarnej w sprawie opiniowania warunków realizacji planowanego przedsięwzięcia, dot. infrastruktury telekomunikacyjnej. </w:t>
      </w:r>
    </w:p>
    <w:p w14:paraId="34068B30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uzgodnienia warunków planowanego przedsięwzięcia, dot. infrastruktury telekomunikacyjnej z RDOŚ. </w:t>
      </w:r>
    </w:p>
    <w:p w14:paraId="7A168C72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zgłoszenia instalacji urządzenia emitującego PEM lub przenośnego wolnostojącego masztu antenowego. </w:t>
      </w:r>
    </w:p>
    <w:p w14:paraId="4E16F3B7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decyzji wojewódzkiego konserwatora zabytków o pozwoleniu na prowadzenie robót budowlanych, dot. infrastruktury telekomunikacyjnej na obszarze wpisanym do rejestru zabytków. </w:t>
      </w:r>
    </w:p>
    <w:p w14:paraId="61908886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uzyskania decyzji wojewódzkiego konserwatora zabytków o pozwoleniu na prowadzenie robót budowlanych, dot. infrastruktury telekomunikacyjnej przy zabytku wpisanym do rejestru zabytków. </w:t>
      </w:r>
    </w:p>
    <w:p w14:paraId="00D25CBE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pozwolenia wodnoprawnego celem przeprowadzenia infrastruktury telekomunikacyjnej przez ciek wodny. </w:t>
      </w:r>
    </w:p>
    <w:p w14:paraId="213C9342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badania zgłoszenia wodnoprawnego, celem przeprowadzenia infrastruktury telekomunikacyjnej napowietrznej przez ciek wodny. </w:t>
      </w:r>
    </w:p>
    <w:p w14:paraId="2BEA013A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narady koordynacyjnej usytuowania projektowanych sieci uzbrojenia terenu, dot. infrastruktury telekomunikacyjnej.  </w:t>
      </w:r>
    </w:p>
    <w:p w14:paraId="4B3DE087" w14:textId="77777777" w:rsidR="0086017F" w:rsidRDefault="0086017F" w:rsidP="0086017F">
      <w:pPr>
        <w:pStyle w:val="Akapitzlist"/>
        <w:numPr>
          <w:ilvl w:val="0"/>
          <w:numId w:val="1"/>
        </w:numPr>
        <w:spacing w:line="240" w:lineRule="auto"/>
        <w:rPr>
          <w:szCs w:val="16"/>
        </w:rPr>
      </w:pPr>
      <w:r w:rsidRPr="6001C31A">
        <w:rPr>
          <w:szCs w:val="16"/>
        </w:rPr>
        <w:t xml:space="preserve">Procedura wydania decyzji podziału nieruchomości. </w:t>
      </w:r>
    </w:p>
    <w:p w14:paraId="568FBDEB" w14:textId="77777777" w:rsidR="000520E2" w:rsidRDefault="000520E2" w:rsidP="0086017F">
      <w:pPr>
        <w:spacing w:line="240" w:lineRule="auto"/>
      </w:pPr>
    </w:p>
    <w:sectPr w:rsidR="000520E2" w:rsidSect="00860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07E7"/>
    <w:multiLevelType w:val="hybridMultilevel"/>
    <w:tmpl w:val="E2A464FE"/>
    <w:lvl w:ilvl="0" w:tplc="D4EC0BD6">
      <w:start w:val="1"/>
      <w:numFmt w:val="decimal"/>
      <w:lvlText w:val="%1."/>
      <w:lvlJc w:val="left"/>
      <w:pPr>
        <w:ind w:left="720" w:hanging="360"/>
      </w:pPr>
    </w:lvl>
    <w:lvl w:ilvl="1" w:tplc="7848D56A">
      <w:start w:val="1"/>
      <w:numFmt w:val="lowerLetter"/>
      <w:lvlText w:val="%2."/>
      <w:lvlJc w:val="left"/>
      <w:pPr>
        <w:ind w:left="1440" w:hanging="360"/>
      </w:pPr>
    </w:lvl>
    <w:lvl w:ilvl="2" w:tplc="D0F6FE18">
      <w:start w:val="1"/>
      <w:numFmt w:val="lowerRoman"/>
      <w:lvlText w:val="%3."/>
      <w:lvlJc w:val="right"/>
      <w:pPr>
        <w:ind w:left="2160" w:hanging="180"/>
      </w:pPr>
    </w:lvl>
    <w:lvl w:ilvl="3" w:tplc="ABFC688E">
      <w:start w:val="1"/>
      <w:numFmt w:val="decimal"/>
      <w:lvlText w:val="%4."/>
      <w:lvlJc w:val="left"/>
      <w:pPr>
        <w:ind w:left="2880" w:hanging="360"/>
      </w:pPr>
    </w:lvl>
    <w:lvl w:ilvl="4" w:tplc="94DEA66E">
      <w:start w:val="1"/>
      <w:numFmt w:val="lowerLetter"/>
      <w:lvlText w:val="%5."/>
      <w:lvlJc w:val="left"/>
      <w:pPr>
        <w:ind w:left="3600" w:hanging="360"/>
      </w:pPr>
    </w:lvl>
    <w:lvl w:ilvl="5" w:tplc="4866F7D6">
      <w:start w:val="1"/>
      <w:numFmt w:val="lowerRoman"/>
      <w:lvlText w:val="%6."/>
      <w:lvlJc w:val="right"/>
      <w:pPr>
        <w:ind w:left="4320" w:hanging="180"/>
      </w:pPr>
    </w:lvl>
    <w:lvl w:ilvl="6" w:tplc="5D8AE462">
      <w:start w:val="1"/>
      <w:numFmt w:val="decimal"/>
      <w:lvlText w:val="%7."/>
      <w:lvlJc w:val="left"/>
      <w:pPr>
        <w:ind w:left="5040" w:hanging="360"/>
      </w:pPr>
    </w:lvl>
    <w:lvl w:ilvl="7" w:tplc="26804E90">
      <w:start w:val="1"/>
      <w:numFmt w:val="lowerLetter"/>
      <w:lvlText w:val="%8."/>
      <w:lvlJc w:val="left"/>
      <w:pPr>
        <w:ind w:left="5760" w:hanging="360"/>
      </w:pPr>
    </w:lvl>
    <w:lvl w:ilvl="8" w:tplc="3EFE1FD2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4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63B"/>
    <w:rsid w:val="000520E2"/>
    <w:rsid w:val="003511C1"/>
    <w:rsid w:val="003B07BC"/>
    <w:rsid w:val="00476475"/>
    <w:rsid w:val="006628FE"/>
    <w:rsid w:val="00682D73"/>
    <w:rsid w:val="00704A1D"/>
    <w:rsid w:val="0074363B"/>
    <w:rsid w:val="0086017F"/>
    <w:rsid w:val="00A90140"/>
    <w:rsid w:val="00B74E7D"/>
    <w:rsid w:val="00C04CD1"/>
    <w:rsid w:val="00D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3B68"/>
  <w15:chartTrackingRefBased/>
  <w15:docId w15:val="{8ABA3EF7-E138-4094-B477-E77106B7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17F"/>
    <w:pPr>
      <w:spacing w:after="120" w:line="288" w:lineRule="auto"/>
    </w:pPr>
    <w:rPr>
      <w:rFonts w:ascii="Verdana" w:eastAsia="Verdana" w:hAnsi="Verdana" w:cs="Verdana"/>
      <w:kern w:val="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PDST,lp1,Preambuła,HŁ_Bullet1,Podsis rysunku,x.,BulletC,Wyliczanie,Obiekt,normalny tekst,List Paragraph1,Nagłowek 3,Akapit z listą3,Akapit z listą31,Alpha list,Bulleting,Bullets,Normalny2,A_wyliczeni"/>
    <w:basedOn w:val="Normalny"/>
    <w:link w:val="AkapitzlistZnak"/>
    <w:uiPriority w:val="34"/>
    <w:qFormat/>
    <w:rsid w:val="0086017F"/>
  </w:style>
  <w:style w:type="character" w:customStyle="1" w:styleId="AkapitzlistZnak">
    <w:name w:val="Akapit z listą Znak"/>
    <w:aliases w:val="L1 Znak,Numerowanie Znak,Normalny PDST Znak,lp1 Znak,Preambuła Znak,HŁ_Bullet1 Znak,Podsis rysunku Znak,x. Znak,BulletC Znak,Wyliczanie Znak,Obiekt Znak,normalny tekst Znak,List Paragraph1 Znak,Nagłowek 3 Znak,Akapit z listą3 Znak"/>
    <w:link w:val="Akapitzlist"/>
    <w:uiPriority w:val="34"/>
    <w:qFormat/>
    <w:locked/>
    <w:rsid w:val="0086017F"/>
    <w:rPr>
      <w:rFonts w:ascii="Verdana" w:eastAsia="Verdana" w:hAnsi="Verdana" w:cs="Verdana"/>
      <w:kern w:val="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Bernatek</dc:creator>
  <cp:keywords/>
  <dc:description/>
  <cp:lastModifiedBy>Grzegorz Bernatek</cp:lastModifiedBy>
  <cp:revision>2</cp:revision>
  <dcterms:created xsi:type="dcterms:W3CDTF">2023-11-07T14:00:00Z</dcterms:created>
  <dcterms:modified xsi:type="dcterms:W3CDTF">2023-11-07T14:00:00Z</dcterms:modified>
</cp:coreProperties>
</file>