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F9" w:rsidRPr="00FD2FF9" w:rsidRDefault="00FD2FF9" w:rsidP="00FD2FF9">
      <w:pPr>
        <w:pStyle w:val="Default"/>
        <w:jc w:val="center"/>
        <w:rPr>
          <w:i/>
          <w:u w:val="single"/>
        </w:rPr>
      </w:pPr>
      <w:bookmarkStart w:id="0" w:name="_GoBack"/>
      <w:bookmarkEnd w:id="0"/>
      <w:r w:rsidRPr="00FD2FF9">
        <w:rPr>
          <w:i/>
          <w:u w:val="single"/>
        </w:rPr>
        <w:t>tłumaczenie robocze</w:t>
      </w:r>
    </w:p>
    <w:p w:rsidR="00FD2FF9" w:rsidRPr="00FD2FF9" w:rsidRDefault="00FD2FF9" w:rsidP="00FD2FF9">
      <w:pPr>
        <w:pStyle w:val="Default"/>
        <w:rPr>
          <w:sz w:val="26"/>
          <w:szCs w:val="26"/>
          <w:lang w:val="en-US"/>
        </w:rPr>
      </w:pPr>
      <w:r w:rsidRPr="00FD2FF9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FD2FF9">
        <w:rPr>
          <w:b/>
          <w:bCs/>
          <w:sz w:val="26"/>
          <w:szCs w:val="26"/>
          <w:lang w:val="en-US"/>
        </w:rPr>
        <w:t xml:space="preserve">OLIVÉR VÁRHELYI </w:t>
      </w:r>
    </w:p>
    <w:p w:rsidR="00FD2FF9" w:rsidRPr="00FD2FF9" w:rsidRDefault="00FD2FF9" w:rsidP="00FD2FF9">
      <w:pPr>
        <w:pStyle w:val="Default"/>
        <w:rPr>
          <w:sz w:val="16"/>
          <w:szCs w:val="16"/>
          <w:lang w:val="en-US"/>
        </w:rPr>
      </w:pPr>
      <w:r w:rsidRPr="00FD2FF9">
        <w:rPr>
          <w:sz w:val="16"/>
          <w:szCs w:val="16"/>
          <w:lang w:val="en-US"/>
        </w:rPr>
        <w:t xml:space="preserve">MEMBER OF THE EUROPEAN COMMISSION </w:t>
      </w:r>
    </w:p>
    <w:p w:rsidR="00FD2FF9" w:rsidRPr="00FD2FF9" w:rsidRDefault="00FD2FF9" w:rsidP="00FD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pl-PL"/>
        </w:rPr>
      </w:pPr>
      <w:r w:rsidRPr="00FD2FF9">
        <w:rPr>
          <w:sz w:val="16"/>
          <w:szCs w:val="16"/>
          <w:lang w:val="en-US"/>
        </w:rPr>
        <w:t>EUROPEAN NEIGHBOURHOOD AND ENLARGEMENT</w:t>
      </w:r>
    </w:p>
    <w:p w:rsidR="00FD2FF9" w:rsidRPr="00FD2FF9" w:rsidRDefault="00FD2FF9" w:rsidP="00FD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ind w:firstLine="284"/>
        <w:jc w:val="right"/>
        <w:rPr>
          <w:rFonts w:eastAsia="Times New Roman" w:cstheme="minorHAnsi"/>
          <w:color w:val="202124"/>
          <w:sz w:val="24"/>
          <w:szCs w:val="24"/>
          <w:lang w:val="en-US" w:eastAsia="pl-PL"/>
        </w:rPr>
      </w:pPr>
      <w:proofErr w:type="spellStart"/>
      <w:r w:rsidRPr="00FD2FF9">
        <w:rPr>
          <w:rFonts w:eastAsia="Times New Roman" w:cstheme="minorHAnsi"/>
          <w:color w:val="202124"/>
          <w:sz w:val="24"/>
          <w:szCs w:val="24"/>
          <w:lang w:val="en-US" w:eastAsia="pl-PL"/>
        </w:rPr>
        <w:t>Bruksela</w:t>
      </w:r>
      <w:proofErr w:type="spellEnd"/>
      <w:r w:rsidRPr="00FD2FF9">
        <w:rPr>
          <w:rFonts w:eastAsia="Times New Roman" w:cstheme="minorHAnsi"/>
          <w:color w:val="202124"/>
          <w:sz w:val="24"/>
          <w:szCs w:val="24"/>
          <w:lang w:val="en-US" w:eastAsia="pl-PL"/>
        </w:rPr>
        <w:t xml:space="preserve">, 26 </w:t>
      </w:r>
      <w:proofErr w:type="spellStart"/>
      <w:r w:rsidRPr="00FD2FF9">
        <w:rPr>
          <w:rFonts w:eastAsia="Times New Roman" w:cstheme="minorHAnsi"/>
          <w:color w:val="202124"/>
          <w:sz w:val="24"/>
          <w:szCs w:val="24"/>
          <w:lang w:val="en-US" w:eastAsia="pl-PL"/>
        </w:rPr>
        <w:t>lipca</w:t>
      </w:r>
      <w:proofErr w:type="spellEnd"/>
      <w:r w:rsidRPr="00FD2FF9">
        <w:rPr>
          <w:rFonts w:eastAsia="Times New Roman" w:cstheme="minorHAnsi"/>
          <w:color w:val="202124"/>
          <w:sz w:val="24"/>
          <w:szCs w:val="24"/>
          <w:lang w:val="en-US" w:eastAsia="pl-PL"/>
        </w:rPr>
        <w:t xml:space="preserve"> 2023</w:t>
      </w:r>
    </w:p>
    <w:p w:rsidR="00FD2FF9" w:rsidRPr="00FD2FF9" w:rsidRDefault="00FD2FF9" w:rsidP="00FD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284"/>
        <w:jc w:val="both"/>
        <w:rPr>
          <w:rFonts w:eastAsia="Times New Roman" w:cstheme="minorHAnsi"/>
          <w:color w:val="202124"/>
          <w:sz w:val="24"/>
          <w:szCs w:val="24"/>
          <w:lang w:val="en-US" w:eastAsia="pl-PL"/>
        </w:rPr>
      </w:pPr>
      <w:r w:rsidRPr="00FD2FF9">
        <w:rPr>
          <w:rFonts w:eastAsia="Times New Roman" w:cstheme="minorHAnsi"/>
          <w:color w:val="202124"/>
          <w:sz w:val="24"/>
          <w:szCs w:val="24"/>
          <w:lang w:val="en-US" w:eastAsia="pl-PL"/>
        </w:rPr>
        <w:t>Zygmunt FRANKIEWICZ</w:t>
      </w:r>
    </w:p>
    <w:p w:rsidR="00FD2FF9" w:rsidRDefault="00FD2FF9" w:rsidP="00FD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t>Prezes Związku Miast Polskich</w:t>
      </w:r>
    </w:p>
    <w:p w:rsidR="00E86AA4" w:rsidRPr="00E86AA4" w:rsidRDefault="00E86AA4" w:rsidP="00E86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ind w:firstLine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FD2FF9">
        <w:rPr>
          <w:rFonts w:eastAsia="Times New Roman" w:cstheme="minorHAnsi"/>
          <w:color w:val="202124"/>
          <w:sz w:val="24"/>
          <w:szCs w:val="24"/>
          <w:lang w:eastAsia="pl-PL"/>
        </w:rPr>
        <w:t>Dziękuję za list dotyczący roli gmin ukraińskich w utrzymaniu odporności Ukrainy podczas pełn</w:t>
      </w:r>
      <w:r w:rsidR="00FD2FF9">
        <w:rPr>
          <w:rFonts w:eastAsia="Times New Roman" w:cstheme="minorHAnsi"/>
          <w:color w:val="202124"/>
          <w:sz w:val="24"/>
          <w:szCs w:val="24"/>
          <w:lang w:eastAsia="pl-PL"/>
        </w:rPr>
        <w:t>oskalowej</w:t>
      </w:r>
      <w:r w:rsidRPr="00FD2FF9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inwazji rosyjskiej oraz ich znaczenia dla procesu rozszerzenia UE i odbudowy kraju.</w:t>
      </w:r>
    </w:p>
    <w:p w:rsidR="00E86AA4" w:rsidRPr="00FD2FF9" w:rsidRDefault="00E86AA4" w:rsidP="00E86AA4">
      <w:pPr>
        <w:pStyle w:val="HTML-wstpniesformatowany"/>
        <w:spacing w:after="120" w:line="288" w:lineRule="auto"/>
        <w:ind w:firstLine="284"/>
        <w:jc w:val="both"/>
        <w:rPr>
          <w:rFonts w:asciiTheme="minorHAnsi" w:hAnsiTheme="minorHAnsi" w:cstheme="minorHAnsi"/>
          <w:color w:val="202124"/>
          <w:sz w:val="24"/>
          <w:szCs w:val="24"/>
        </w:rPr>
      </w:pPr>
      <w:r w:rsidRP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Pragnę wyrazić wdzięczność za pomoc udzieloną przez liczne polskie gminy Ukraińcom uciekającym przed wojną oraz za partnerskie </w:t>
      </w:r>
      <w:r w:rsid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relacje</w:t>
      </w:r>
      <w:r w:rsidRP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między polskimi i ukraińskimi miastami i</w:t>
      </w:r>
      <w:r w:rsid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 </w:t>
      </w:r>
      <w:r w:rsidRP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regionami, które przyczyniają się do procesu odbudowy.</w:t>
      </w:r>
    </w:p>
    <w:p w:rsidR="00E86AA4" w:rsidRPr="00FD2FF9" w:rsidRDefault="00E86AA4" w:rsidP="00E86AA4">
      <w:pPr>
        <w:pStyle w:val="HTML-wstpniesformatowany"/>
        <w:spacing w:after="120" w:line="288" w:lineRule="auto"/>
        <w:ind w:firstLine="284"/>
        <w:jc w:val="both"/>
        <w:rPr>
          <w:rFonts w:asciiTheme="minorHAnsi" w:hAnsiTheme="minorHAnsi" w:cstheme="minorHAnsi"/>
          <w:color w:val="202124"/>
          <w:sz w:val="24"/>
          <w:szCs w:val="24"/>
        </w:rPr>
      </w:pPr>
      <w:r w:rsidRP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Komisja w pełni podziela Pa</w:t>
      </w:r>
      <w:r w:rsid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ńską</w:t>
      </w:r>
      <w:r w:rsidRP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ocenę znaczenia reformy decentralizacji Ukrainy. Jak wspomniano w opinii Komisji w sprawie wniosku Ukrainy o członkostwo w Unii Europejskiej</w:t>
      </w:r>
      <w:r w:rsidRPr="00FD2FF9">
        <w:rPr>
          <w:rStyle w:val="Odwoanieprzypisudolnego"/>
          <w:rFonts w:asciiTheme="minorHAnsi" w:hAnsiTheme="minorHAnsi" w:cstheme="minorHAnsi"/>
          <w:color w:val="202124"/>
          <w:sz w:val="24"/>
          <w:szCs w:val="24"/>
        </w:rPr>
        <w:footnoteReference w:id="1"/>
      </w:r>
      <w:r w:rsidRPr="00FD2FF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, jest to jedna z najbardziej wpływowych i udanych reform realizowanych w tym kraju i ma zasadnicze znaczenie dla jego rozwoju społecznego i gospodarczego. Biorąc pod uwagę kluczową rolę gmin w procesie odbudowy i odbudowy, Komisja jest zdania, że ​​proces ten powinien z kolei służyć konsolidacji i dalszemu wzmacnianiu reformy decentralizacji.</w:t>
      </w:r>
    </w:p>
    <w:p w:rsidR="00FD2FF9" w:rsidRPr="00FD2FF9" w:rsidRDefault="00E86AA4" w:rsidP="00FD2FF9">
      <w:pPr>
        <w:pStyle w:val="HTML-wstpniesformatowany"/>
        <w:spacing w:after="120" w:line="288" w:lineRule="auto"/>
        <w:ind w:firstLine="284"/>
        <w:jc w:val="both"/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</w:pP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Wspieranie decentralizacji i rozwoju lokalnego to jeden ze szczegółowych celów wniosku Komisji dotyczącego nowego instrumentu finansowego, instrumentu dla Ukrainy</w:t>
      </w:r>
      <w:r w:rsidRPr="00FD2FF9">
        <w:rPr>
          <w:rStyle w:val="Odwoanieprzypisudolnego"/>
          <w:rFonts w:asciiTheme="minorHAnsi" w:hAnsiTheme="minorHAnsi" w:cstheme="minorHAnsi"/>
          <w:color w:val="202124"/>
          <w:spacing w:val="-4"/>
          <w:sz w:val="24"/>
          <w:szCs w:val="24"/>
        </w:rPr>
        <w:footnoteReference w:id="2"/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, przyjętego w</w:t>
      </w:r>
      <w:r w:rsid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 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dniu 20 czerwca 2023 r. Instrument ma na celu zapewnienie przewidywalnego i elastycz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softHyphen/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nego wsparcia finansowego w wysokości do 50 mld euro dla okres od 2024 do 2027 roku. W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 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ramach Instrumentu Ukraina będzie zobowiązana do konsultacji i zaangażowania gmin w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 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podejmowanie decyzji o wykorzystaniu udzielanego wsparcia, a projekty wybrane i realizo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softHyphen/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wane przez władze 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zdecentralizowane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powinny stanowić odpowiednio merytoryczny udział w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 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całkowitym wsparciu.</w:t>
      </w:r>
    </w:p>
    <w:p w:rsidR="00E86AA4" w:rsidRPr="00FD2FF9" w:rsidRDefault="00E86AA4" w:rsidP="00FD2FF9">
      <w:pPr>
        <w:pStyle w:val="HTML-wstpniesformatowany"/>
        <w:spacing w:after="120" w:line="288" w:lineRule="auto"/>
        <w:ind w:firstLine="284"/>
        <w:jc w:val="both"/>
        <w:rPr>
          <w:rFonts w:asciiTheme="minorHAnsi" w:hAnsiTheme="minorHAnsi" w:cstheme="minorHAnsi"/>
          <w:color w:val="202124"/>
          <w:spacing w:val="-4"/>
          <w:sz w:val="24"/>
          <w:szCs w:val="24"/>
        </w:rPr>
      </w:pP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Jeśli chodzi o współpracę transgraniczną między Polską a Ukrainą, Komisja jest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wdzięczn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a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za zaangażowanie polskich miast w realizację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programu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</w:t>
      </w:r>
      <w:proofErr w:type="spellStart"/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Interreg</w:t>
      </w:r>
      <w:proofErr w:type="spellEnd"/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.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Jego zasięg geograficzny został zaprojektowany z myślą o obsłudze transgranicznej współpracy między Polską a Ukrainą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>. Obecne ramy prawne pozwalają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 xml:space="preserve"> 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>wyselekcjonować projekty obejmujące partnerów z terenu całej Polski i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> 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>Ukrainy,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 xml:space="preserve"> 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>pod warunkiem, że ich zaangażowanie przyniesie korzyści dla współpracy transgranicz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softHyphen/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  <w:u w:val="single"/>
        </w:rPr>
        <w:t>nej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. Ponadto,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Komisja i państwa członkowskie finalizują włączenie Ukrainy do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program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ów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międzyregionaln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ych </w:t>
      </w:r>
      <w:proofErr w:type="spellStart"/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Interreg</w:t>
      </w:r>
      <w:proofErr w:type="spellEnd"/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(</w:t>
      </w:r>
      <w:proofErr w:type="spellStart"/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Interreg</w:t>
      </w:r>
      <w:proofErr w:type="spellEnd"/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 xml:space="preserve"> Europe i URBACT), które obejmą całość Polsk</w:t>
      </w:r>
      <w:r w:rsidR="00FD2FF9"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i</w:t>
      </w:r>
      <w:r w:rsidRPr="00FD2FF9">
        <w:rPr>
          <w:rStyle w:val="y2iqfc"/>
          <w:rFonts w:asciiTheme="minorHAnsi" w:hAnsiTheme="minorHAnsi" w:cstheme="minorHAnsi"/>
          <w:color w:val="202124"/>
          <w:spacing w:val="-4"/>
          <w:sz w:val="24"/>
          <w:szCs w:val="24"/>
        </w:rPr>
        <w:t>.</w:t>
      </w:r>
    </w:p>
    <w:p w:rsidR="00AB546A" w:rsidRPr="00FD2FF9" w:rsidRDefault="00FD2FF9" w:rsidP="00E86AA4">
      <w:pPr>
        <w:pStyle w:val="HTML-wstpniesformatowany"/>
        <w:spacing w:after="120" w:line="288" w:lineRule="auto"/>
        <w:ind w:firstLine="284"/>
        <w:jc w:val="both"/>
        <w:rPr>
          <w:rFonts w:asciiTheme="minorHAnsi" w:hAnsiTheme="minorHAnsi" w:cstheme="minorHAnsi"/>
          <w:i/>
          <w:color w:val="202124"/>
          <w:sz w:val="24"/>
          <w:szCs w:val="24"/>
        </w:rPr>
      </w:pPr>
      <w:r w:rsidRPr="00FD2FF9">
        <w:rPr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D2FF9">
        <w:rPr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D2FF9">
        <w:rPr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D2FF9">
        <w:rPr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D2FF9">
        <w:rPr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D2FF9">
        <w:rPr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D2FF9">
        <w:rPr>
          <w:rFonts w:asciiTheme="minorHAnsi" w:hAnsiTheme="minorHAnsi" w:cstheme="minorHAnsi"/>
          <w:i/>
          <w:color w:val="202124"/>
          <w:sz w:val="24"/>
          <w:szCs w:val="24"/>
        </w:rPr>
        <w:tab/>
      </w:r>
      <w:proofErr w:type="spellStart"/>
      <w:r w:rsidRPr="00FD2FF9">
        <w:rPr>
          <w:i/>
          <w:sz w:val="23"/>
          <w:szCs w:val="23"/>
        </w:rPr>
        <w:t>Olivér</w:t>
      </w:r>
      <w:proofErr w:type="spellEnd"/>
      <w:r w:rsidRPr="00FD2FF9">
        <w:rPr>
          <w:i/>
          <w:sz w:val="23"/>
          <w:szCs w:val="23"/>
        </w:rPr>
        <w:t xml:space="preserve"> </w:t>
      </w:r>
      <w:proofErr w:type="spellStart"/>
      <w:r w:rsidRPr="00FD2FF9">
        <w:rPr>
          <w:i/>
          <w:sz w:val="23"/>
          <w:szCs w:val="23"/>
        </w:rPr>
        <w:t>Várhelyi</w:t>
      </w:r>
      <w:proofErr w:type="spellEnd"/>
    </w:p>
    <w:sectPr w:rsidR="00AB546A" w:rsidRPr="00FD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D6" w:rsidRDefault="003C5ED6" w:rsidP="00E86AA4">
      <w:pPr>
        <w:spacing w:after="0" w:line="240" w:lineRule="auto"/>
      </w:pPr>
      <w:r>
        <w:separator/>
      </w:r>
    </w:p>
  </w:endnote>
  <w:endnote w:type="continuationSeparator" w:id="0">
    <w:p w:rsidR="003C5ED6" w:rsidRDefault="003C5ED6" w:rsidP="00E8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D6" w:rsidRDefault="003C5ED6" w:rsidP="00E86AA4">
      <w:pPr>
        <w:spacing w:after="0" w:line="240" w:lineRule="auto"/>
      </w:pPr>
      <w:r>
        <w:separator/>
      </w:r>
    </w:p>
  </w:footnote>
  <w:footnote w:type="continuationSeparator" w:id="0">
    <w:p w:rsidR="003C5ED6" w:rsidRDefault="003C5ED6" w:rsidP="00E86AA4">
      <w:pPr>
        <w:spacing w:after="0" w:line="240" w:lineRule="auto"/>
      </w:pPr>
      <w:r>
        <w:continuationSeparator/>
      </w:r>
    </w:p>
  </w:footnote>
  <w:footnote w:id="1">
    <w:p w:rsidR="00E86AA4" w:rsidRDefault="00E86AA4" w:rsidP="00E86AA4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t xml:space="preserve"> COM(2022) 407 </w:t>
      </w:r>
      <w:proofErr w:type="spellStart"/>
      <w:r>
        <w:t>final</w:t>
      </w:r>
      <w:proofErr w:type="spellEnd"/>
      <w:r>
        <w:t xml:space="preserve">  </w:t>
      </w:r>
    </w:p>
  </w:footnote>
  <w:footnote w:id="2">
    <w:p w:rsidR="00E86AA4" w:rsidRDefault="00E86AA4" w:rsidP="00E86AA4">
      <w:pPr>
        <w:pStyle w:val="Default"/>
      </w:pPr>
      <w:r>
        <w:rPr>
          <w:rStyle w:val="Odwoanieprzypisudolnego"/>
        </w:rPr>
        <w:footnoteRef/>
      </w:r>
      <w:r>
        <w:t xml:space="preserve">  </w:t>
      </w:r>
      <w:r>
        <w:t xml:space="preserve">COM(2023) 338 </w:t>
      </w:r>
      <w:proofErr w:type="spellStart"/>
      <w:r>
        <w:t>final</w:t>
      </w:r>
      <w:proofErr w:type="spellEnd"/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A4"/>
    <w:rsid w:val="003C5ED6"/>
    <w:rsid w:val="00A15571"/>
    <w:rsid w:val="00AB546A"/>
    <w:rsid w:val="00E86AA4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F27B"/>
  <w15:chartTrackingRefBased/>
  <w15:docId w15:val="{D3EE8A73-E348-4DC8-A32F-44B7B3A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6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6A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86A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A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A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AA4"/>
    <w:rPr>
      <w:vertAlign w:val="superscript"/>
    </w:rPr>
  </w:style>
  <w:style w:type="paragraph" w:customStyle="1" w:styleId="Default">
    <w:name w:val="Default"/>
    <w:rsid w:val="00E86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26CE-B463-4A7B-915E-1BA28A67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1</cp:revision>
  <dcterms:created xsi:type="dcterms:W3CDTF">2023-07-26T18:05:00Z</dcterms:created>
  <dcterms:modified xsi:type="dcterms:W3CDTF">2023-07-26T18:26:00Z</dcterms:modified>
</cp:coreProperties>
</file>