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8780F" w14:textId="3E707AB2" w:rsidR="00771A34" w:rsidRPr="00762211" w:rsidRDefault="005323E1" w:rsidP="005A082A">
      <w:pPr>
        <w:pStyle w:val="Nagwek1"/>
        <w:spacing w:before="0"/>
        <w:jc w:val="center"/>
        <w:rPr>
          <w:rFonts w:asciiTheme="minorHAnsi" w:hAnsiTheme="minorHAnsi" w:cstheme="minorHAnsi"/>
          <w:b/>
          <w:i/>
          <w:iCs/>
          <w:sz w:val="40"/>
          <w:szCs w:val="40"/>
        </w:rPr>
      </w:pPr>
      <w:r w:rsidRPr="00762211">
        <w:rPr>
          <w:rFonts w:asciiTheme="minorHAnsi" w:hAnsiTheme="minorHAnsi" w:cstheme="minorHAnsi"/>
          <w:b/>
          <w:i/>
          <w:iCs/>
          <w:sz w:val="40"/>
          <w:szCs w:val="40"/>
        </w:rPr>
        <w:t xml:space="preserve">Miasto - </w:t>
      </w:r>
      <w:r w:rsidR="00AD532B" w:rsidRPr="00762211">
        <w:rPr>
          <w:rFonts w:asciiTheme="minorHAnsi" w:hAnsiTheme="minorHAnsi" w:cstheme="minorHAnsi"/>
          <w:b/>
          <w:i/>
          <w:iCs/>
          <w:sz w:val="40"/>
          <w:szCs w:val="40"/>
        </w:rPr>
        <w:t xml:space="preserve">Lider </w:t>
      </w:r>
      <w:r w:rsidRPr="00762211">
        <w:rPr>
          <w:rFonts w:asciiTheme="minorHAnsi" w:hAnsiTheme="minorHAnsi" w:cstheme="minorHAnsi"/>
          <w:b/>
          <w:i/>
          <w:iCs/>
          <w:sz w:val="40"/>
          <w:szCs w:val="40"/>
        </w:rPr>
        <w:t>E</w:t>
      </w:r>
      <w:r w:rsidR="00AD532B" w:rsidRPr="00762211">
        <w:rPr>
          <w:rFonts w:asciiTheme="minorHAnsi" w:hAnsiTheme="minorHAnsi" w:cstheme="minorHAnsi"/>
          <w:b/>
          <w:i/>
          <w:iCs/>
          <w:sz w:val="40"/>
          <w:szCs w:val="40"/>
        </w:rPr>
        <w:t>dukacji</w:t>
      </w:r>
    </w:p>
    <w:p w14:paraId="17CA345D" w14:textId="41A160EB" w:rsidR="005323E1" w:rsidRDefault="005323E1" w:rsidP="005323E1">
      <w:pPr>
        <w:jc w:val="center"/>
      </w:pPr>
      <w:r>
        <w:t xml:space="preserve">Metodologia wyłonienia </w:t>
      </w:r>
      <w:r w:rsidR="005A082A">
        <w:t>L</w:t>
      </w:r>
      <w:r>
        <w:t>aureatów</w:t>
      </w:r>
      <w:r w:rsidR="0081504D">
        <w:t xml:space="preserve"> I edycji</w:t>
      </w:r>
    </w:p>
    <w:p w14:paraId="75C605A5" w14:textId="77777777" w:rsidR="005323E1" w:rsidRDefault="005323E1" w:rsidP="005323E1">
      <w:pPr>
        <w:ind w:firstLine="360"/>
        <w:jc w:val="both"/>
        <w:rPr>
          <w:spacing w:val="-2"/>
        </w:rPr>
      </w:pPr>
      <w:r w:rsidRPr="005323E1">
        <w:rPr>
          <w:spacing w:val="-2"/>
        </w:rPr>
        <w:t xml:space="preserve">Związek Miast Polskich, w uzgodnieniu ze współorganizatorami </w:t>
      </w:r>
      <w:r>
        <w:rPr>
          <w:spacing w:val="-2"/>
        </w:rPr>
        <w:t xml:space="preserve">II </w:t>
      </w:r>
      <w:r w:rsidRPr="005323E1">
        <w:rPr>
          <w:spacing w:val="-2"/>
        </w:rPr>
        <w:t>Kongresu</w:t>
      </w:r>
      <w:r>
        <w:rPr>
          <w:spacing w:val="-2"/>
        </w:rPr>
        <w:t xml:space="preserve"> Małych i Średnich Miast</w:t>
      </w:r>
      <w:r w:rsidRPr="005323E1">
        <w:rPr>
          <w:spacing w:val="-2"/>
        </w:rPr>
        <w:t xml:space="preserve">, postanowił – wykorzystując opracowane </w:t>
      </w:r>
      <w:r>
        <w:rPr>
          <w:spacing w:val="-2"/>
        </w:rPr>
        <w:t xml:space="preserve">w ramach realizowanych projektów </w:t>
      </w:r>
      <w:r w:rsidRPr="005323E1">
        <w:rPr>
          <w:spacing w:val="-2"/>
        </w:rPr>
        <w:t>narzędzia pomocne w zarzą</w:t>
      </w:r>
      <w:r>
        <w:rPr>
          <w:spacing w:val="-2"/>
        </w:rPr>
        <w:softHyphen/>
      </w:r>
      <w:r w:rsidRPr="005323E1">
        <w:rPr>
          <w:spacing w:val="-2"/>
        </w:rPr>
        <w:t xml:space="preserve">dzaniu miastami – wyróżnić miasta, które można uznać za </w:t>
      </w:r>
      <w:r w:rsidRPr="005323E1">
        <w:rPr>
          <w:b/>
          <w:bCs/>
          <w:spacing w:val="-2"/>
        </w:rPr>
        <w:t>liderów edukacji</w:t>
      </w:r>
      <w:r w:rsidRPr="005323E1">
        <w:rPr>
          <w:spacing w:val="-2"/>
        </w:rPr>
        <w:t xml:space="preserve"> w ostatnich latach.</w:t>
      </w:r>
    </w:p>
    <w:p w14:paraId="78C9645D" w14:textId="47226364" w:rsidR="005323E1" w:rsidRPr="0081504D" w:rsidRDefault="005323E1" w:rsidP="0081504D">
      <w:pPr>
        <w:ind w:firstLine="360"/>
        <w:jc w:val="both"/>
        <w:rPr>
          <w:rFonts w:ascii="Calibri" w:hAnsi="Calibri"/>
          <w:spacing w:val="-4"/>
        </w:rPr>
      </w:pPr>
      <w:r w:rsidRPr="001125D4">
        <w:rPr>
          <w:spacing w:val="-4"/>
        </w:rPr>
        <w:t xml:space="preserve">Źródłem danych </w:t>
      </w:r>
      <w:r w:rsidR="001125D4" w:rsidRPr="001125D4">
        <w:rPr>
          <w:spacing w:val="-4"/>
        </w:rPr>
        <w:t>wykorzystanych w przeprowadzonej według poniższej metodologii analizie był</w:t>
      </w:r>
      <w:r w:rsidR="001125D4">
        <w:rPr>
          <w:spacing w:val="-2"/>
        </w:rPr>
        <w:t xml:space="preserve"> </w:t>
      </w:r>
      <w:r w:rsidR="001125D4" w:rsidRPr="005A082A">
        <w:rPr>
          <w:b/>
          <w:spacing w:val="-2"/>
        </w:rPr>
        <w:t xml:space="preserve">System </w:t>
      </w:r>
      <w:r w:rsidR="001125D4" w:rsidRPr="005A082A">
        <w:rPr>
          <w:b/>
          <w:spacing w:val="-4"/>
        </w:rPr>
        <w:t>Monitorowania Usług Publicznych</w:t>
      </w:r>
      <w:r w:rsidR="001125D4" w:rsidRPr="0081504D">
        <w:rPr>
          <w:spacing w:val="-4"/>
        </w:rPr>
        <w:t xml:space="preserve"> (</w:t>
      </w:r>
      <w:r w:rsidR="001125D4" w:rsidRPr="005A082A">
        <w:rPr>
          <w:b/>
          <w:spacing w:val="-4"/>
        </w:rPr>
        <w:t>SMUP</w:t>
      </w:r>
      <w:r w:rsidR="001125D4" w:rsidRPr="0081504D">
        <w:rPr>
          <w:spacing w:val="-4"/>
        </w:rPr>
        <w:t xml:space="preserve">), dostępny na stronie internetowej </w:t>
      </w:r>
      <w:hyperlink r:id="rId8" w:history="1">
        <w:r w:rsidR="001125D4" w:rsidRPr="0081504D">
          <w:rPr>
            <w:rStyle w:val="Hipercze"/>
            <w:spacing w:val="-4"/>
          </w:rPr>
          <w:t>https://smup.gov.pl/</w:t>
        </w:r>
      </w:hyperlink>
      <w:r w:rsidR="001125D4" w:rsidRPr="0081504D">
        <w:rPr>
          <w:spacing w:val="-4"/>
        </w:rPr>
        <w:t>.</w:t>
      </w:r>
      <w:r w:rsidR="0081504D" w:rsidRPr="0081504D">
        <w:rPr>
          <w:spacing w:val="-4"/>
        </w:rPr>
        <w:t xml:space="preserve"> System powstaje</w:t>
      </w:r>
      <w:r w:rsidR="0081504D">
        <w:rPr>
          <w:spacing w:val="-4"/>
        </w:rPr>
        <w:t xml:space="preserve"> w ramach projektu prowadzonego przez MSWiA, we współpracy z GUS, ZMP i ZPP.</w:t>
      </w:r>
    </w:p>
    <w:p w14:paraId="4E8CCF20" w14:textId="32398510" w:rsidR="007158E4" w:rsidRDefault="005323E1" w:rsidP="005323E1">
      <w:pPr>
        <w:pStyle w:val="Akapitzlist"/>
        <w:numPr>
          <w:ilvl w:val="0"/>
          <w:numId w:val="1"/>
        </w:numPr>
        <w:jc w:val="both"/>
      </w:pPr>
      <w:r w:rsidRPr="0081504D">
        <w:rPr>
          <w:spacing w:val="-4"/>
        </w:rPr>
        <w:t>Uwzględniono</w:t>
      </w:r>
      <w:r w:rsidR="00D96806" w:rsidRPr="0081504D">
        <w:rPr>
          <w:spacing w:val="-4"/>
        </w:rPr>
        <w:t xml:space="preserve"> </w:t>
      </w:r>
      <w:r w:rsidR="007158E4" w:rsidRPr="0081504D">
        <w:rPr>
          <w:spacing w:val="-4"/>
        </w:rPr>
        <w:t xml:space="preserve">gminy, które </w:t>
      </w:r>
      <w:r w:rsidR="00D96806" w:rsidRPr="0081504D">
        <w:rPr>
          <w:spacing w:val="-4"/>
        </w:rPr>
        <w:t>w</w:t>
      </w:r>
      <w:r w:rsidR="007158E4" w:rsidRPr="0081504D">
        <w:rPr>
          <w:spacing w:val="-4"/>
        </w:rPr>
        <w:t xml:space="preserve"> lata</w:t>
      </w:r>
      <w:r w:rsidR="00D96806" w:rsidRPr="0081504D">
        <w:rPr>
          <w:spacing w:val="-4"/>
        </w:rPr>
        <w:t>ch</w:t>
      </w:r>
      <w:r w:rsidR="007158E4" w:rsidRPr="0081504D">
        <w:rPr>
          <w:spacing w:val="-4"/>
        </w:rPr>
        <w:t xml:space="preserve"> </w:t>
      </w:r>
      <w:r w:rsidR="00D96806" w:rsidRPr="0081504D">
        <w:rPr>
          <w:spacing w:val="-4"/>
        </w:rPr>
        <w:t>2019-21 miały status miasta</w:t>
      </w:r>
      <w:r w:rsidR="0081504D" w:rsidRPr="0081504D">
        <w:rPr>
          <w:spacing w:val="-4"/>
        </w:rPr>
        <w:t xml:space="preserve"> (p</w:t>
      </w:r>
      <w:r w:rsidR="00D96806" w:rsidRPr="0081504D">
        <w:rPr>
          <w:spacing w:val="-4"/>
        </w:rPr>
        <w:t>ominięto miasta na</w:t>
      </w:r>
      <w:r w:rsidR="00D96806">
        <w:t xml:space="preserve"> prawach powiatu</w:t>
      </w:r>
      <w:r w:rsidR="0081504D">
        <w:t>, z których większość nie mieści się w grupie miast małych i średnich).</w:t>
      </w:r>
    </w:p>
    <w:p w14:paraId="0AF2CDE7" w14:textId="0D4EE37C" w:rsidR="007158E4" w:rsidRDefault="007158E4" w:rsidP="007158E4">
      <w:pPr>
        <w:pStyle w:val="Akapitzlist"/>
        <w:numPr>
          <w:ilvl w:val="0"/>
          <w:numId w:val="1"/>
        </w:numPr>
      </w:pPr>
      <w:r>
        <w:t xml:space="preserve">Wszystkie miasta </w:t>
      </w:r>
      <w:r w:rsidR="00D96806">
        <w:t>po</w:t>
      </w:r>
      <w:r>
        <w:t>dziel</w:t>
      </w:r>
      <w:r w:rsidR="00D96806">
        <w:t>ono</w:t>
      </w:r>
      <w:r>
        <w:t xml:space="preserve"> na trzy </w:t>
      </w:r>
      <w:r w:rsidR="000E4101">
        <w:t>kategorie</w:t>
      </w:r>
      <w:r>
        <w:t>:</w:t>
      </w:r>
    </w:p>
    <w:p w14:paraId="1FD1D124" w14:textId="5AEDCBFD" w:rsidR="007158E4" w:rsidRDefault="000E4101" w:rsidP="0081504D">
      <w:pPr>
        <w:pStyle w:val="Akapitzlist"/>
        <w:numPr>
          <w:ilvl w:val="1"/>
          <w:numId w:val="3"/>
        </w:numPr>
        <w:ind w:left="1248" w:hanging="284"/>
        <w:jc w:val="both"/>
      </w:pPr>
      <w:r w:rsidRPr="000E4101">
        <w:rPr>
          <w:b/>
          <w:bCs/>
        </w:rPr>
        <w:t>Kategoria I</w:t>
      </w:r>
      <w:r>
        <w:t xml:space="preserve"> – </w:t>
      </w:r>
      <w:r w:rsidR="00773AEF">
        <w:t xml:space="preserve">miasta położone w </w:t>
      </w:r>
      <w:r>
        <w:t>s</w:t>
      </w:r>
      <w:r w:rsidR="007158E4">
        <w:t>tref</w:t>
      </w:r>
      <w:r w:rsidR="0041423C">
        <w:t>ie</w:t>
      </w:r>
      <w:r w:rsidR="007158E4">
        <w:t xml:space="preserve"> zewnętrzn</w:t>
      </w:r>
      <w:r w:rsidR="0041423C">
        <w:t>ej</w:t>
      </w:r>
      <w:r w:rsidR="007158E4">
        <w:t xml:space="preserve"> miejskich obszarów funkcjonalnych stolic województw (wg klasyfikacji grup </w:t>
      </w:r>
      <w:r>
        <w:t>funkcjonalnych</w:t>
      </w:r>
      <w:r w:rsidR="007158E4">
        <w:t>)</w:t>
      </w:r>
      <w:r w:rsidR="0081504D">
        <w:t>,</w:t>
      </w:r>
    </w:p>
    <w:p w14:paraId="4F510AB9" w14:textId="439D7C18" w:rsidR="007158E4" w:rsidRDefault="000E4101" w:rsidP="0081504D">
      <w:pPr>
        <w:pStyle w:val="Akapitzlist"/>
        <w:numPr>
          <w:ilvl w:val="1"/>
          <w:numId w:val="3"/>
        </w:numPr>
        <w:ind w:left="1248" w:hanging="284"/>
      </w:pPr>
      <w:r w:rsidRPr="000E4101">
        <w:rPr>
          <w:b/>
          <w:bCs/>
        </w:rPr>
        <w:t>Kategoria I</w:t>
      </w:r>
      <w:r>
        <w:rPr>
          <w:b/>
          <w:bCs/>
        </w:rPr>
        <w:t>I</w:t>
      </w:r>
      <w:r>
        <w:t xml:space="preserve"> – </w:t>
      </w:r>
      <w:r w:rsidR="007158E4">
        <w:t>miasta</w:t>
      </w:r>
      <w:r w:rsidR="00773AEF">
        <w:t xml:space="preserve"> </w:t>
      </w:r>
      <w:r w:rsidR="005A082A">
        <w:t>–</w:t>
      </w:r>
      <w:r w:rsidR="007158E4">
        <w:t xml:space="preserve"> siedziby</w:t>
      </w:r>
      <w:r w:rsidR="005A082A">
        <w:t xml:space="preserve"> </w:t>
      </w:r>
      <w:r w:rsidR="007158E4">
        <w:t>powiatów</w:t>
      </w:r>
      <w:r w:rsidR="0081504D">
        <w:t>,</w:t>
      </w:r>
    </w:p>
    <w:p w14:paraId="73154155" w14:textId="3B02DCB9" w:rsidR="007158E4" w:rsidRDefault="000E4101" w:rsidP="0081504D">
      <w:pPr>
        <w:pStyle w:val="Akapitzlist"/>
        <w:numPr>
          <w:ilvl w:val="1"/>
          <w:numId w:val="3"/>
        </w:numPr>
        <w:ind w:left="1248" w:hanging="284"/>
        <w:jc w:val="both"/>
      </w:pPr>
      <w:r w:rsidRPr="000E4101">
        <w:rPr>
          <w:b/>
          <w:bCs/>
        </w:rPr>
        <w:t>Kategoria I</w:t>
      </w:r>
      <w:r>
        <w:rPr>
          <w:b/>
          <w:bCs/>
        </w:rPr>
        <w:t>II</w:t>
      </w:r>
      <w:r>
        <w:t xml:space="preserve"> </w:t>
      </w:r>
      <w:r w:rsidRPr="0081504D">
        <w:rPr>
          <w:spacing w:val="-2"/>
        </w:rPr>
        <w:t xml:space="preserve">– miasta </w:t>
      </w:r>
      <w:r w:rsidR="00773AEF" w:rsidRPr="0081504D">
        <w:rPr>
          <w:spacing w:val="-2"/>
        </w:rPr>
        <w:t xml:space="preserve">pozostałe, </w:t>
      </w:r>
      <w:r w:rsidRPr="0081504D">
        <w:rPr>
          <w:spacing w:val="-2"/>
        </w:rPr>
        <w:t>położone poza strefami zewnętrznymi miejskich obszarów funkcjonalnych stolic województw oraz niebędące siedzibami powiatów</w:t>
      </w:r>
      <w:r w:rsidR="0081504D">
        <w:rPr>
          <w:spacing w:val="-2"/>
        </w:rPr>
        <w:t>.</w:t>
      </w:r>
    </w:p>
    <w:p w14:paraId="117849D3" w14:textId="22E78549" w:rsidR="007158E4" w:rsidRPr="0081504D" w:rsidRDefault="000E4101" w:rsidP="0081504D">
      <w:pPr>
        <w:pStyle w:val="Akapitzlist"/>
        <w:jc w:val="both"/>
        <w:rPr>
          <w:spacing w:val="-4"/>
        </w:rPr>
      </w:pPr>
      <w:r w:rsidRPr="0081504D">
        <w:rPr>
          <w:spacing w:val="-4"/>
        </w:rPr>
        <w:t>M</w:t>
      </w:r>
      <w:r w:rsidR="007158E4" w:rsidRPr="0081504D">
        <w:rPr>
          <w:spacing w:val="-4"/>
        </w:rPr>
        <w:t>iast</w:t>
      </w:r>
      <w:r w:rsidRPr="0081504D">
        <w:rPr>
          <w:spacing w:val="-4"/>
        </w:rPr>
        <w:t>a</w:t>
      </w:r>
      <w:r w:rsidR="007158E4" w:rsidRPr="0081504D">
        <w:rPr>
          <w:spacing w:val="-4"/>
        </w:rPr>
        <w:t xml:space="preserve"> znajduj</w:t>
      </w:r>
      <w:r w:rsidRPr="0081504D">
        <w:rPr>
          <w:spacing w:val="-4"/>
        </w:rPr>
        <w:t>ące</w:t>
      </w:r>
      <w:r w:rsidR="007158E4" w:rsidRPr="0081504D">
        <w:rPr>
          <w:spacing w:val="-4"/>
        </w:rPr>
        <w:t xml:space="preserve"> się w strefie zewnętrznej </w:t>
      </w:r>
      <w:r w:rsidR="00D96806" w:rsidRPr="0081504D">
        <w:rPr>
          <w:spacing w:val="-4"/>
        </w:rPr>
        <w:t>miejskich obszarów funkcjonalnych stolic województw</w:t>
      </w:r>
      <w:r w:rsidR="00773AEF" w:rsidRPr="0081504D">
        <w:rPr>
          <w:spacing w:val="-4"/>
        </w:rPr>
        <w:t xml:space="preserve">, </w:t>
      </w:r>
      <w:r w:rsidRPr="0081504D">
        <w:rPr>
          <w:spacing w:val="-4"/>
        </w:rPr>
        <w:t xml:space="preserve">będące </w:t>
      </w:r>
      <w:r w:rsidR="00773AEF" w:rsidRPr="0081504D">
        <w:rPr>
          <w:spacing w:val="-4"/>
        </w:rPr>
        <w:t xml:space="preserve">równocześnie </w:t>
      </w:r>
      <w:r w:rsidRPr="0081504D">
        <w:rPr>
          <w:spacing w:val="-4"/>
        </w:rPr>
        <w:t xml:space="preserve">siedzibami powiatów, </w:t>
      </w:r>
      <w:r w:rsidR="007158E4" w:rsidRPr="0081504D">
        <w:rPr>
          <w:spacing w:val="-4"/>
        </w:rPr>
        <w:t>zosta</w:t>
      </w:r>
      <w:r w:rsidR="00D96806" w:rsidRPr="0081504D">
        <w:rPr>
          <w:spacing w:val="-4"/>
        </w:rPr>
        <w:t>ł</w:t>
      </w:r>
      <w:r w:rsidRPr="0081504D">
        <w:rPr>
          <w:spacing w:val="-4"/>
        </w:rPr>
        <w:t>y</w:t>
      </w:r>
      <w:r w:rsidR="007158E4" w:rsidRPr="0081504D">
        <w:rPr>
          <w:spacing w:val="-4"/>
        </w:rPr>
        <w:t xml:space="preserve"> zaliczone do </w:t>
      </w:r>
      <w:r w:rsidRPr="0081504D">
        <w:rPr>
          <w:b/>
          <w:bCs/>
          <w:spacing w:val="-4"/>
        </w:rPr>
        <w:t>Kategorii I</w:t>
      </w:r>
      <w:r w:rsidR="007158E4" w:rsidRPr="0081504D">
        <w:rPr>
          <w:spacing w:val="-4"/>
        </w:rPr>
        <w:t xml:space="preserve">. </w:t>
      </w:r>
    </w:p>
    <w:p w14:paraId="2574E98F" w14:textId="77777777" w:rsidR="008E0682" w:rsidRDefault="00D96806" w:rsidP="007158E4">
      <w:pPr>
        <w:pStyle w:val="Akapitzlist"/>
        <w:numPr>
          <w:ilvl w:val="0"/>
          <w:numId w:val="1"/>
        </w:numPr>
      </w:pPr>
      <w:r w:rsidRPr="00D96806">
        <w:t>Dl</w:t>
      </w:r>
      <w:r>
        <w:t>a każde</w:t>
      </w:r>
      <w:r w:rsidR="00954EB4">
        <w:t>go</w:t>
      </w:r>
      <w:r>
        <w:t xml:space="preserve"> </w:t>
      </w:r>
      <w:r w:rsidR="000E4101">
        <w:t>m</w:t>
      </w:r>
      <w:r w:rsidR="00954EB4">
        <w:t>iasta</w:t>
      </w:r>
      <w:r>
        <w:t xml:space="preserve"> wyliczono </w:t>
      </w:r>
      <w:r w:rsidR="008E0682" w:rsidRPr="003048CD">
        <w:t>wskaźnik kosztów</w:t>
      </w:r>
      <w:r>
        <w:t xml:space="preserve">. </w:t>
      </w:r>
    </w:p>
    <w:p w14:paraId="1D620A09" w14:textId="328C7EB4" w:rsidR="00D96806" w:rsidRPr="0081504D" w:rsidRDefault="00D96806" w:rsidP="0081504D">
      <w:pPr>
        <w:pStyle w:val="Akapitzlist"/>
        <w:jc w:val="both"/>
        <w:rPr>
          <w:spacing w:val="-4"/>
        </w:rPr>
      </w:pPr>
      <w:r w:rsidRPr="0081504D">
        <w:rPr>
          <w:spacing w:val="-4"/>
        </w:rPr>
        <w:t xml:space="preserve">Przyjęto, że jest to średnia wartość wskaźnika </w:t>
      </w:r>
      <w:r w:rsidRPr="0081504D">
        <w:rPr>
          <w:i/>
          <w:iCs/>
          <w:spacing w:val="-4"/>
        </w:rPr>
        <w:t>Wydatki budżetu gminy (bieżące</w:t>
      </w:r>
      <w:r w:rsidR="0081504D">
        <w:rPr>
          <w:i/>
          <w:iCs/>
          <w:spacing w:val="-4"/>
        </w:rPr>
        <w:t>,</w:t>
      </w:r>
      <w:r w:rsidRPr="0081504D">
        <w:rPr>
          <w:i/>
          <w:iCs/>
          <w:spacing w:val="-4"/>
        </w:rPr>
        <w:t xml:space="preserve"> bez remontów i</w:t>
      </w:r>
      <w:r w:rsidR="0081504D">
        <w:rPr>
          <w:i/>
          <w:iCs/>
          <w:spacing w:val="-4"/>
        </w:rPr>
        <w:t> </w:t>
      </w:r>
      <w:r w:rsidRPr="0081504D">
        <w:rPr>
          <w:i/>
          <w:iCs/>
          <w:spacing w:val="-4"/>
        </w:rPr>
        <w:t xml:space="preserve">udzielonych dotacji) na szkoły podstawowe na 1 ucznia w szkołach prowadzonych przez samorząd gminy </w:t>
      </w:r>
      <w:r w:rsidR="008E0682" w:rsidRPr="0081504D">
        <w:rPr>
          <w:spacing w:val="-4"/>
        </w:rPr>
        <w:t xml:space="preserve">za </w:t>
      </w:r>
      <w:r w:rsidRPr="0081504D">
        <w:rPr>
          <w:spacing w:val="-4"/>
        </w:rPr>
        <w:t>lata 2019</w:t>
      </w:r>
      <w:r w:rsidR="0081504D" w:rsidRPr="0081504D">
        <w:rPr>
          <w:spacing w:val="-4"/>
        </w:rPr>
        <w:t>-</w:t>
      </w:r>
      <w:r w:rsidRPr="0081504D">
        <w:rPr>
          <w:spacing w:val="-4"/>
        </w:rPr>
        <w:t>21</w:t>
      </w:r>
      <w:r w:rsidR="0081504D" w:rsidRPr="0081504D">
        <w:rPr>
          <w:spacing w:val="-4"/>
        </w:rPr>
        <w:t>,</w:t>
      </w:r>
      <w:r w:rsidRPr="0081504D">
        <w:rPr>
          <w:spacing w:val="-4"/>
        </w:rPr>
        <w:t xml:space="preserve"> wg danych opublikowanych w Systemie Monitorowania Usług Publicznych.</w:t>
      </w:r>
      <w:r w:rsidR="00954EB4" w:rsidRPr="0081504D">
        <w:rPr>
          <w:spacing w:val="-4"/>
        </w:rPr>
        <w:t xml:space="preserve"> </w:t>
      </w:r>
    </w:p>
    <w:p w14:paraId="54591AC8" w14:textId="2C4AE8B8" w:rsidR="00C63CF3" w:rsidRDefault="000E4101" w:rsidP="00C63CF3">
      <w:pPr>
        <w:pStyle w:val="Akapitzlist"/>
        <w:numPr>
          <w:ilvl w:val="0"/>
          <w:numId w:val="1"/>
        </w:numPr>
      </w:pPr>
      <w:r>
        <w:t xml:space="preserve">Dla każdego miasta wyliczono </w:t>
      </w:r>
      <w:r w:rsidR="00C63CF3">
        <w:rPr>
          <w:i/>
          <w:iCs/>
        </w:rPr>
        <w:t>W</w:t>
      </w:r>
      <w:r w:rsidRPr="00C63CF3">
        <w:rPr>
          <w:i/>
          <w:iCs/>
        </w:rPr>
        <w:t>skaźnik wyników egzaminów ósmoklasisty w latach 2019-21</w:t>
      </w:r>
      <w:r>
        <w:t>.</w:t>
      </w:r>
      <w:r w:rsidR="00C63CF3">
        <w:t xml:space="preserve"> W tym celu: </w:t>
      </w:r>
    </w:p>
    <w:p w14:paraId="2BCB60CF" w14:textId="3B09A28D" w:rsidR="00C63CF3" w:rsidRDefault="00C63CF3" w:rsidP="0081504D">
      <w:pPr>
        <w:pStyle w:val="Akapitzlist"/>
        <w:numPr>
          <w:ilvl w:val="0"/>
          <w:numId w:val="4"/>
        </w:numPr>
        <w:ind w:left="1248" w:hanging="284"/>
        <w:jc w:val="both"/>
      </w:pPr>
      <w:r>
        <w:t>pobrano z Systemu Monitorowania Usług Publicznych wskaźniki</w:t>
      </w:r>
      <w:bookmarkStart w:id="0" w:name="_GoBack"/>
      <w:bookmarkEnd w:id="0"/>
      <w:r w:rsidR="0041423C">
        <w:t>:</w:t>
      </w:r>
      <w:r>
        <w:t xml:space="preserve"> </w:t>
      </w:r>
      <w:r w:rsidRPr="00C63CF3">
        <w:rPr>
          <w:i/>
          <w:iCs/>
        </w:rPr>
        <w:t>Średni wynik egzaminu ósmoklasisty z języka polskiego w szkołach podstawowych dla dzieci i młodzieży</w:t>
      </w:r>
      <w:r>
        <w:t xml:space="preserve">, </w:t>
      </w:r>
      <w:r w:rsidRPr="00C63CF3">
        <w:rPr>
          <w:i/>
          <w:iCs/>
        </w:rPr>
        <w:t xml:space="preserve">Średni wynik egzaminu ósmoklasisty z języka </w:t>
      </w:r>
      <w:r>
        <w:rPr>
          <w:i/>
          <w:iCs/>
        </w:rPr>
        <w:t>angielskiego</w:t>
      </w:r>
      <w:r w:rsidRPr="00C63CF3">
        <w:rPr>
          <w:i/>
          <w:iCs/>
        </w:rPr>
        <w:t xml:space="preserve"> w szkołach podstawowych dla dzieci i</w:t>
      </w:r>
      <w:r w:rsidR="0081504D">
        <w:rPr>
          <w:i/>
          <w:iCs/>
        </w:rPr>
        <w:t xml:space="preserve"> </w:t>
      </w:r>
      <w:r w:rsidRPr="00C63CF3">
        <w:rPr>
          <w:i/>
          <w:iCs/>
        </w:rPr>
        <w:t>młodzieży</w:t>
      </w:r>
      <w:r>
        <w:rPr>
          <w:i/>
          <w:iCs/>
        </w:rPr>
        <w:t xml:space="preserve">, </w:t>
      </w:r>
      <w:r w:rsidRPr="00C63CF3">
        <w:rPr>
          <w:i/>
          <w:iCs/>
        </w:rPr>
        <w:t xml:space="preserve">Średni wynik egzaminu ósmoklasisty z </w:t>
      </w:r>
      <w:r>
        <w:rPr>
          <w:i/>
          <w:iCs/>
        </w:rPr>
        <w:t>matematyki</w:t>
      </w:r>
      <w:r w:rsidRPr="00C63CF3">
        <w:rPr>
          <w:i/>
          <w:iCs/>
        </w:rPr>
        <w:t xml:space="preserve"> w szkołach podstawowych dla dzieci i młodzieży</w:t>
      </w:r>
      <w:r>
        <w:t xml:space="preserve"> dla lat 2019, </w:t>
      </w:r>
      <w:r w:rsidR="00773AEF">
        <w:t>20</w:t>
      </w:r>
      <w:r>
        <w:t>20</w:t>
      </w:r>
      <w:r w:rsidR="00773AEF">
        <w:t xml:space="preserve"> i 20</w:t>
      </w:r>
      <w:r>
        <w:t>21</w:t>
      </w:r>
      <w:r w:rsidR="0081504D">
        <w:t xml:space="preserve"> (ł</w:t>
      </w:r>
      <w:r>
        <w:t>ącznie dziewięć wskaźników</w:t>
      </w:r>
      <w:r w:rsidR="0081504D">
        <w:t>);</w:t>
      </w:r>
    </w:p>
    <w:p w14:paraId="5A6A793B" w14:textId="46C5B947" w:rsidR="00C63CF3" w:rsidRDefault="00C63CF3" w:rsidP="0081504D">
      <w:pPr>
        <w:pStyle w:val="Akapitzlist"/>
        <w:numPr>
          <w:ilvl w:val="0"/>
          <w:numId w:val="4"/>
        </w:numPr>
        <w:ind w:left="1248" w:hanging="284"/>
      </w:pPr>
      <w:r>
        <w:t>wyliczono mediany każdego z dziewięciu wskaźników dla miast w każdej kategorii</w:t>
      </w:r>
      <w:r w:rsidR="0081504D">
        <w:t>;</w:t>
      </w:r>
    </w:p>
    <w:p w14:paraId="55842C35" w14:textId="4CE41DDD" w:rsidR="00C63CF3" w:rsidRDefault="00C63CF3" w:rsidP="0081504D">
      <w:pPr>
        <w:pStyle w:val="Akapitzlist"/>
        <w:numPr>
          <w:ilvl w:val="0"/>
          <w:numId w:val="4"/>
        </w:numPr>
        <w:ind w:left="1248" w:hanging="284"/>
        <w:jc w:val="both"/>
      </w:pPr>
      <w:r>
        <w:t xml:space="preserve">wyliczono różnicę wartości wskaźnika dla miasta i mediany dla miast w </w:t>
      </w:r>
      <w:r w:rsidR="0081504D">
        <w:t>danej</w:t>
      </w:r>
      <w:r>
        <w:t xml:space="preserve"> kategorii</w:t>
      </w:r>
      <w:r w:rsidR="0081504D">
        <w:t>,</w:t>
      </w:r>
      <w:r>
        <w:t xml:space="preserve"> a</w:t>
      </w:r>
      <w:r w:rsidR="005A082A">
        <w:t> </w:t>
      </w:r>
      <w:r>
        <w:t>następnie je zsumowano.</w:t>
      </w:r>
    </w:p>
    <w:p w14:paraId="537F2467" w14:textId="3A1B2EA8" w:rsidR="00C63CF3" w:rsidRPr="00C63CF3" w:rsidRDefault="00C63CF3" w:rsidP="0081504D">
      <w:pPr>
        <w:pStyle w:val="Akapitzlist"/>
        <w:jc w:val="both"/>
      </w:pPr>
      <w:r>
        <w:t xml:space="preserve">Wyliczony w ten sposób wskaźnik ograniczał wpływ takich </w:t>
      </w:r>
      <w:r w:rsidR="008E0682">
        <w:t>czynników jak: zmienność wyników w czasie (przyjęto okres trzyletni), różna łatwość egzaminów w kolejnych latach (porównanie z</w:t>
      </w:r>
      <w:r w:rsidR="005A082A">
        <w:t> </w:t>
      </w:r>
      <w:r w:rsidR="008E0682">
        <w:t>medianą), wpływ kapitału społecznego mieszkańców (trzy kategorie miast).</w:t>
      </w:r>
    </w:p>
    <w:p w14:paraId="3E765E1B" w14:textId="7F5AE5AF" w:rsidR="003048CD" w:rsidRPr="0081504D" w:rsidRDefault="008E0682" w:rsidP="0081504D">
      <w:pPr>
        <w:pStyle w:val="Akapitzlist"/>
        <w:numPr>
          <w:ilvl w:val="0"/>
          <w:numId w:val="1"/>
        </w:numPr>
        <w:jc w:val="both"/>
        <w:rPr>
          <w:spacing w:val="-4"/>
        </w:rPr>
      </w:pPr>
      <w:r w:rsidRPr="0081504D">
        <w:rPr>
          <w:spacing w:val="-4"/>
        </w:rPr>
        <w:t xml:space="preserve">Do nagrody nominowane zostały </w:t>
      </w:r>
      <w:r w:rsidRPr="005A082A">
        <w:rPr>
          <w:b/>
          <w:spacing w:val="-4"/>
        </w:rPr>
        <w:t xml:space="preserve">miasta, w których uczniowie systematycznie osiągali najwyższe wynik na egzaminie ósmoklasisty oraz które zapewniały racjonalny poziom finansowania </w:t>
      </w:r>
      <w:r w:rsidR="0081504D" w:rsidRPr="005A082A">
        <w:rPr>
          <w:b/>
          <w:spacing w:val="-4"/>
        </w:rPr>
        <w:t>edukacji</w:t>
      </w:r>
      <w:r w:rsidRPr="0081504D">
        <w:rPr>
          <w:spacing w:val="-4"/>
        </w:rPr>
        <w:t xml:space="preserve">. </w:t>
      </w:r>
    </w:p>
    <w:p w14:paraId="3B334368" w14:textId="0716EA5E" w:rsidR="003048CD" w:rsidRDefault="003048CD" w:rsidP="0081504D">
      <w:pPr>
        <w:pStyle w:val="Akapitzlist"/>
        <w:jc w:val="both"/>
      </w:pPr>
      <w:r>
        <w:t xml:space="preserve">Pierwszy warunek spełniały miasta, w których </w:t>
      </w:r>
      <w:r>
        <w:rPr>
          <w:i/>
          <w:iCs/>
        </w:rPr>
        <w:t>W</w:t>
      </w:r>
      <w:r w:rsidRPr="00C63CF3">
        <w:rPr>
          <w:i/>
          <w:iCs/>
        </w:rPr>
        <w:t>skaźnik wyników egzaminów ósmoklasisty w</w:t>
      </w:r>
      <w:r w:rsidR="005A082A">
        <w:rPr>
          <w:i/>
          <w:iCs/>
        </w:rPr>
        <w:t> </w:t>
      </w:r>
      <w:r w:rsidRPr="00C63CF3">
        <w:rPr>
          <w:i/>
          <w:iCs/>
        </w:rPr>
        <w:t>latach 2019-21</w:t>
      </w:r>
      <w:r>
        <w:rPr>
          <w:i/>
          <w:iCs/>
        </w:rPr>
        <w:t xml:space="preserve"> </w:t>
      </w:r>
      <w:r w:rsidRPr="003048CD">
        <w:t xml:space="preserve">był najwyższy w danej </w:t>
      </w:r>
      <w:r w:rsidR="0081504D">
        <w:t>k</w:t>
      </w:r>
      <w:r w:rsidRPr="003048CD">
        <w:t>ategorii</w:t>
      </w:r>
      <w:r>
        <w:t>.</w:t>
      </w:r>
    </w:p>
    <w:p w14:paraId="28E62715" w14:textId="43999846" w:rsidR="00773AEF" w:rsidRPr="005A082A" w:rsidRDefault="008E0682" w:rsidP="005A082A">
      <w:pPr>
        <w:pStyle w:val="Akapitzlist"/>
        <w:jc w:val="both"/>
        <w:rPr>
          <w:spacing w:val="-4"/>
        </w:rPr>
      </w:pPr>
      <w:r w:rsidRPr="005A082A">
        <w:rPr>
          <w:spacing w:val="-4"/>
        </w:rPr>
        <w:t xml:space="preserve">W celu </w:t>
      </w:r>
      <w:r w:rsidR="003048CD" w:rsidRPr="005A082A">
        <w:rPr>
          <w:spacing w:val="-4"/>
        </w:rPr>
        <w:t xml:space="preserve">zapewnienia </w:t>
      </w:r>
      <w:r w:rsidRPr="005A082A">
        <w:rPr>
          <w:spacing w:val="-4"/>
        </w:rPr>
        <w:t xml:space="preserve">drugiego kryterium, </w:t>
      </w:r>
      <w:r w:rsidR="003048CD" w:rsidRPr="005A082A">
        <w:rPr>
          <w:spacing w:val="-4"/>
        </w:rPr>
        <w:t xml:space="preserve">do </w:t>
      </w:r>
      <w:r w:rsidR="005A082A" w:rsidRPr="005A082A">
        <w:rPr>
          <w:spacing w:val="-4"/>
        </w:rPr>
        <w:t>wyróżnienia</w:t>
      </w:r>
      <w:r w:rsidR="003048CD" w:rsidRPr="005A082A">
        <w:rPr>
          <w:spacing w:val="-4"/>
        </w:rPr>
        <w:t xml:space="preserve"> nominowano jedynie te miasta, w których wskaźnik kosztów </w:t>
      </w:r>
      <w:r w:rsidR="003048CD" w:rsidRPr="005A082A">
        <w:rPr>
          <w:spacing w:val="-4"/>
          <w:u w:val="single"/>
        </w:rPr>
        <w:t>nie przekraczał</w:t>
      </w:r>
      <w:r w:rsidR="003048CD" w:rsidRPr="005A082A">
        <w:rPr>
          <w:spacing w:val="-4"/>
        </w:rPr>
        <w:t xml:space="preserve"> III kwartyla (75 </w:t>
      </w:r>
      <w:r w:rsidR="005A082A" w:rsidRPr="005A082A">
        <w:rPr>
          <w:spacing w:val="-4"/>
        </w:rPr>
        <w:t>%</w:t>
      </w:r>
      <w:r w:rsidR="003048CD" w:rsidRPr="005A082A">
        <w:rPr>
          <w:spacing w:val="-4"/>
        </w:rPr>
        <w:t xml:space="preserve">) wartości dla miast w </w:t>
      </w:r>
      <w:r w:rsidR="005A082A" w:rsidRPr="005A082A">
        <w:rPr>
          <w:spacing w:val="-4"/>
        </w:rPr>
        <w:t>dan</w:t>
      </w:r>
      <w:r w:rsidR="003048CD" w:rsidRPr="005A082A">
        <w:rPr>
          <w:spacing w:val="-4"/>
        </w:rPr>
        <w:t>ej kategorii.</w:t>
      </w:r>
    </w:p>
    <w:p w14:paraId="610913AF" w14:textId="1C2DB363" w:rsidR="00773AEF" w:rsidRDefault="00773AEF" w:rsidP="00762211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 w:rsidRPr="005A082A">
        <w:rPr>
          <w:spacing w:val="-4"/>
        </w:rPr>
        <w:t xml:space="preserve">Należy podkreślić, że </w:t>
      </w:r>
      <w:r w:rsidR="005A082A" w:rsidRPr="005A082A">
        <w:rPr>
          <w:spacing w:val="-4"/>
        </w:rPr>
        <w:t>uwzględnienie drugiego kryterium nie wyeliminowało żadnego z miast,</w:t>
      </w:r>
      <w:r w:rsidR="005A082A">
        <w:t xml:space="preserve"> które uzyskały najwyższe wskaźniki wyników egzaminów.</w:t>
      </w:r>
    </w:p>
    <w:p w14:paraId="2047ABB7" w14:textId="670FFEB2" w:rsidR="005A082A" w:rsidRDefault="005A082A" w:rsidP="005A082A">
      <w:pPr>
        <w:spacing w:after="0"/>
        <w:jc w:val="both"/>
        <w:rPr>
          <w:spacing w:val="-4"/>
        </w:rPr>
      </w:pPr>
      <w:r w:rsidRPr="005A082A">
        <w:rPr>
          <w:spacing w:val="-4"/>
        </w:rPr>
        <w:t>Biuro Związku Miast Polskich</w:t>
      </w:r>
      <w:r w:rsidRPr="005A082A">
        <w:rPr>
          <w:spacing w:val="-4"/>
        </w:rPr>
        <w:tab/>
      </w:r>
      <w:r w:rsidRPr="005A082A">
        <w:rPr>
          <w:spacing w:val="-4"/>
        </w:rPr>
        <w:tab/>
      </w:r>
      <w:r w:rsidRPr="005A082A">
        <w:rPr>
          <w:spacing w:val="-4"/>
        </w:rPr>
        <w:tab/>
      </w:r>
      <w:r w:rsidRPr="005A082A">
        <w:rPr>
          <w:spacing w:val="-4"/>
        </w:rPr>
        <w:tab/>
        <w:t>II Kongres Małych i Średnich Miast, Chełm 2023</w:t>
      </w:r>
    </w:p>
    <w:p w14:paraId="6BAADF02" w14:textId="787566DC" w:rsidR="005A082A" w:rsidRPr="005A082A" w:rsidRDefault="00057496" w:rsidP="00057496">
      <w:pPr>
        <w:spacing w:after="0"/>
        <w:jc w:val="center"/>
        <w:rPr>
          <w:spacing w:val="-4"/>
        </w:rPr>
      </w:pPr>
      <w:r>
        <w:rPr>
          <w:spacing w:val="-4"/>
        </w:rPr>
        <w:t xml:space="preserve">     </w:t>
      </w:r>
      <w:r>
        <w:rPr>
          <w:noProof/>
        </w:rPr>
        <w:drawing>
          <wp:inline distT="0" distB="0" distL="0" distR="0" wp14:anchorId="59D5B7A0" wp14:editId="133DC771">
            <wp:extent cx="862537" cy="4432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MP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435" cy="50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211">
        <w:rPr>
          <w:spacing w:val="-4"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35096E56" wp14:editId="01244A3D">
            <wp:extent cx="2415836" cy="4354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90" cy="49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82A" w:rsidRPr="005A082A" w:rsidSect="00762211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3A45F" w16cex:dateUtc="2023-04-14T08:07:00Z"/>
  <w16cex:commentExtensible w16cex:durableId="27E3A484" w16cex:dateUtc="2023-04-14T08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3705"/>
    <w:multiLevelType w:val="hybridMultilevel"/>
    <w:tmpl w:val="551A29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C39B7"/>
    <w:multiLevelType w:val="hybridMultilevel"/>
    <w:tmpl w:val="609235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C005F"/>
    <w:multiLevelType w:val="hybridMultilevel"/>
    <w:tmpl w:val="587C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D619E"/>
    <w:multiLevelType w:val="hybridMultilevel"/>
    <w:tmpl w:val="7AB605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EC"/>
    <w:rsid w:val="00057496"/>
    <w:rsid w:val="000E4101"/>
    <w:rsid w:val="001125D4"/>
    <w:rsid w:val="001B411D"/>
    <w:rsid w:val="00231A38"/>
    <w:rsid w:val="002F6D79"/>
    <w:rsid w:val="003048CD"/>
    <w:rsid w:val="00363DD0"/>
    <w:rsid w:val="0041423C"/>
    <w:rsid w:val="0041527D"/>
    <w:rsid w:val="00504AF4"/>
    <w:rsid w:val="005323E1"/>
    <w:rsid w:val="005A082A"/>
    <w:rsid w:val="005E114A"/>
    <w:rsid w:val="007158E4"/>
    <w:rsid w:val="00762211"/>
    <w:rsid w:val="00771A34"/>
    <w:rsid w:val="00773AEF"/>
    <w:rsid w:val="00780451"/>
    <w:rsid w:val="007C43F5"/>
    <w:rsid w:val="007E527B"/>
    <w:rsid w:val="0081504D"/>
    <w:rsid w:val="008E0682"/>
    <w:rsid w:val="00954EB4"/>
    <w:rsid w:val="00A92681"/>
    <w:rsid w:val="00AB5943"/>
    <w:rsid w:val="00AD532B"/>
    <w:rsid w:val="00B35894"/>
    <w:rsid w:val="00C13EEC"/>
    <w:rsid w:val="00C63CF3"/>
    <w:rsid w:val="00C81755"/>
    <w:rsid w:val="00C92EE6"/>
    <w:rsid w:val="00D96806"/>
    <w:rsid w:val="00DF4E35"/>
    <w:rsid w:val="00E4655C"/>
    <w:rsid w:val="00ED6302"/>
    <w:rsid w:val="00F910B7"/>
    <w:rsid w:val="00F930D8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8645"/>
  <w15:chartTrackingRefBased/>
  <w15:docId w15:val="{69088FBE-B196-4A51-833A-A8B2F16A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114A"/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52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5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52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158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8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5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894"/>
    <w:rPr>
      <w:rFonts w:ascii="Calibri Light" w:hAnsi="Calibr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894"/>
    <w:rPr>
      <w:rFonts w:ascii="Calibri Light" w:hAnsi="Calibri Ligh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E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125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up.gov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5" ma:contentTypeDescription="Utwórz nowy dokument." ma:contentTypeScope="" ma:versionID="904f5979f905d9374197f0aef9fce57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3669e9ccf2dd6b8c6c0489f194e42a4f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E9E58-35CF-43CF-91CB-3EE82B72A479}">
  <ds:schemaRefs>
    <ds:schemaRef ds:uri="http://schemas.microsoft.com/office/2006/metadata/properties"/>
    <ds:schemaRef ds:uri="http://schemas.microsoft.com/office/infopath/2007/PartnerControls"/>
    <ds:schemaRef ds:uri="797f1dc2-8d94-4174-b000-101e7575fb6c"/>
  </ds:schemaRefs>
</ds:datastoreItem>
</file>

<file path=customXml/itemProps2.xml><?xml version="1.0" encoding="utf-8"?>
<ds:datastoreItem xmlns:ds="http://schemas.openxmlformats.org/officeDocument/2006/customXml" ds:itemID="{9F523893-2844-402A-8F92-CA0EFBEC5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59A0-FBFE-4D9C-A372-71EDBBFB1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Więsław</dc:creator>
  <cp:keywords/>
  <dc:description/>
  <cp:lastModifiedBy>Andrzej Porawski</cp:lastModifiedBy>
  <cp:revision>2</cp:revision>
  <dcterms:created xsi:type="dcterms:W3CDTF">2023-04-17T10:31:00Z</dcterms:created>
  <dcterms:modified xsi:type="dcterms:W3CDTF">2023-04-17T10:31:00Z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