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780F" w14:textId="3F2692CA" w:rsidR="00771A34" w:rsidRPr="00762211" w:rsidRDefault="005323E1" w:rsidP="005A082A">
      <w:pPr>
        <w:pStyle w:val="Nagwek1"/>
        <w:spacing w:before="0"/>
        <w:jc w:val="center"/>
        <w:rPr>
          <w:rFonts w:asciiTheme="minorHAnsi" w:hAnsiTheme="minorHAnsi" w:cstheme="minorHAnsi"/>
          <w:b/>
          <w:i/>
          <w:iCs/>
          <w:sz w:val="40"/>
          <w:szCs w:val="40"/>
        </w:rPr>
      </w:pPr>
      <w:bookmarkStart w:id="0" w:name="_GoBack"/>
      <w:bookmarkEnd w:id="0"/>
      <w:r w:rsidRPr="00762211">
        <w:rPr>
          <w:rFonts w:asciiTheme="minorHAnsi" w:hAnsiTheme="minorHAnsi" w:cstheme="minorHAnsi"/>
          <w:b/>
          <w:i/>
          <w:iCs/>
          <w:sz w:val="40"/>
          <w:szCs w:val="40"/>
        </w:rPr>
        <w:t xml:space="preserve">Miasto - </w:t>
      </w:r>
      <w:r w:rsidR="00AD532B" w:rsidRPr="00762211">
        <w:rPr>
          <w:rFonts w:asciiTheme="minorHAnsi" w:hAnsiTheme="minorHAnsi" w:cstheme="minorHAnsi"/>
          <w:b/>
          <w:i/>
          <w:iCs/>
          <w:sz w:val="40"/>
          <w:szCs w:val="40"/>
        </w:rPr>
        <w:t xml:space="preserve">Lider </w:t>
      </w:r>
      <w:r w:rsidR="00A2193E">
        <w:rPr>
          <w:rFonts w:asciiTheme="minorHAnsi" w:hAnsiTheme="minorHAnsi" w:cstheme="minorHAnsi"/>
          <w:b/>
          <w:i/>
          <w:iCs/>
          <w:sz w:val="40"/>
          <w:szCs w:val="40"/>
        </w:rPr>
        <w:t>Rozwoju</w:t>
      </w:r>
    </w:p>
    <w:p w14:paraId="17CA345D" w14:textId="41A160EB" w:rsidR="005323E1" w:rsidRDefault="005323E1" w:rsidP="005323E1">
      <w:pPr>
        <w:jc w:val="center"/>
      </w:pPr>
      <w:r>
        <w:t xml:space="preserve">Metodologia wyłonienia </w:t>
      </w:r>
      <w:r w:rsidR="005A082A">
        <w:t>L</w:t>
      </w:r>
      <w:r>
        <w:t>aureatów</w:t>
      </w:r>
      <w:r w:rsidR="0081504D">
        <w:t xml:space="preserve"> I edycji</w:t>
      </w:r>
    </w:p>
    <w:p w14:paraId="75C605A5" w14:textId="3BE1CD2F" w:rsidR="005323E1" w:rsidRDefault="005323E1" w:rsidP="005323E1">
      <w:pPr>
        <w:ind w:firstLine="360"/>
        <w:jc w:val="both"/>
        <w:rPr>
          <w:spacing w:val="-2"/>
        </w:rPr>
      </w:pPr>
      <w:r w:rsidRPr="005323E1">
        <w:rPr>
          <w:spacing w:val="-2"/>
        </w:rPr>
        <w:t xml:space="preserve">Związek Miast Polskich, w uzgodnieniu ze współorganizatorami </w:t>
      </w:r>
      <w:r>
        <w:rPr>
          <w:spacing w:val="-2"/>
        </w:rPr>
        <w:t xml:space="preserve">II </w:t>
      </w:r>
      <w:r w:rsidRPr="005323E1">
        <w:rPr>
          <w:spacing w:val="-2"/>
        </w:rPr>
        <w:t>Kongresu</w:t>
      </w:r>
      <w:r>
        <w:rPr>
          <w:spacing w:val="-2"/>
        </w:rPr>
        <w:t xml:space="preserve"> Małych i Średnich Miast</w:t>
      </w:r>
      <w:r w:rsidRPr="005323E1">
        <w:rPr>
          <w:spacing w:val="-2"/>
        </w:rPr>
        <w:t xml:space="preserve">, postanowił – wykorzystując opracowane </w:t>
      </w:r>
      <w:r>
        <w:rPr>
          <w:spacing w:val="-2"/>
        </w:rPr>
        <w:t xml:space="preserve">w ramach realizowanych projektów </w:t>
      </w:r>
      <w:r w:rsidRPr="005323E1">
        <w:rPr>
          <w:spacing w:val="-2"/>
        </w:rPr>
        <w:t>narzędzia pomocne w zarzą</w:t>
      </w:r>
      <w:r>
        <w:rPr>
          <w:spacing w:val="-2"/>
        </w:rPr>
        <w:softHyphen/>
      </w:r>
      <w:r w:rsidRPr="005323E1">
        <w:rPr>
          <w:spacing w:val="-2"/>
        </w:rPr>
        <w:t xml:space="preserve">dzaniu miastami – wyróżnić miasta, które można uznać za </w:t>
      </w:r>
      <w:r w:rsidRPr="005323E1">
        <w:rPr>
          <w:b/>
          <w:bCs/>
          <w:spacing w:val="-2"/>
        </w:rPr>
        <w:t xml:space="preserve">liderów </w:t>
      </w:r>
      <w:r w:rsidR="001B21C5">
        <w:rPr>
          <w:b/>
          <w:bCs/>
          <w:spacing w:val="-2"/>
        </w:rPr>
        <w:t>rozwoju</w:t>
      </w:r>
      <w:r w:rsidRPr="005323E1">
        <w:rPr>
          <w:spacing w:val="-2"/>
        </w:rPr>
        <w:t xml:space="preserve"> w ostatnich latach.</w:t>
      </w:r>
    </w:p>
    <w:p w14:paraId="62777FFB" w14:textId="77777777" w:rsidR="001B21C5" w:rsidRDefault="005323E1" w:rsidP="001B21C5">
      <w:pPr>
        <w:ind w:firstLine="360"/>
        <w:jc w:val="both"/>
        <w:rPr>
          <w:rFonts w:ascii="Calibri" w:hAnsi="Calibri"/>
          <w:spacing w:val="-6"/>
        </w:rPr>
      </w:pPr>
      <w:r w:rsidRPr="00495325">
        <w:rPr>
          <w:spacing w:val="-6"/>
        </w:rPr>
        <w:t xml:space="preserve">Źródłem danych </w:t>
      </w:r>
      <w:r w:rsidR="001125D4" w:rsidRPr="00495325">
        <w:rPr>
          <w:spacing w:val="-6"/>
        </w:rPr>
        <w:t xml:space="preserve">wykorzystanych w przeprowadzonej według poniższej metodologii analizie był </w:t>
      </w:r>
      <w:r w:rsidR="00A2193E" w:rsidRPr="00495325">
        <w:rPr>
          <w:b/>
          <w:spacing w:val="-6"/>
        </w:rPr>
        <w:t xml:space="preserve">Monitor Rozwoju Lokalnego </w:t>
      </w:r>
      <w:r w:rsidR="001125D4" w:rsidRPr="00495325">
        <w:rPr>
          <w:spacing w:val="-6"/>
        </w:rPr>
        <w:t>(</w:t>
      </w:r>
      <w:r w:rsidR="001125D4" w:rsidRPr="00495325">
        <w:rPr>
          <w:b/>
          <w:spacing w:val="-6"/>
        </w:rPr>
        <w:t>M</w:t>
      </w:r>
      <w:r w:rsidR="00A2193E" w:rsidRPr="00495325">
        <w:rPr>
          <w:b/>
          <w:spacing w:val="-6"/>
        </w:rPr>
        <w:t>RL</w:t>
      </w:r>
      <w:r w:rsidR="001125D4" w:rsidRPr="00495325">
        <w:rPr>
          <w:spacing w:val="-6"/>
        </w:rPr>
        <w:t>), dostępny na stronie internetowej</w:t>
      </w:r>
      <w:r w:rsidR="00495325" w:rsidRPr="00495325">
        <w:rPr>
          <w:spacing w:val="-6"/>
        </w:rPr>
        <w:t xml:space="preserve"> </w:t>
      </w:r>
      <w:hyperlink r:id="rId8" w:history="1">
        <w:r w:rsidR="00495325" w:rsidRPr="00495325">
          <w:rPr>
            <w:rStyle w:val="Hipercze"/>
            <w:spacing w:val="-6"/>
          </w:rPr>
          <w:t>https://monitorrozwoju.pl/</w:t>
        </w:r>
      </w:hyperlink>
      <w:r w:rsidR="00495325" w:rsidRPr="00495325">
        <w:rPr>
          <w:spacing w:val="-6"/>
        </w:rPr>
        <w:t>.</w:t>
      </w:r>
      <w:r w:rsidR="0081504D" w:rsidRPr="00495325">
        <w:rPr>
          <w:spacing w:val="-6"/>
        </w:rPr>
        <w:t xml:space="preserve"> </w:t>
      </w:r>
      <w:r w:rsidR="00495325" w:rsidRPr="00495325">
        <w:rPr>
          <w:spacing w:val="-6"/>
        </w:rPr>
        <w:t xml:space="preserve">Baza </w:t>
      </w:r>
      <w:r w:rsidR="0081504D" w:rsidRPr="00495325">
        <w:rPr>
          <w:spacing w:val="-6"/>
        </w:rPr>
        <w:t>powsta</w:t>
      </w:r>
      <w:r w:rsidR="00495325" w:rsidRPr="00495325">
        <w:rPr>
          <w:spacing w:val="-6"/>
        </w:rPr>
        <w:t>ła</w:t>
      </w:r>
      <w:r w:rsidR="0081504D" w:rsidRPr="00495325">
        <w:rPr>
          <w:spacing w:val="-6"/>
        </w:rPr>
        <w:t xml:space="preserve"> w ra</w:t>
      </w:r>
      <w:r w:rsidR="001B21C5">
        <w:rPr>
          <w:spacing w:val="-6"/>
        </w:rPr>
        <w:softHyphen/>
      </w:r>
      <w:r w:rsidR="0081504D" w:rsidRPr="00495325">
        <w:rPr>
          <w:spacing w:val="-6"/>
        </w:rPr>
        <w:t>mach projektu pr</w:t>
      </w:r>
      <w:r w:rsidR="00495325" w:rsidRPr="00495325">
        <w:rPr>
          <w:spacing w:val="-6"/>
        </w:rPr>
        <w:t xml:space="preserve">edefiniowanego ZMP, realizowanego w programie </w:t>
      </w:r>
      <w:r w:rsidR="00495325" w:rsidRPr="00495325">
        <w:rPr>
          <w:b/>
          <w:i/>
          <w:spacing w:val="-6"/>
        </w:rPr>
        <w:t>Rozwój lokalny</w:t>
      </w:r>
      <w:r w:rsidR="00495325" w:rsidRPr="00495325">
        <w:rPr>
          <w:spacing w:val="-6"/>
        </w:rPr>
        <w:t>, kierowanym</w:t>
      </w:r>
      <w:r w:rsidR="0081504D" w:rsidRPr="00495325">
        <w:rPr>
          <w:spacing w:val="-6"/>
        </w:rPr>
        <w:t xml:space="preserve"> przez M</w:t>
      </w:r>
      <w:r w:rsidR="00495325" w:rsidRPr="00495325">
        <w:rPr>
          <w:spacing w:val="-6"/>
        </w:rPr>
        <w:t>FiPR</w:t>
      </w:r>
      <w:r w:rsidR="0081504D" w:rsidRPr="00495325">
        <w:rPr>
          <w:spacing w:val="-6"/>
        </w:rPr>
        <w:t>.</w:t>
      </w:r>
    </w:p>
    <w:p w14:paraId="1499AE26" w14:textId="1B933541" w:rsidR="001B21C5" w:rsidRDefault="00A2193E" w:rsidP="001B21C5">
      <w:pPr>
        <w:ind w:firstLine="360"/>
        <w:jc w:val="both"/>
        <w:rPr>
          <w:rFonts w:ascii="Calibri" w:hAnsi="Calibri"/>
          <w:spacing w:val="-6"/>
        </w:rPr>
      </w:pPr>
      <w:r>
        <w:t xml:space="preserve">Miarą rozwoju miast są nowo wybudowane mieszkania, nowo wybudowane obiekty pozwalające na prowadzenie w nich działalności gospodarczej i nowo wybudowane  obiekty dla usług publicznych. Nowe budynki są efektem </w:t>
      </w:r>
      <w:r w:rsidR="001B21C5">
        <w:t xml:space="preserve">wykorzystania </w:t>
      </w:r>
      <w:r>
        <w:t xml:space="preserve">potencjału lokalnych inwestorów i przekonania o sensie inwestowania w danym mieście, </w:t>
      </w:r>
      <w:r w:rsidR="001B21C5">
        <w:t>a także</w:t>
      </w:r>
      <w:r>
        <w:t xml:space="preserve"> atrakcyjności inwestycyjnej miasta dla inwestorów</w:t>
      </w:r>
      <w:r w:rsidR="001B21C5">
        <w:t xml:space="preserve"> zewnętrznych</w:t>
      </w:r>
      <w:r>
        <w:t>.</w:t>
      </w:r>
    </w:p>
    <w:p w14:paraId="432E18F8" w14:textId="2A1FA696" w:rsidR="00A2193E" w:rsidRPr="001B21C5" w:rsidRDefault="001B21C5" w:rsidP="001B21C5">
      <w:pPr>
        <w:ind w:firstLine="360"/>
        <w:jc w:val="both"/>
        <w:rPr>
          <w:rFonts w:ascii="Calibri" w:hAnsi="Calibri"/>
          <w:spacing w:val="-6"/>
        </w:rPr>
      </w:pPr>
      <w:r>
        <w:t>Postanowiliśmy</w:t>
      </w:r>
      <w:r w:rsidR="00A2193E">
        <w:t xml:space="preserve"> wyróżnić małe i średnie miasta</w:t>
      </w:r>
      <w:r>
        <w:t>,</w:t>
      </w:r>
      <w:r w:rsidR="00A2193E">
        <w:t xml:space="preserve"> gdzie w efekcie działań samorząd</w:t>
      </w:r>
      <w:r>
        <w:t>u,</w:t>
      </w:r>
      <w:r w:rsidR="00A2193E">
        <w:t xml:space="preserve"> </w:t>
      </w:r>
      <w:r>
        <w:t xml:space="preserve">innych </w:t>
      </w:r>
      <w:r w:rsidR="00A2193E">
        <w:t xml:space="preserve">instytucji publicznych, przedsiębiorców i mieszkańców powstało najwięcej nowych obiektów budowlanych.  Wyróżniono miasta, w których w ostatnich </w:t>
      </w:r>
      <w:r w:rsidR="00BD2D11">
        <w:t>l</w:t>
      </w:r>
      <w:r w:rsidR="00A2193E">
        <w:t>at</w:t>
      </w:r>
      <w:r w:rsidR="00BD2D11">
        <w:t>ach</w:t>
      </w:r>
      <w:r w:rsidR="00A2193E">
        <w:t xml:space="preserve"> </w:t>
      </w:r>
      <w:r w:rsidR="009D4E3F">
        <w:t>przybyło</w:t>
      </w:r>
      <w:r w:rsidR="00A2193E">
        <w:t xml:space="preserve"> najwięcej nowej powierzchni</w:t>
      </w:r>
      <w:r w:rsidR="00BD2D11">
        <w:t>:</w:t>
      </w:r>
      <w:r w:rsidR="00A2193E">
        <w:t xml:space="preserve"> mieszka</w:t>
      </w:r>
      <w:r>
        <w:softHyphen/>
      </w:r>
      <w:r w:rsidR="00A2193E">
        <w:t>niowej, dla działalności gospodarczej i usług publicznych</w:t>
      </w:r>
      <w:r>
        <w:t>,</w:t>
      </w:r>
      <w:r w:rsidR="00A2193E">
        <w:t xml:space="preserve"> mierzon</w:t>
      </w:r>
      <w:r>
        <w:t>ej</w:t>
      </w:r>
      <w:r w:rsidR="00A2193E">
        <w:t xml:space="preserve"> w metrach kwadratowych</w:t>
      </w:r>
      <w:r>
        <w:t>,</w:t>
      </w:r>
      <w:r w:rsidR="00A2193E">
        <w:t xml:space="preserve"> w</w:t>
      </w:r>
      <w:r>
        <w:t> </w:t>
      </w:r>
      <w:r w:rsidR="00A2193E">
        <w:t>przeliczeniu na 1000 mieszkańców. Wyróżnienia przyznano w kategoriach:</w:t>
      </w:r>
    </w:p>
    <w:p w14:paraId="5A80A7A0" w14:textId="1B4684AA" w:rsidR="00A2193E" w:rsidRDefault="00A2193E" w:rsidP="001B21C5">
      <w:pPr>
        <w:pStyle w:val="Akapitzlist"/>
        <w:numPr>
          <w:ilvl w:val="0"/>
          <w:numId w:val="6"/>
        </w:numPr>
      </w:pPr>
      <w:r>
        <w:t xml:space="preserve">miast prezydenckich niebędących </w:t>
      </w:r>
      <w:r w:rsidR="001B21C5">
        <w:t>miastami na prawach powiatu</w:t>
      </w:r>
      <w:r>
        <w:t>;</w:t>
      </w:r>
    </w:p>
    <w:p w14:paraId="14AB948C" w14:textId="7B5C1BC3" w:rsidR="00A2193E" w:rsidRDefault="00A2193E" w:rsidP="001B21C5">
      <w:pPr>
        <w:pStyle w:val="Akapitzlist"/>
        <w:numPr>
          <w:ilvl w:val="0"/>
          <w:numId w:val="6"/>
        </w:numPr>
      </w:pPr>
      <w:r>
        <w:t>miast będących siedzibami powiatów i niebędących miastami prezydenckimi;</w:t>
      </w:r>
    </w:p>
    <w:p w14:paraId="156E7629" w14:textId="1CDBC259" w:rsidR="00A2193E" w:rsidRDefault="00A2193E" w:rsidP="001B21C5">
      <w:pPr>
        <w:pStyle w:val="Akapitzlist"/>
        <w:numPr>
          <w:ilvl w:val="0"/>
          <w:numId w:val="6"/>
        </w:numPr>
      </w:pPr>
      <w:r>
        <w:t xml:space="preserve">miast </w:t>
      </w:r>
      <w:r w:rsidR="001B21C5">
        <w:t xml:space="preserve">pozostałych, </w:t>
      </w:r>
      <w:r>
        <w:t>które nie są siedzibami powiatów</w:t>
      </w:r>
      <w:r w:rsidR="001B21C5">
        <w:t>.</w:t>
      </w:r>
    </w:p>
    <w:p w14:paraId="632BDB08" w14:textId="6AFA05A8" w:rsidR="001B21C5" w:rsidRDefault="00A2193E" w:rsidP="001B21C5">
      <w:pPr>
        <w:ind w:firstLine="360"/>
        <w:jc w:val="both"/>
      </w:pPr>
      <w:r>
        <w:t xml:space="preserve">Wyróżnienia przyznano w oparciu o łączną </w:t>
      </w:r>
      <w:r w:rsidR="009D4E3F">
        <w:t xml:space="preserve">wielkość </w:t>
      </w:r>
      <w:r>
        <w:t>nowych powierzchni oddanych do użytku w okresie pięciu lat</w:t>
      </w:r>
      <w:r w:rsidR="007E086E">
        <w:t xml:space="preserve">: </w:t>
      </w:r>
      <w:r>
        <w:t xml:space="preserve">2017-2021. </w:t>
      </w:r>
      <w:r w:rsidR="007E086E">
        <w:t>Na podstawie publicznie dostępnych danych, które każde miasto może znaleźć w</w:t>
      </w:r>
      <w:r w:rsidR="009B3486">
        <w:t xml:space="preserve"> </w:t>
      </w:r>
      <w:r w:rsidR="007E086E" w:rsidRPr="007E086E">
        <w:rPr>
          <w:b/>
        </w:rPr>
        <w:t>Monitorze Rozwoju Lokalnego</w:t>
      </w:r>
      <w:r w:rsidR="007E086E">
        <w:t>, w naszej analizie uwzględniliśmy następujące rodzaje powierzchni:</w:t>
      </w:r>
      <w:r w:rsidR="00F01B2A">
        <w:t xml:space="preserve"> mieszkania, budynki biurowe</w:t>
      </w:r>
      <w:r w:rsidR="00BD2D11">
        <w:t>, budynki dla działalności handlu i usług, budynki dla usług turystycznych, budynki działalności gospodarczej, budynki garaży, budynki gospodarstw rolnych, budynki magazynowe, zbiorniki i silosy, budynki usług publicznych.</w:t>
      </w:r>
    </w:p>
    <w:p w14:paraId="11CD3DC5" w14:textId="7CA4C2D6" w:rsidR="00A2193E" w:rsidRDefault="00A2193E" w:rsidP="001B21C5">
      <w:pPr>
        <w:ind w:firstLine="360"/>
        <w:jc w:val="both"/>
      </w:pPr>
      <w:r w:rsidRPr="001B21C5">
        <w:rPr>
          <w:spacing w:val="-4"/>
        </w:rPr>
        <w:t>W zależności od funkcji miasta, jego położenia i lokalnych potencjałów</w:t>
      </w:r>
      <w:r w:rsidR="001B21C5" w:rsidRPr="001B21C5">
        <w:rPr>
          <w:spacing w:val="-4"/>
        </w:rPr>
        <w:t>,</w:t>
      </w:r>
      <w:r w:rsidRPr="001B21C5">
        <w:rPr>
          <w:spacing w:val="-4"/>
        </w:rPr>
        <w:t xml:space="preserve"> miasta </w:t>
      </w:r>
      <w:r w:rsidR="009D4E3F">
        <w:rPr>
          <w:spacing w:val="-4"/>
        </w:rPr>
        <w:t>wykazują</w:t>
      </w:r>
      <w:r>
        <w:t xml:space="preserve"> zróżnicowaną strukturę nowo wybudowanych powierzchni. Wśród wyróżnionych są miasta, które zawdzięczają swoją </w:t>
      </w:r>
      <w:r w:rsidRPr="001B21C5">
        <w:rPr>
          <w:spacing w:val="-2"/>
        </w:rPr>
        <w:t>pozycję nowo wybudowanym mieszkaniom i te</w:t>
      </w:r>
      <w:r w:rsidR="001B21C5" w:rsidRPr="001B21C5">
        <w:rPr>
          <w:spacing w:val="-2"/>
        </w:rPr>
        <w:t>,</w:t>
      </w:r>
      <w:r w:rsidRPr="001B21C5">
        <w:rPr>
          <w:spacing w:val="-2"/>
        </w:rPr>
        <w:t xml:space="preserve"> gdzie powstało dużo nowych powierzchni dla</w:t>
      </w:r>
      <w:r>
        <w:t xml:space="preserve"> działalności </w:t>
      </w:r>
      <w:r w:rsidRPr="001B21C5">
        <w:rPr>
          <w:spacing w:val="-2"/>
        </w:rPr>
        <w:t>gospodarczej. Szczegółowa analiza pozw</w:t>
      </w:r>
      <w:r w:rsidR="001B21C5" w:rsidRPr="001B21C5">
        <w:rPr>
          <w:spacing w:val="-2"/>
        </w:rPr>
        <w:t>a</w:t>
      </w:r>
      <w:r w:rsidRPr="001B21C5">
        <w:rPr>
          <w:spacing w:val="-2"/>
        </w:rPr>
        <w:t>la na pogłębioną analizę potencjału rozwojowego miast.</w:t>
      </w:r>
      <w:r>
        <w:t xml:space="preserve"> Związek Miast Polskich oferuje zainteresowanym miastom materiały i wsparcie </w:t>
      </w:r>
      <w:r w:rsidR="007E086E">
        <w:t>ekspert</w:t>
      </w:r>
      <w:r>
        <w:t>ów przy przeprowadzeniu takiej analizy.</w:t>
      </w:r>
    </w:p>
    <w:p w14:paraId="234D3322" w14:textId="73568B6A" w:rsidR="00BD2D11" w:rsidRDefault="00BD2D11" w:rsidP="001B21C5">
      <w:pPr>
        <w:ind w:firstLine="360"/>
        <w:jc w:val="both"/>
      </w:pPr>
      <w:r>
        <w:t>Miasta – Liderzy Rozwoju, laureaci I edycji wyróżnień, otrzymają pogłębione analizy ich potencjału rozwojowego podczas Kongresu w Chełmie.</w:t>
      </w:r>
    </w:p>
    <w:p w14:paraId="5B9ABCBA" w14:textId="77C551D3" w:rsidR="00BD2D11" w:rsidRDefault="00BD2D11" w:rsidP="00B343DB">
      <w:pPr>
        <w:spacing w:after="360"/>
        <w:jc w:val="both"/>
      </w:pPr>
      <w:r>
        <w:t>Biuro Związku Miast Polskich</w:t>
      </w:r>
      <w:r>
        <w:tab/>
      </w:r>
      <w:r>
        <w:tab/>
      </w:r>
      <w:r>
        <w:tab/>
      </w:r>
      <w:r>
        <w:tab/>
        <w:t>II Kongres Małych i Średnich Miast, Chełm 2023</w:t>
      </w:r>
    </w:p>
    <w:p w14:paraId="4B6998B6" w14:textId="32387B55" w:rsidR="00BD2D11" w:rsidRPr="001B21C5" w:rsidRDefault="00BD2D11" w:rsidP="00BD2D11">
      <w:pPr>
        <w:jc w:val="both"/>
      </w:pPr>
      <w:r w:rsidRPr="00BD2D11">
        <w:rPr>
          <w:noProof/>
        </w:rPr>
        <w:drawing>
          <wp:inline distT="0" distB="0" distL="0" distR="0" wp14:anchorId="3C9E1F4B" wp14:editId="2D3E225F">
            <wp:extent cx="1537064" cy="622935"/>
            <wp:effectExtent l="0" t="0" r="6350" b="5715"/>
            <wp:docPr id="21510" name="Picture 2" descr="Obraz zawierający logo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0C14E268-326F-432A-8911-53D6776268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2" descr="Obraz zawierający logo&#10;&#10;Opis wygenerowany automatycznie">
                      <a:extLst>
                        <a:ext uri="{FF2B5EF4-FFF2-40B4-BE49-F238E27FC236}">
                          <a16:creationId xmlns:a16="http://schemas.microsoft.com/office/drawing/2014/main" id="{0C14E268-326F-432A-8911-53D6776268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33" cy="65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</w:t>
      </w:r>
      <w:r w:rsidRPr="00BD2D11">
        <w:rPr>
          <w:noProof/>
        </w:rPr>
        <w:drawing>
          <wp:inline distT="0" distB="0" distL="0" distR="0" wp14:anchorId="0F4FD4FF" wp14:editId="7344B54B">
            <wp:extent cx="2033270" cy="621311"/>
            <wp:effectExtent l="0" t="0" r="5080" b="7620"/>
            <wp:docPr id="21514" name="Obraz 8" descr="Obraz zawierający logo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906BCF15-ED8A-4434-AC75-3789F603CF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4" name="Obraz 8" descr="Obraz zawierający logo&#10;&#10;Opis wygenerowany automatycznie">
                      <a:extLst>
                        <a:ext uri="{FF2B5EF4-FFF2-40B4-BE49-F238E27FC236}">
                          <a16:creationId xmlns:a16="http://schemas.microsoft.com/office/drawing/2014/main" id="{906BCF15-ED8A-4434-AC75-3789F603CF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58" cy="65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</w:t>
      </w:r>
      <w:r w:rsidRPr="00BD2D11">
        <w:rPr>
          <w:noProof/>
        </w:rPr>
        <w:drawing>
          <wp:inline distT="0" distB="0" distL="0" distR="0" wp14:anchorId="161DF948" wp14:editId="42006BBA">
            <wp:extent cx="1437005" cy="632351"/>
            <wp:effectExtent l="0" t="0" r="0" b="0"/>
            <wp:docPr id="21509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876A281A-A2AF-4039-AB02-7AFD3AF037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Obraz 6">
                      <a:extLst>
                        <a:ext uri="{FF2B5EF4-FFF2-40B4-BE49-F238E27FC236}">
                          <a16:creationId xmlns:a16="http://schemas.microsoft.com/office/drawing/2014/main" id="{876A281A-A2AF-4039-AB02-7AFD3AF037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13" cy="66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BD2D11" w:rsidRPr="001B21C5" w:rsidSect="00B343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3A45F" w16cex:dateUtc="2023-04-14T08:07:00Z"/>
  <w16cex:commentExtensible w16cex:durableId="27E3A484" w16cex:dateUtc="2023-04-14T08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4E19"/>
    <w:multiLevelType w:val="hybridMultilevel"/>
    <w:tmpl w:val="7B760150"/>
    <w:lvl w:ilvl="0" w:tplc="33EC666A">
      <w:numFmt w:val="bullet"/>
      <w:lvlText w:val="•"/>
      <w:lvlJc w:val="left"/>
      <w:pPr>
        <w:ind w:left="1070" w:hanging="71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3705"/>
    <w:multiLevelType w:val="hybridMultilevel"/>
    <w:tmpl w:val="551A29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C39B7"/>
    <w:multiLevelType w:val="hybridMultilevel"/>
    <w:tmpl w:val="609235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005F"/>
    <w:multiLevelType w:val="hybridMultilevel"/>
    <w:tmpl w:val="587C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619E"/>
    <w:multiLevelType w:val="hybridMultilevel"/>
    <w:tmpl w:val="7AB605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37119C"/>
    <w:multiLevelType w:val="hybridMultilevel"/>
    <w:tmpl w:val="8EB0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EC"/>
    <w:rsid w:val="00057496"/>
    <w:rsid w:val="000E4101"/>
    <w:rsid w:val="001125D4"/>
    <w:rsid w:val="00196E21"/>
    <w:rsid w:val="001B21C5"/>
    <w:rsid w:val="001B411D"/>
    <w:rsid w:val="00231A38"/>
    <w:rsid w:val="002F6D79"/>
    <w:rsid w:val="003048CD"/>
    <w:rsid w:val="0041527D"/>
    <w:rsid w:val="00495325"/>
    <w:rsid w:val="00504AF4"/>
    <w:rsid w:val="005323E1"/>
    <w:rsid w:val="005A082A"/>
    <w:rsid w:val="005E114A"/>
    <w:rsid w:val="007158E4"/>
    <w:rsid w:val="00762211"/>
    <w:rsid w:val="00771A34"/>
    <w:rsid w:val="00773AEF"/>
    <w:rsid w:val="00780451"/>
    <w:rsid w:val="007C43F5"/>
    <w:rsid w:val="007E086E"/>
    <w:rsid w:val="007E527B"/>
    <w:rsid w:val="0081504D"/>
    <w:rsid w:val="008E0682"/>
    <w:rsid w:val="00954EB4"/>
    <w:rsid w:val="009B3486"/>
    <w:rsid w:val="009D4E3F"/>
    <w:rsid w:val="00A2193E"/>
    <w:rsid w:val="00AB5943"/>
    <w:rsid w:val="00AD532B"/>
    <w:rsid w:val="00B343DB"/>
    <w:rsid w:val="00B35894"/>
    <w:rsid w:val="00BD2D11"/>
    <w:rsid w:val="00C13EEC"/>
    <w:rsid w:val="00C63CF3"/>
    <w:rsid w:val="00C81755"/>
    <w:rsid w:val="00C92EE6"/>
    <w:rsid w:val="00D96806"/>
    <w:rsid w:val="00DF4E35"/>
    <w:rsid w:val="00E4655C"/>
    <w:rsid w:val="00ED6302"/>
    <w:rsid w:val="00F01B2A"/>
    <w:rsid w:val="00F910B7"/>
    <w:rsid w:val="00F930D8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8645"/>
  <w15:chartTrackingRefBased/>
  <w15:docId w15:val="{69088FBE-B196-4A51-833A-A8B2F16A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114A"/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2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5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52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158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8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5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894"/>
    <w:rPr>
      <w:rFonts w:ascii="Calibri Light" w:hAnsi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894"/>
    <w:rPr>
      <w:rFonts w:ascii="Calibri Light" w:hAnsi="Calibri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25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rozwoju.pl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5" ma:contentTypeDescription="Utwórz nowy dokument." ma:contentTypeScope="" ma:versionID="904f5979f905d9374197f0aef9fce57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669e9ccf2dd6b8c6c0489f194e42a4f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0A547-4045-490D-ADF8-99513B1ADC59}">
  <ds:schemaRefs>
    <ds:schemaRef ds:uri="http://schemas.microsoft.com/office/2006/metadata/properties"/>
    <ds:schemaRef ds:uri="http://schemas.microsoft.com/office/infopath/2007/PartnerControls"/>
    <ds:schemaRef ds:uri="797f1dc2-8d94-4174-b000-101e7575fb6c"/>
  </ds:schemaRefs>
</ds:datastoreItem>
</file>

<file path=customXml/itemProps2.xml><?xml version="1.0" encoding="utf-8"?>
<ds:datastoreItem xmlns:ds="http://schemas.openxmlformats.org/officeDocument/2006/customXml" ds:itemID="{B5A1BECD-02E7-4966-BBF0-469F5B049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94AF4-4C4B-4DB4-83A3-FE2A666C3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Więsław</dc:creator>
  <cp:keywords/>
  <dc:description/>
  <cp:lastModifiedBy>Andrzej Porawski</cp:lastModifiedBy>
  <cp:revision>2</cp:revision>
  <dcterms:created xsi:type="dcterms:W3CDTF">2023-04-17T10:29:00Z</dcterms:created>
  <dcterms:modified xsi:type="dcterms:W3CDTF">2023-04-17T10:29:00Z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