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EE" w:rsidRPr="00E95F1C" w:rsidRDefault="004677EE" w:rsidP="004677E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4677EE" w:rsidRPr="00E95F1C" w:rsidRDefault="004677EE" w:rsidP="00467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7EE" w:rsidRPr="00E95F1C" w:rsidRDefault="004677EE" w:rsidP="0046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4677EE" w:rsidRPr="00E95F1C" w:rsidRDefault="004677EE" w:rsidP="0046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ul. Robocza 42</w:t>
      </w:r>
    </w:p>
    <w:p w:rsidR="004677EE" w:rsidRPr="00E95F1C" w:rsidRDefault="004677EE" w:rsidP="0046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61-517 Poznań</w:t>
      </w:r>
    </w:p>
    <w:p w:rsidR="004677EE" w:rsidRPr="00E95F1C" w:rsidRDefault="004677EE" w:rsidP="0046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Szanowny Pan</w:t>
      </w: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Krzysztof Piątkowski</w:t>
      </w: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Przedstawiciel Posłów Wnioskodawców</w:t>
      </w: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Koalicja Obywatelska</w:t>
      </w: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Ul. Wiejska 12A</w:t>
      </w:r>
    </w:p>
    <w:p w:rsidR="004677EE" w:rsidRPr="00E95F1C" w:rsidRDefault="004677EE" w:rsidP="004677E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00-490 Warszawa</w:t>
      </w:r>
    </w:p>
    <w:p w:rsidR="004677EE" w:rsidRPr="00E95F1C" w:rsidRDefault="004677EE" w:rsidP="004677E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677EE" w:rsidRPr="00E95F1C" w:rsidRDefault="004677EE" w:rsidP="004677EE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EE" w:rsidRPr="00E95F1C" w:rsidRDefault="004677EE" w:rsidP="004677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F1C">
        <w:rPr>
          <w:rFonts w:ascii="Times New Roman" w:hAnsi="Times New Roman" w:cs="Times New Roman"/>
          <w:b/>
          <w:sz w:val="24"/>
          <w:szCs w:val="24"/>
        </w:rPr>
        <w:t>Opinia do: projektu Ustawy o zmianie ustawy o szczególnych zasadach przygotowania i realizacji inwestycji w zakresie dróg publicznych.</w:t>
      </w:r>
    </w:p>
    <w:p w:rsidR="004677EE" w:rsidRPr="00E95F1C" w:rsidRDefault="004677EE" w:rsidP="004677EE">
      <w:pPr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Wydaje się negatywną opinię w przedmiocie projektu Ustawy o zmianie ustawy o szczególnych zasadach przygotowania i realizacji i</w:t>
      </w:r>
      <w:bookmarkStart w:id="0" w:name="_GoBack"/>
      <w:bookmarkEnd w:id="0"/>
      <w:r w:rsidRPr="00E95F1C">
        <w:rPr>
          <w:rFonts w:ascii="Times New Roman" w:hAnsi="Times New Roman" w:cs="Times New Roman"/>
          <w:sz w:val="24"/>
          <w:szCs w:val="24"/>
        </w:rPr>
        <w:t>nwestycji w zakresie dróg publicznych.</w:t>
      </w:r>
    </w:p>
    <w:p w:rsidR="004677EE" w:rsidRPr="00E95F1C" w:rsidRDefault="004677EE" w:rsidP="004677EE">
      <w:pPr>
        <w:pStyle w:val="NormalnyWeb"/>
        <w:jc w:val="both"/>
        <w:rPr>
          <w:b/>
        </w:rPr>
      </w:pPr>
      <w:r w:rsidRPr="00E95F1C">
        <w:rPr>
          <w:b/>
        </w:rPr>
        <w:t>Uzasadnienie:</w:t>
      </w:r>
    </w:p>
    <w:p w:rsidR="004677EE" w:rsidRPr="00E95F1C" w:rsidRDefault="004677EE" w:rsidP="004677EE">
      <w:pPr>
        <w:jc w:val="both"/>
        <w:rPr>
          <w:rFonts w:ascii="Times New Roman" w:hAnsi="Times New Roman" w:cs="Times New Roman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 xml:space="preserve">Przedmiotowy projekt ustawy wymaga zmian w innych ustawach, w tym przede wszystkim w ustawie o gospodarce nieruchomościami, a nade wszystko nowego przedefiniowania konstytucyjnie określonego „słusznego odszkodowania” jako ekwiwalentu za utracone prawo rzeczowe, zatem w zakresie </w:t>
      </w:r>
      <w:proofErr w:type="spellStart"/>
      <w:r w:rsidRPr="00E95F1C">
        <w:rPr>
          <w:rFonts w:ascii="Times New Roman" w:hAnsi="Times New Roman" w:cs="Times New Roman"/>
          <w:sz w:val="24"/>
          <w:szCs w:val="24"/>
        </w:rPr>
        <w:t>damnum</w:t>
      </w:r>
      <w:proofErr w:type="spellEnd"/>
      <w:r w:rsidRPr="00E9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F1C">
        <w:rPr>
          <w:rFonts w:ascii="Times New Roman" w:hAnsi="Times New Roman" w:cs="Times New Roman"/>
          <w:sz w:val="24"/>
          <w:szCs w:val="24"/>
        </w:rPr>
        <w:t>emergens</w:t>
      </w:r>
      <w:proofErr w:type="spellEnd"/>
      <w:r w:rsidRPr="00E95F1C">
        <w:rPr>
          <w:rFonts w:ascii="Times New Roman" w:hAnsi="Times New Roman" w:cs="Times New Roman"/>
          <w:sz w:val="24"/>
          <w:szCs w:val="24"/>
        </w:rPr>
        <w:t xml:space="preserve">, bez uwzględnienia </w:t>
      </w:r>
      <w:proofErr w:type="spellStart"/>
      <w:r w:rsidRPr="00E95F1C">
        <w:rPr>
          <w:rFonts w:ascii="Times New Roman" w:hAnsi="Times New Roman" w:cs="Times New Roman"/>
          <w:sz w:val="24"/>
          <w:szCs w:val="24"/>
        </w:rPr>
        <w:t>lucrum</w:t>
      </w:r>
      <w:proofErr w:type="spellEnd"/>
      <w:r w:rsidRPr="00E9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F1C">
        <w:rPr>
          <w:rFonts w:ascii="Times New Roman" w:hAnsi="Times New Roman" w:cs="Times New Roman"/>
          <w:sz w:val="24"/>
          <w:szCs w:val="24"/>
        </w:rPr>
        <w:t>cessans</w:t>
      </w:r>
      <w:proofErr w:type="spellEnd"/>
      <w:r w:rsidRPr="00E95F1C">
        <w:rPr>
          <w:rFonts w:ascii="Times New Roman" w:hAnsi="Times New Roman" w:cs="Times New Roman"/>
          <w:sz w:val="24"/>
          <w:szCs w:val="24"/>
        </w:rPr>
        <w:t xml:space="preserve">. W takim wypadku w uprawnienie do odszkodowania za utracone korzyści najpierw należałoby wyposażyć właścicieli, użytkowników wieczystych i uprawnionych z tytułu ograniczonych praw rzeczowych. Obecny stan prawny nie pozwala jednak na przyznanie szerszego zakresu odszkodowania w postępowaniu administracyjnym, co znajduje swoje potwierdzenie w ugruntowanym w doktrynie i judykaturze stanowisku. </w:t>
      </w:r>
    </w:p>
    <w:p w:rsidR="004677EE" w:rsidRPr="00E95F1C" w:rsidRDefault="004677EE" w:rsidP="004677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F1C">
        <w:rPr>
          <w:rFonts w:ascii="Times New Roman" w:hAnsi="Times New Roman" w:cs="Times New Roman"/>
          <w:sz w:val="24"/>
          <w:szCs w:val="24"/>
        </w:rPr>
        <w:t>Nieuzasadnione są także argumenty dotyczące sprzeczności aktualnego brzmienia art. 12 ust. 4f specustawy drogowej z Konstytucją w zakresie demokratycznego państwa prawnego, Powszechnej Deklaracji Praw Człowieka w zakresie równości wobec prawa oraz Kartą Praw Podstawowych – wynikają bowiem z niezrozumienia istoty wywłaszczenia ze słusznym odszkodowaniem ustalonym w trybie administracyjnym i statusu strony postępowania. Przy czym wnioskodawca zdaje się zupełnie pomijać w uzasadnieniu proponowanej zmiany ustawy uprawnienia cywilnoprawne przysługujące każdemu podmiotowi, który posiadając legitymację procesową wystąpi o odszkodowanie w zakresie szerokiego pojęcia szkody.</w:t>
      </w:r>
    </w:p>
    <w:p w:rsidR="0066049D" w:rsidRPr="00E95F1C" w:rsidRDefault="0066049D" w:rsidP="00467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049D" w:rsidRPr="00E9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F"/>
    <w:rsid w:val="0012461F"/>
    <w:rsid w:val="004677EE"/>
    <w:rsid w:val="0066049D"/>
    <w:rsid w:val="00E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D008-2B51-43EA-8099-23DDC3E3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3</cp:revision>
  <dcterms:created xsi:type="dcterms:W3CDTF">2022-10-31T12:54:00Z</dcterms:created>
  <dcterms:modified xsi:type="dcterms:W3CDTF">2022-10-31T13:43:00Z</dcterms:modified>
</cp:coreProperties>
</file>