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38" w:rsidRDefault="00316D38" w:rsidP="00316D3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16D38" w:rsidRDefault="00316D38" w:rsidP="00316D3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16D38" w:rsidRDefault="00316D38" w:rsidP="00316D3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16D38" w:rsidRPr="00BC17CC" w:rsidRDefault="00316D38" w:rsidP="00316D38">
      <w:pPr>
        <w:spacing w:before="120" w:after="120"/>
        <w:jc w:val="right"/>
        <w:rPr>
          <w:rFonts w:asciiTheme="minorHAnsi" w:hAnsiTheme="minorHAnsi" w:cstheme="minorHAnsi"/>
          <w:sz w:val="24"/>
          <w:szCs w:val="24"/>
        </w:rPr>
      </w:pPr>
      <w:r w:rsidRPr="00BC17CC">
        <w:rPr>
          <w:rFonts w:asciiTheme="minorHAnsi" w:hAnsiTheme="minorHAnsi" w:cstheme="minorHAnsi"/>
          <w:sz w:val="24"/>
          <w:szCs w:val="24"/>
        </w:rPr>
        <w:t>Poznań, 30 września 2022 r.</w:t>
      </w:r>
    </w:p>
    <w:p w:rsidR="00316D38" w:rsidRPr="00BC17CC" w:rsidRDefault="00316D38" w:rsidP="00316D38">
      <w:pPr>
        <w:ind w:left="5670"/>
        <w:jc w:val="both"/>
        <w:rPr>
          <w:rFonts w:asciiTheme="minorHAnsi" w:hAnsiTheme="minorHAnsi" w:cstheme="minorHAnsi"/>
          <w:sz w:val="24"/>
          <w:szCs w:val="24"/>
        </w:rPr>
      </w:pPr>
      <w:r w:rsidRPr="00BC17CC">
        <w:rPr>
          <w:rFonts w:asciiTheme="minorHAnsi" w:hAnsiTheme="minorHAnsi" w:cstheme="minorHAnsi"/>
          <w:sz w:val="24"/>
          <w:szCs w:val="24"/>
        </w:rPr>
        <w:t>Szanowny Pan Poseł</w:t>
      </w:r>
    </w:p>
    <w:p w:rsidR="00316D38" w:rsidRPr="00BC17CC" w:rsidRDefault="00316D38" w:rsidP="00316D38">
      <w:pPr>
        <w:ind w:left="56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17CC">
        <w:rPr>
          <w:rFonts w:asciiTheme="minorHAnsi" w:hAnsiTheme="minorHAnsi" w:cstheme="minorHAnsi"/>
          <w:b/>
          <w:sz w:val="24"/>
          <w:szCs w:val="24"/>
        </w:rPr>
        <w:t>Tomasz Ławniczak</w:t>
      </w:r>
    </w:p>
    <w:p w:rsidR="00316D38" w:rsidRPr="00BC17CC" w:rsidRDefault="00316D38" w:rsidP="00316D38">
      <w:pPr>
        <w:ind w:left="5670"/>
        <w:jc w:val="both"/>
        <w:rPr>
          <w:rFonts w:asciiTheme="minorHAnsi" w:hAnsiTheme="minorHAnsi" w:cstheme="minorHAnsi"/>
          <w:sz w:val="24"/>
          <w:szCs w:val="24"/>
        </w:rPr>
      </w:pPr>
      <w:r w:rsidRPr="00BC17CC">
        <w:rPr>
          <w:rFonts w:asciiTheme="minorHAnsi" w:hAnsiTheme="minorHAnsi" w:cstheme="minorHAnsi"/>
          <w:sz w:val="24"/>
          <w:szCs w:val="24"/>
        </w:rPr>
        <w:t xml:space="preserve">Przewodniczący Komisji </w:t>
      </w:r>
      <w:proofErr w:type="spellStart"/>
      <w:r w:rsidRPr="00BC17CC">
        <w:rPr>
          <w:rFonts w:asciiTheme="minorHAnsi" w:hAnsiTheme="minorHAnsi" w:cstheme="minorHAnsi"/>
          <w:sz w:val="24"/>
          <w:szCs w:val="24"/>
        </w:rPr>
        <w:t>STiPR</w:t>
      </w:r>
      <w:proofErr w:type="spellEnd"/>
    </w:p>
    <w:p w:rsidR="00316D38" w:rsidRPr="007244BA" w:rsidRDefault="00316D38" w:rsidP="00316D38">
      <w:pPr>
        <w:ind w:left="5670"/>
        <w:jc w:val="both"/>
        <w:rPr>
          <w:b/>
          <w:sz w:val="24"/>
          <w:szCs w:val="24"/>
        </w:rPr>
      </w:pPr>
    </w:p>
    <w:p w:rsidR="00316D38" w:rsidRPr="00316D38" w:rsidRDefault="00316D38" w:rsidP="00316D38">
      <w:pPr>
        <w:pStyle w:val="Nagwek2"/>
        <w:shd w:val="clear" w:color="auto" w:fill="FFFFFF"/>
        <w:spacing w:after="120"/>
        <w:ind w:firstLine="284"/>
        <w:jc w:val="both"/>
        <w:rPr>
          <w:rFonts w:ascii="Calibri" w:hAnsi="Calibri" w:cs="Calibri"/>
          <w:color w:val="000000"/>
          <w:spacing w:val="-6"/>
          <w:sz w:val="24"/>
          <w:szCs w:val="24"/>
        </w:rPr>
      </w:pPr>
      <w:r w:rsidRPr="00316D38">
        <w:rPr>
          <w:rFonts w:ascii="Calibri" w:hAnsi="Calibri" w:cs="Calibri"/>
          <w:spacing w:val="-6"/>
          <w:sz w:val="24"/>
          <w:szCs w:val="24"/>
        </w:rPr>
        <w:t xml:space="preserve">W odpowiedzi na Pana pismo z dnia 19 września br. w sprawie załączonego do pisma </w:t>
      </w:r>
      <w:r w:rsidRPr="00316D38">
        <w:rPr>
          <w:rFonts w:ascii="Calibri" w:hAnsi="Calibri" w:cs="Calibri"/>
          <w:color w:val="000000"/>
          <w:spacing w:val="-6"/>
          <w:sz w:val="24"/>
          <w:szCs w:val="24"/>
        </w:rPr>
        <w:t xml:space="preserve">projektu ustawy </w:t>
      </w:r>
      <w:r w:rsidRPr="00316D38">
        <w:rPr>
          <w:rFonts w:ascii="Calibri" w:hAnsi="Calibri" w:cs="Calibri"/>
          <w:spacing w:val="-6"/>
          <w:sz w:val="24"/>
          <w:szCs w:val="24"/>
        </w:rPr>
        <w:t xml:space="preserve">o zmianie ustawy o </w:t>
      </w:r>
      <w:r w:rsidRPr="00316D38">
        <w:rPr>
          <w:rFonts w:ascii="Calibri" w:hAnsi="Calibri" w:cs="Calibri"/>
          <w:color w:val="000000"/>
          <w:spacing w:val="-6"/>
          <w:sz w:val="24"/>
          <w:szCs w:val="24"/>
        </w:rPr>
        <w:t>Komisji Wspólnej Rządu i Samorządu Terytorialnego oraz o przedstawi</w:t>
      </w:r>
      <w:r w:rsidRPr="00316D38">
        <w:rPr>
          <w:rFonts w:ascii="Calibri" w:hAnsi="Calibri" w:cs="Calibri"/>
          <w:color w:val="000000"/>
          <w:spacing w:val="-6"/>
          <w:sz w:val="24"/>
          <w:szCs w:val="24"/>
        </w:rPr>
        <w:softHyphen/>
        <w:t>cielach RP w Komitecie Regionów Unii Europejskiej uprzejmie informuję, że obradujący na posiedze</w:t>
      </w:r>
      <w:r w:rsidRPr="00316D38">
        <w:rPr>
          <w:rFonts w:ascii="Calibri" w:hAnsi="Calibri" w:cs="Calibri"/>
          <w:color w:val="000000"/>
          <w:spacing w:val="-6"/>
          <w:sz w:val="24"/>
          <w:szCs w:val="24"/>
        </w:rPr>
        <w:softHyphen/>
        <w:t xml:space="preserve">niu w dniu 23 września br. w Hrubieszowie Zarząd Związku zaopiniował projekt </w:t>
      </w:r>
      <w:r w:rsidRPr="00316D38">
        <w:rPr>
          <w:rFonts w:ascii="Calibri" w:hAnsi="Calibri" w:cs="Calibri"/>
          <w:b/>
          <w:color w:val="000000"/>
          <w:spacing w:val="-6"/>
          <w:sz w:val="24"/>
          <w:szCs w:val="24"/>
        </w:rPr>
        <w:t>negatywnie</w:t>
      </w:r>
      <w:r w:rsidRPr="00316D38">
        <w:rPr>
          <w:rFonts w:ascii="Calibri" w:hAnsi="Calibri" w:cs="Calibri"/>
          <w:color w:val="000000"/>
          <w:spacing w:val="-6"/>
          <w:sz w:val="24"/>
          <w:szCs w:val="24"/>
        </w:rPr>
        <w:t>.</w:t>
      </w:r>
    </w:p>
    <w:p w:rsidR="00316D38" w:rsidRPr="00316D38" w:rsidRDefault="00316D38" w:rsidP="00316D38">
      <w:pPr>
        <w:pStyle w:val="Nagwek2"/>
        <w:shd w:val="clear" w:color="auto" w:fill="FFFFFF"/>
        <w:spacing w:after="120"/>
        <w:ind w:firstLine="284"/>
        <w:jc w:val="center"/>
        <w:rPr>
          <w:b/>
          <w:sz w:val="24"/>
          <w:szCs w:val="24"/>
        </w:rPr>
      </w:pPr>
      <w:r w:rsidRPr="00316D38">
        <w:rPr>
          <w:b/>
          <w:sz w:val="24"/>
          <w:szCs w:val="24"/>
        </w:rPr>
        <w:t>Uzasadnienie:</w:t>
      </w:r>
    </w:p>
    <w:p w:rsidR="00316D38" w:rsidRPr="00316D38" w:rsidRDefault="00316D38" w:rsidP="00316D38">
      <w:pPr>
        <w:pStyle w:val="Nagwek2"/>
        <w:shd w:val="clear" w:color="auto" w:fill="FFFFFF"/>
        <w:spacing w:after="120"/>
        <w:ind w:firstLine="170"/>
        <w:jc w:val="both"/>
        <w:rPr>
          <w:rFonts w:ascii="Calibri" w:hAnsi="Calibri" w:cs="Calibri"/>
          <w:spacing w:val="-6"/>
          <w:sz w:val="24"/>
          <w:szCs w:val="24"/>
        </w:rPr>
      </w:pPr>
      <w:r w:rsidRPr="00316D38">
        <w:rPr>
          <w:rFonts w:ascii="Calibri" w:hAnsi="Calibri" w:cs="Calibri"/>
          <w:spacing w:val="-6"/>
          <w:sz w:val="24"/>
          <w:szCs w:val="24"/>
        </w:rPr>
        <w:t>Obecny model współpracy samorządu i rządu oraz zasady wyłaniania reprezentacji strony samorządo</w:t>
      </w:r>
      <w:r>
        <w:rPr>
          <w:rFonts w:ascii="Calibri" w:hAnsi="Calibri" w:cs="Calibri"/>
          <w:spacing w:val="-6"/>
          <w:sz w:val="24"/>
          <w:szCs w:val="24"/>
        </w:rPr>
        <w:softHyphen/>
      </w:r>
      <w:r w:rsidRPr="00316D38">
        <w:rPr>
          <w:rFonts w:ascii="Calibri" w:hAnsi="Calibri" w:cs="Calibri"/>
          <w:spacing w:val="-6"/>
          <w:sz w:val="24"/>
          <w:szCs w:val="24"/>
        </w:rPr>
        <w:t>wej w Komisji Wspólnej Rządu i Samorządu Terytorialnego funkcjonuj</w:t>
      </w:r>
      <w:r w:rsidR="00147565">
        <w:rPr>
          <w:rFonts w:ascii="Calibri" w:hAnsi="Calibri" w:cs="Calibri"/>
          <w:spacing w:val="-6"/>
          <w:sz w:val="24"/>
          <w:szCs w:val="24"/>
        </w:rPr>
        <w:t>ą</w:t>
      </w:r>
      <w:r w:rsidRPr="00316D38">
        <w:rPr>
          <w:rFonts w:ascii="Calibri" w:hAnsi="Calibri" w:cs="Calibri"/>
          <w:spacing w:val="-6"/>
          <w:sz w:val="24"/>
          <w:szCs w:val="24"/>
        </w:rPr>
        <w:t xml:space="preserve"> od r. 1993, początkowo na podstawie rozporządzeń premierów, a od 2005 r. na podstawie ustawy. </w:t>
      </w:r>
    </w:p>
    <w:p w:rsidR="00316D38" w:rsidRPr="00316D38" w:rsidRDefault="00316D38" w:rsidP="00316D38">
      <w:pPr>
        <w:pStyle w:val="Nagwek2"/>
        <w:shd w:val="clear" w:color="auto" w:fill="FFFFFF"/>
        <w:spacing w:after="120"/>
        <w:ind w:firstLine="170"/>
        <w:jc w:val="both"/>
        <w:rPr>
          <w:rFonts w:ascii="Calibri" w:hAnsi="Calibri" w:cstheme="minorHAnsi"/>
          <w:spacing w:val="-6"/>
          <w:sz w:val="24"/>
          <w:szCs w:val="24"/>
        </w:rPr>
      </w:pPr>
      <w:r w:rsidRPr="00316D38">
        <w:rPr>
          <w:rFonts w:ascii="Calibri" w:hAnsi="Calibri" w:cstheme="minorHAnsi"/>
          <w:spacing w:val="-6"/>
          <w:sz w:val="24"/>
          <w:szCs w:val="24"/>
        </w:rPr>
        <w:t xml:space="preserve">Uzasadnieniem dla kształtu strony samorządowej było </w:t>
      </w:r>
      <w:r w:rsidRPr="00316D38">
        <w:rPr>
          <w:rFonts w:ascii="Calibri" w:hAnsi="Calibri" w:cstheme="minorHAnsi"/>
          <w:b/>
          <w:spacing w:val="-6"/>
          <w:sz w:val="24"/>
          <w:szCs w:val="24"/>
        </w:rPr>
        <w:t>zawsze umożliwienie przedstawiania swojego stanowiska różnym kategoriom jednostek samorządu terytorialnego</w:t>
      </w:r>
      <w:r w:rsidRPr="00316D38">
        <w:rPr>
          <w:rFonts w:ascii="Calibri" w:hAnsi="Calibri" w:cstheme="minorHAnsi"/>
          <w:spacing w:val="-6"/>
          <w:sz w:val="24"/>
          <w:szCs w:val="24"/>
        </w:rPr>
        <w:t xml:space="preserve">, których problemy i interesy są </w:t>
      </w:r>
      <w:r w:rsidRPr="00316D38">
        <w:rPr>
          <w:rFonts w:ascii="Calibri" w:hAnsi="Calibri" w:cstheme="minorHAnsi"/>
          <w:b/>
          <w:spacing w:val="-6"/>
          <w:sz w:val="24"/>
          <w:szCs w:val="24"/>
        </w:rPr>
        <w:t>zróżnicowane</w:t>
      </w:r>
      <w:r w:rsidRPr="00316D38">
        <w:rPr>
          <w:rFonts w:ascii="Calibri" w:hAnsi="Calibri" w:cstheme="minorHAnsi"/>
          <w:spacing w:val="-6"/>
          <w:sz w:val="24"/>
          <w:szCs w:val="24"/>
        </w:rPr>
        <w:t xml:space="preserve">, a w niektórych kwestiach nawet </w:t>
      </w:r>
      <w:r w:rsidRPr="00316D38">
        <w:rPr>
          <w:rFonts w:ascii="Calibri" w:hAnsi="Calibri" w:cstheme="minorHAnsi"/>
          <w:b/>
          <w:spacing w:val="-6"/>
          <w:sz w:val="24"/>
          <w:szCs w:val="24"/>
        </w:rPr>
        <w:t>odmienne i rozbieżne</w:t>
      </w:r>
      <w:r w:rsidRPr="00316D38">
        <w:rPr>
          <w:rFonts w:ascii="Calibri" w:hAnsi="Calibri" w:cstheme="minorHAnsi"/>
          <w:spacing w:val="-6"/>
          <w:sz w:val="24"/>
          <w:szCs w:val="24"/>
        </w:rPr>
        <w:t>. W pracach legislacyjnych to zróżnicowanie wymaga zawsze rozpoznania i rozpatrzenia, aby prawo dotyczące samorządu terytorial</w:t>
      </w:r>
      <w:r>
        <w:rPr>
          <w:rFonts w:ascii="Calibri" w:hAnsi="Calibri" w:cstheme="minorHAnsi"/>
          <w:spacing w:val="-6"/>
          <w:sz w:val="24"/>
          <w:szCs w:val="24"/>
        </w:rPr>
        <w:softHyphen/>
      </w:r>
      <w:r w:rsidRPr="00316D38">
        <w:rPr>
          <w:rFonts w:ascii="Calibri" w:hAnsi="Calibri" w:cstheme="minorHAnsi"/>
          <w:spacing w:val="-6"/>
          <w:sz w:val="24"/>
          <w:szCs w:val="24"/>
        </w:rPr>
        <w:t>nego uwzględniało potrzeby różnych społeczności lokalnych i regionalnych.</w:t>
      </w:r>
    </w:p>
    <w:p w:rsidR="00316D38" w:rsidRPr="00316D38" w:rsidRDefault="00316D38" w:rsidP="00316D38">
      <w:pPr>
        <w:pStyle w:val="Nagwek2"/>
        <w:shd w:val="clear" w:color="auto" w:fill="FFFFFF"/>
        <w:spacing w:after="120"/>
        <w:ind w:firstLine="170"/>
        <w:jc w:val="both"/>
        <w:rPr>
          <w:rFonts w:ascii="Calibri" w:hAnsi="Calibri" w:cstheme="minorHAnsi"/>
          <w:spacing w:val="-6"/>
          <w:sz w:val="24"/>
          <w:szCs w:val="24"/>
        </w:rPr>
      </w:pPr>
      <w:r w:rsidRPr="00316D38">
        <w:rPr>
          <w:rFonts w:ascii="Calibri" w:hAnsi="Calibri" w:cstheme="minorHAnsi"/>
          <w:spacing w:val="-6"/>
          <w:sz w:val="24"/>
          <w:szCs w:val="24"/>
        </w:rPr>
        <w:t>Trzeba podkreślić, że stowarzyszenia regionalne, zarówno współdziałające w OPOS jak i pozostałe, reprezentują samorządy lokalne (gminy i powiaty) i odgrywają znaczącą rolę w dialogu z wła</w:t>
      </w:r>
      <w:r w:rsidRPr="00316D38">
        <w:rPr>
          <w:rFonts w:ascii="Calibri" w:hAnsi="Calibri" w:cstheme="minorHAnsi"/>
          <w:spacing w:val="-6"/>
          <w:sz w:val="24"/>
          <w:szCs w:val="24"/>
        </w:rPr>
        <w:softHyphen/>
        <w:t xml:space="preserve">dzami swoich regionów i wojewodami. Poprzez OPOS, który od lat korzysta ze statusu obserwatora, mogą dodatkowo uczestniczyć w dialogu na szczeblu ogólnopaństwowym. Ponadto wiele jednostek jest członkami </w:t>
      </w:r>
      <w:r>
        <w:rPr>
          <w:rFonts w:ascii="Calibri" w:hAnsi="Calibri" w:cstheme="minorHAnsi"/>
          <w:spacing w:val="-6"/>
          <w:sz w:val="24"/>
          <w:szCs w:val="24"/>
        </w:rPr>
        <w:t>tak</w:t>
      </w:r>
      <w:r w:rsidRPr="00316D38">
        <w:rPr>
          <w:rFonts w:ascii="Calibri" w:hAnsi="Calibri" w:cstheme="minorHAnsi"/>
          <w:spacing w:val="-6"/>
          <w:sz w:val="24"/>
          <w:szCs w:val="24"/>
        </w:rPr>
        <w:t xml:space="preserve"> stowarzyszeń regionalnych jak i ogólnopolskich. Nie jest także możliwe, by OPOS wyznaczał przedstawi</w:t>
      </w:r>
      <w:r>
        <w:rPr>
          <w:rFonts w:ascii="Calibri" w:hAnsi="Calibri" w:cstheme="minorHAnsi"/>
          <w:spacing w:val="-6"/>
          <w:sz w:val="24"/>
          <w:szCs w:val="24"/>
        </w:rPr>
        <w:softHyphen/>
      </w:r>
      <w:r w:rsidRPr="00316D38">
        <w:rPr>
          <w:rFonts w:ascii="Calibri" w:hAnsi="Calibri" w:cstheme="minorHAnsi"/>
          <w:spacing w:val="-6"/>
          <w:sz w:val="24"/>
          <w:szCs w:val="24"/>
        </w:rPr>
        <w:t>cieli do Komitetu Regionów UE, ponieważ – zgodnie z</w:t>
      </w:r>
      <w:r>
        <w:rPr>
          <w:rFonts w:ascii="Calibri" w:hAnsi="Calibri" w:cstheme="minorHAnsi"/>
          <w:spacing w:val="-6"/>
          <w:sz w:val="24"/>
          <w:szCs w:val="24"/>
        </w:rPr>
        <w:t xml:space="preserve"> przepisami</w:t>
      </w:r>
      <w:r w:rsidRPr="00316D38">
        <w:rPr>
          <w:rFonts w:ascii="Calibri" w:hAnsi="Calibri" w:cstheme="minorHAnsi"/>
          <w:spacing w:val="-6"/>
          <w:sz w:val="24"/>
          <w:szCs w:val="24"/>
        </w:rPr>
        <w:t xml:space="preserve"> – mogą ich wyznaczyć tylko organizacje zrzeszające bezpośrednio jednostki samorządu terytorialnego, a nie stowarzyszenia tych jednostek.</w:t>
      </w:r>
    </w:p>
    <w:p w:rsidR="00316D38" w:rsidRPr="00316D38" w:rsidRDefault="00316D38" w:rsidP="00316D38">
      <w:pPr>
        <w:pStyle w:val="Nagwek2"/>
        <w:shd w:val="clear" w:color="auto" w:fill="FFFFFF"/>
        <w:spacing w:after="120"/>
        <w:ind w:firstLine="170"/>
        <w:jc w:val="both"/>
        <w:rPr>
          <w:rFonts w:ascii="Calibri" w:hAnsi="Calibri" w:cstheme="minorHAnsi"/>
          <w:spacing w:val="-6"/>
          <w:sz w:val="24"/>
          <w:szCs w:val="24"/>
        </w:rPr>
      </w:pPr>
      <w:r w:rsidRPr="00316D38">
        <w:rPr>
          <w:rFonts w:ascii="Calibri" w:hAnsi="Calibri" w:cstheme="minorHAnsi"/>
          <w:spacing w:val="-6"/>
          <w:sz w:val="24"/>
          <w:szCs w:val="24"/>
        </w:rPr>
        <w:t>Organizacja reprezentująca wszystkie kategorie JST, jaką jest ZSP, będzie z założenia „uśredniała” opinię swoich członków albo uwzględniała stanowisko tych jednostek, które mają w niej przewagę liczebną. Nie sposób jednak nie zauważyć również, że ZSP zrzesza przede wszystkim samorządow</w:t>
      </w:r>
      <w:r w:rsidRPr="00316D38">
        <w:rPr>
          <w:rFonts w:ascii="Calibri" w:hAnsi="Calibri" w:cstheme="minorHAnsi"/>
          <w:spacing w:val="-6"/>
          <w:sz w:val="24"/>
          <w:szCs w:val="24"/>
        </w:rPr>
        <w:softHyphen/>
        <w:t xml:space="preserve">ców </w:t>
      </w:r>
      <w:r w:rsidRPr="00316D38">
        <w:rPr>
          <w:rFonts w:ascii="Calibri" w:hAnsi="Calibri" w:cstheme="minorHAnsi"/>
          <w:spacing w:val="-6"/>
          <w:sz w:val="24"/>
          <w:szCs w:val="24"/>
          <w:u w:val="single"/>
        </w:rPr>
        <w:t>z jednej partii</w:t>
      </w:r>
      <w:r w:rsidRPr="00316D38">
        <w:rPr>
          <w:rFonts w:ascii="Calibri" w:hAnsi="Calibri" w:cstheme="minorHAnsi"/>
          <w:spacing w:val="-6"/>
          <w:sz w:val="24"/>
          <w:szCs w:val="24"/>
        </w:rPr>
        <w:t>. Jego założyciele wprost podkreślali, że przynależność do PiS albo popieranie tej partii jest kryterium członkostwa w stowarzyszeniu. Uważamy, że przynależność partyjna nie po</w:t>
      </w:r>
      <w:r w:rsidRPr="00316D38">
        <w:rPr>
          <w:rFonts w:ascii="Calibri" w:hAnsi="Calibri" w:cstheme="minorHAnsi"/>
          <w:spacing w:val="-6"/>
          <w:sz w:val="24"/>
          <w:szCs w:val="24"/>
        </w:rPr>
        <w:softHyphen/>
        <w:t xml:space="preserve">winna być wyznacznikiem działalności stowarzyszeń jednostek samorządu terytorialnego.  </w:t>
      </w:r>
    </w:p>
    <w:p w:rsidR="00316D38" w:rsidRPr="00316D38" w:rsidRDefault="00316D38" w:rsidP="00316D38">
      <w:pPr>
        <w:pStyle w:val="Nagwek2"/>
        <w:shd w:val="clear" w:color="auto" w:fill="FFFFFF"/>
        <w:spacing w:after="120"/>
        <w:ind w:firstLine="170"/>
        <w:jc w:val="both"/>
        <w:rPr>
          <w:rFonts w:ascii="Calibri" w:hAnsi="Calibri" w:cstheme="minorHAnsi"/>
          <w:spacing w:val="-6"/>
          <w:sz w:val="24"/>
          <w:szCs w:val="24"/>
        </w:rPr>
      </w:pPr>
      <w:r w:rsidRPr="00316D38">
        <w:rPr>
          <w:rFonts w:ascii="Calibri" w:hAnsi="Calibri" w:cstheme="minorHAnsi"/>
          <w:spacing w:val="-6"/>
          <w:sz w:val="24"/>
          <w:szCs w:val="24"/>
        </w:rPr>
        <w:t>Powołanie się w uzasadnieniu projektu na przykład organizacji skandynawskich jest nietrafny (Dania – dwa związki, Finlandia – szczebel regionalny sam w sobie jest reprezentacją gmin, więc tylko one mają swoje stowarzyszenie). Ponadto można przywołać przykłady innych państw europejskich, w których na</w:t>
      </w:r>
      <w:r>
        <w:rPr>
          <w:rFonts w:ascii="Calibri" w:hAnsi="Calibri" w:cstheme="minorHAnsi"/>
          <w:spacing w:val="-6"/>
          <w:sz w:val="24"/>
          <w:szCs w:val="24"/>
        </w:rPr>
        <w:softHyphen/>
      </w:r>
      <w:r w:rsidRPr="00316D38">
        <w:rPr>
          <w:rFonts w:ascii="Calibri" w:hAnsi="Calibri" w:cstheme="minorHAnsi"/>
          <w:spacing w:val="-6"/>
          <w:sz w:val="24"/>
          <w:szCs w:val="24"/>
        </w:rPr>
        <w:t>dal działają związki reprezentujące różne kategorie JST (Niemcy, Austria, Hiszpania, Szwajcaria, Włochy). Całkowicie nietrafny jest przykład CEMR, któr</w:t>
      </w:r>
      <w:r w:rsidR="00147565">
        <w:rPr>
          <w:rFonts w:ascii="Calibri" w:hAnsi="Calibri" w:cstheme="minorHAnsi"/>
          <w:spacing w:val="-6"/>
          <w:sz w:val="24"/>
          <w:szCs w:val="24"/>
        </w:rPr>
        <w:t>a</w:t>
      </w:r>
      <w:r w:rsidRPr="00316D38">
        <w:rPr>
          <w:rFonts w:ascii="Calibri" w:hAnsi="Calibri" w:cstheme="minorHAnsi"/>
          <w:spacing w:val="-6"/>
          <w:sz w:val="24"/>
          <w:szCs w:val="24"/>
        </w:rPr>
        <w:t xml:space="preserve"> zrzesza narodowe stowarzyszenia JST</w:t>
      </w:r>
      <w:r>
        <w:rPr>
          <w:rFonts w:ascii="Calibri" w:hAnsi="Calibri" w:cstheme="minorHAnsi"/>
          <w:spacing w:val="-6"/>
          <w:sz w:val="24"/>
          <w:szCs w:val="24"/>
        </w:rPr>
        <w:t xml:space="preserve"> </w:t>
      </w:r>
      <w:r w:rsidRPr="00316D38">
        <w:rPr>
          <w:rFonts w:ascii="Calibri" w:hAnsi="Calibri" w:cstheme="minorHAnsi"/>
          <w:spacing w:val="-6"/>
          <w:sz w:val="24"/>
          <w:szCs w:val="24"/>
        </w:rPr>
        <w:t>(jej członkami z są ZMP i ZPP), przypominając w skali europejskiej OPOS.</w:t>
      </w:r>
      <w:r>
        <w:rPr>
          <w:rFonts w:ascii="Calibri" w:hAnsi="Calibri" w:cstheme="minorHAnsi"/>
          <w:spacing w:val="-6"/>
          <w:sz w:val="24"/>
          <w:szCs w:val="24"/>
        </w:rPr>
        <w:t xml:space="preserve"> CEMR nie jest reprezentowany w strukturach UE.</w:t>
      </w:r>
    </w:p>
    <w:p w:rsidR="00316D38" w:rsidRPr="00316D38" w:rsidRDefault="00316D38" w:rsidP="00316D38">
      <w:pPr>
        <w:pStyle w:val="Nagwek2"/>
        <w:shd w:val="clear" w:color="auto" w:fill="FFFFFF"/>
        <w:ind w:firstLine="28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316D38">
        <w:rPr>
          <w:rFonts w:asciiTheme="minorHAnsi" w:hAnsiTheme="minorHAnsi" w:cstheme="minorHAnsi"/>
          <w:spacing w:val="-6"/>
          <w:sz w:val="24"/>
          <w:szCs w:val="24"/>
        </w:rPr>
        <w:tab/>
        <w:t>Za Zarząd Związku</w:t>
      </w:r>
    </w:p>
    <w:p w:rsidR="00316D38" w:rsidRPr="00147565" w:rsidRDefault="00147565" w:rsidP="00147565">
      <w:pPr>
        <w:pStyle w:val="Nagwek2"/>
        <w:shd w:val="clear" w:color="auto" w:fill="FFFFFF"/>
        <w:ind w:firstLine="284"/>
        <w:jc w:val="both"/>
        <w:rPr>
          <w:rFonts w:asciiTheme="minorHAnsi" w:hAnsiTheme="minorHAnsi" w:cstheme="minorHAnsi"/>
          <w:i/>
          <w:spacing w:val="-6"/>
          <w:sz w:val="24"/>
          <w:szCs w:val="24"/>
        </w:rPr>
      </w:pPr>
      <w:r w:rsidRPr="00147565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147565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147565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147565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147565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147565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147565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147565">
        <w:rPr>
          <w:rFonts w:asciiTheme="minorHAnsi" w:hAnsiTheme="minorHAnsi" w:cstheme="minorHAnsi"/>
          <w:i/>
          <w:spacing w:val="-6"/>
          <w:sz w:val="24"/>
          <w:szCs w:val="24"/>
        </w:rPr>
        <w:tab/>
        <w:t xml:space="preserve">        (-) Zygmunt Frankiewicz</w:t>
      </w:r>
    </w:p>
    <w:p w:rsidR="00316D38" w:rsidRDefault="00147565" w:rsidP="00316D38">
      <w:pPr>
        <w:pStyle w:val="Nagwek2"/>
        <w:shd w:val="clear" w:color="auto" w:fill="FFFFFF"/>
        <w:spacing w:after="120"/>
        <w:ind w:firstLine="284"/>
        <w:jc w:val="both"/>
        <w:rPr>
          <w:rFonts w:asciiTheme="minorHAnsi" w:hAnsiTheme="minorHAnsi" w:cstheme="minorHAnsi"/>
          <w:b/>
          <w:spacing w:val="-6"/>
          <w:sz w:val="16"/>
          <w:szCs w:val="16"/>
        </w:rPr>
      </w:pPr>
      <w:r>
        <w:rPr>
          <w:rFonts w:asciiTheme="minorHAnsi" w:hAnsiTheme="minorHAnsi" w:cstheme="minorHAnsi"/>
          <w:b/>
          <w:spacing w:val="-6"/>
          <w:sz w:val="16"/>
          <w:szCs w:val="16"/>
        </w:rPr>
        <w:tab/>
      </w:r>
      <w:r>
        <w:rPr>
          <w:rFonts w:asciiTheme="minorHAnsi" w:hAnsiTheme="minorHAnsi" w:cstheme="minorHAnsi"/>
          <w:b/>
          <w:spacing w:val="-6"/>
          <w:sz w:val="16"/>
          <w:szCs w:val="16"/>
        </w:rPr>
        <w:tab/>
      </w:r>
      <w:r>
        <w:rPr>
          <w:rFonts w:asciiTheme="minorHAnsi" w:hAnsiTheme="minorHAnsi" w:cstheme="minorHAnsi"/>
          <w:b/>
          <w:spacing w:val="-6"/>
          <w:sz w:val="16"/>
          <w:szCs w:val="16"/>
        </w:rPr>
        <w:tab/>
      </w:r>
      <w:r>
        <w:rPr>
          <w:rFonts w:asciiTheme="minorHAnsi" w:hAnsiTheme="minorHAnsi" w:cstheme="minorHAnsi"/>
          <w:b/>
          <w:spacing w:val="-6"/>
          <w:sz w:val="16"/>
          <w:szCs w:val="16"/>
        </w:rPr>
        <w:tab/>
      </w:r>
      <w:r>
        <w:rPr>
          <w:rFonts w:asciiTheme="minorHAnsi" w:hAnsiTheme="minorHAnsi" w:cstheme="minorHAnsi"/>
          <w:b/>
          <w:spacing w:val="-6"/>
          <w:sz w:val="16"/>
          <w:szCs w:val="16"/>
        </w:rPr>
        <w:tab/>
      </w:r>
      <w:r>
        <w:rPr>
          <w:rFonts w:asciiTheme="minorHAnsi" w:hAnsiTheme="minorHAnsi" w:cstheme="minorHAnsi"/>
          <w:b/>
          <w:spacing w:val="-6"/>
          <w:sz w:val="16"/>
          <w:szCs w:val="16"/>
        </w:rPr>
        <w:tab/>
      </w:r>
      <w:r>
        <w:rPr>
          <w:rFonts w:asciiTheme="minorHAnsi" w:hAnsiTheme="minorHAnsi" w:cstheme="minorHAnsi"/>
          <w:b/>
          <w:spacing w:val="-6"/>
          <w:sz w:val="16"/>
          <w:szCs w:val="16"/>
        </w:rPr>
        <w:tab/>
      </w:r>
      <w:r>
        <w:rPr>
          <w:rFonts w:asciiTheme="minorHAnsi" w:hAnsiTheme="minorHAnsi" w:cstheme="minorHAnsi"/>
          <w:b/>
          <w:spacing w:val="-6"/>
          <w:sz w:val="16"/>
          <w:szCs w:val="16"/>
        </w:rPr>
        <w:tab/>
      </w:r>
      <w:r>
        <w:rPr>
          <w:rFonts w:asciiTheme="minorHAnsi" w:hAnsiTheme="minorHAnsi" w:cstheme="minorHAnsi"/>
          <w:b/>
          <w:spacing w:val="-6"/>
          <w:sz w:val="16"/>
          <w:szCs w:val="16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  </w:t>
      </w:r>
      <w:r w:rsidRPr="00316D38">
        <w:rPr>
          <w:rFonts w:asciiTheme="minorHAnsi" w:hAnsiTheme="minorHAnsi" w:cstheme="minorHAnsi"/>
          <w:spacing w:val="-6"/>
          <w:sz w:val="24"/>
          <w:szCs w:val="24"/>
        </w:rPr>
        <w:t>Prezes Związku</w:t>
      </w:r>
    </w:p>
    <w:p w:rsidR="00316D38" w:rsidRDefault="00694F49" w:rsidP="00694F49">
      <w:pPr>
        <w:spacing w:after="40"/>
      </w:pPr>
      <w:bookmarkStart w:id="0" w:name="_GoBack"/>
      <w:bookmarkEnd w:id="0"/>
      <w:r w:rsidRPr="00694F49">
        <w:rPr>
          <w:u w:val="single"/>
        </w:rPr>
        <w:t>Do wiadomości</w:t>
      </w:r>
      <w:r>
        <w:t>:</w:t>
      </w:r>
    </w:p>
    <w:p w:rsidR="00694F49" w:rsidRPr="00694F49" w:rsidRDefault="00694F49" w:rsidP="00694F49">
      <w:r>
        <w:t xml:space="preserve">Szymon Wróbel, sekretarz </w:t>
      </w:r>
      <w:proofErr w:type="spellStart"/>
      <w:r>
        <w:t>KWRiST</w:t>
      </w:r>
      <w:proofErr w:type="spellEnd"/>
    </w:p>
    <w:p w:rsidR="00506458" w:rsidRPr="00316D38" w:rsidRDefault="00694F49" w:rsidP="00694F49">
      <w:pPr>
        <w:pStyle w:val="Nagwek2"/>
        <w:shd w:val="clear" w:color="auto" w:fill="FFFFFF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694F49">
        <w:rPr>
          <w:spacing w:val="-6"/>
          <w:sz w:val="20"/>
        </w:rPr>
        <w:t xml:space="preserve">Marek Wójcik, sekretarz </w:t>
      </w:r>
      <w:proofErr w:type="spellStart"/>
      <w:r w:rsidRPr="00694F49">
        <w:rPr>
          <w:spacing w:val="-6"/>
          <w:sz w:val="20"/>
        </w:rPr>
        <w:t>KWRiST</w:t>
      </w:r>
      <w:proofErr w:type="spellEnd"/>
      <w:r w:rsidR="00316D38"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="00316D38"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ab/>
      </w:r>
      <w:r w:rsidR="00316D38"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="00316D38"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  <w:r w:rsidR="00316D38" w:rsidRPr="00316D38">
        <w:rPr>
          <w:rFonts w:asciiTheme="minorHAnsi" w:hAnsiTheme="minorHAnsi" w:cstheme="minorHAnsi"/>
          <w:spacing w:val="-6"/>
          <w:sz w:val="24"/>
          <w:szCs w:val="24"/>
        </w:rPr>
        <w:tab/>
      </w:r>
    </w:p>
    <w:sectPr w:rsidR="00506458" w:rsidRPr="00316D38" w:rsidSect="003F2133">
      <w:headerReference w:type="default" r:id="rId7"/>
      <w:headerReference w:type="first" r:id="rId8"/>
      <w:pgSz w:w="11906" w:h="16838"/>
      <w:pgMar w:top="1134" w:right="113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18" w:rsidRDefault="00807818">
      <w:r>
        <w:separator/>
      </w:r>
    </w:p>
  </w:endnote>
  <w:endnote w:type="continuationSeparator" w:id="0">
    <w:p w:rsidR="00807818" w:rsidRDefault="0080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18" w:rsidRDefault="00807818">
      <w:r>
        <w:separator/>
      </w:r>
    </w:p>
  </w:footnote>
  <w:footnote w:type="continuationSeparator" w:id="0">
    <w:p w:rsidR="00807818" w:rsidRDefault="0080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434" w:rsidRDefault="003A62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19050" t="0" r="0" b="0"/>
          <wp:wrapNone/>
          <wp:docPr id="10" name="Obraz 10" descr="l17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17-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19050" t="0" r="9525" b="0"/>
          <wp:wrapNone/>
          <wp:docPr id="9" name="Obraz 9" descr="l17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17-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F5811"/>
    <w:multiLevelType w:val="hybridMultilevel"/>
    <w:tmpl w:val="DEAE7134"/>
    <w:lvl w:ilvl="0" w:tplc="EF16C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D0FC9"/>
    <w:multiLevelType w:val="hybridMultilevel"/>
    <w:tmpl w:val="0748CB60"/>
    <w:lvl w:ilvl="0" w:tplc="1B2E3B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EB"/>
    <w:rsid w:val="00006006"/>
    <w:rsid w:val="00053698"/>
    <w:rsid w:val="000932AA"/>
    <w:rsid w:val="000A1831"/>
    <w:rsid w:val="000D5126"/>
    <w:rsid w:val="000F5588"/>
    <w:rsid w:val="001118B4"/>
    <w:rsid w:val="0011767D"/>
    <w:rsid w:val="00130433"/>
    <w:rsid w:val="00147565"/>
    <w:rsid w:val="00150626"/>
    <w:rsid w:val="0015281C"/>
    <w:rsid w:val="00157A37"/>
    <w:rsid w:val="00175791"/>
    <w:rsid w:val="002A7E08"/>
    <w:rsid w:val="002B0BC2"/>
    <w:rsid w:val="00316D38"/>
    <w:rsid w:val="003446A5"/>
    <w:rsid w:val="00381D5A"/>
    <w:rsid w:val="003A627D"/>
    <w:rsid w:val="003B24CE"/>
    <w:rsid w:val="003C7F56"/>
    <w:rsid w:val="003F2133"/>
    <w:rsid w:val="004114C0"/>
    <w:rsid w:val="00430F11"/>
    <w:rsid w:val="00462D4D"/>
    <w:rsid w:val="00471696"/>
    <w:rsid w:val="004735A9"/>
    <w:rsid w:val="004A2FDD"/>
    <w:rsid w:val="004A4892"/>
    <w:rsid w:val="004C55C6"/>
    <w:rsid w:val="004E536A"/>
    <w:rsid w:val="004F00F8"/>
    <w:rsid w:val="00506458"/>
    <w:rsid w:val="00510835"/>
    <w:rsid w:val="00523A76"/>
    <w:rsid w:val="00535580"/>
    <w:rsid w:val="00536303"/>
    <w:rsid w:val="0066260E"/>
    <w:rsid w:val="00681718"/>
    <w:rsid w:val="00694F49"/>
    <w:rsid w:val="006A4280"/>
    <w:rsid w:val="006B109C"/>
    <w:rsid w:val="00746AC3"/>
    <w:rsid w:val="0075007D"/>
    <w:rsid w:val="007504F8"/>
    <w:rsid w:val="0075311C"/>
    <w:rsid w:val="00757EF3"/>
    <w:rsid w:val="00780317"/>
    <w:rsid w:val="00781920"/>
    <w:rsid w:val="007E7706"/>
    <w:rsid w:val="00807818"/>
    <w:rsid w:val="00827542"/>
    <w:rsid w:val="00835335"/>
    <w:rsid w:val="00837EFD"/>
    <w:rsid w:val="0084242D"/>
    <w:rsid w:val="00873B1A"/>
    <w:rsid w:val="008A49A4"/>
    <w:rsid w:val="008A7DF9"/>
    <w:rsid w:val="008D06B0"/>
    <w:rsid w:val="009A4EB0"/>
    <w:rsid w:val="009B6344"/>
    <w:rsid w:val="009B7780"/>
    <w:rsid w:val="009D31A5"/>
    <w:rsid w:val="00A2140A"/>
    <w:rsid w:val="00A35618"/>
    <w:rsid w:val="00A829FB"/>
    <w:rsid w:val="00AA42EB"/>
    <w:rsid w:val="00AB14A3"/>
    <w:rsid w:val="00AC40D4"/>
    <w:rsid w:val="00AF5C5D"/>
    <w:rsid w:val="00B5562A"/>
    <w:rsid w:val="00B5595F"/>
    <w:rsid w:val="00B976D2"/>
    <w:rsid w:val="00BD49A9"/>
    <w:rsid w:val="00BF319C"/>
    <w:rsid w:val="00C20257"/>
    <w:rsid w:val="00C548CF"/>
    <w:rsid w:val="00C85434"/>
    <w:rsid w:val="00C86F80"/>
    <w:rsid w:val="00C9456B"/>
    <w:rsid w:val="00CC46B9"/>
    <w:rsid w:val="00D540B1"/>
    <w:rsid w:val="00DA2F77"/>
    <w:rsid w:val="00DE5DBD"/>
    <w:rsid w:val="00DF082D"/>
    <w:rsid w:val="00E031C4"/>
    <w:rsid w:val="00E24DDA"/>
    <w:rsid w:val="00E52DD9"/>
    <w:rsid w:val="00EC3DEA"/>
    <w:rsid w:val="00F4484B"/>
    <w:rsid w:val="00FA1BAD"/>
    <w:rsid w:val="00FB6CDA"/>
    <w:rsid w:val="00FD577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C2588"/>
  <w15:docId w15:val="{B3487C19-21E7-46E9-AF81-C1075335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i/>
      <w:iCs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6AC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C5D"/>
    <w:pPr>
      <w:spacing w:after="200" w:line="276" w:lineRule="auto"/>
      <w:ind w:left="720" w:firstLine="709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creator>MSWiA</dc:creator>
  <cp:lastModifiedBy>Andrzej Porawski</cp:lastModifiedBy>
  <cp:revision>3</cp:revision>
  <cp:lastPrinted>2017-01-19T14:55:00Z</cp:lastPrinted>
  <dcterms:created xsi:type="dcterms:W3CDTF">2022-10-01T17:32:00Z</dcterms:created>
  <dcterms:modified xsi:type="dcterms:W3CDTF">2022-10-01T19:08:00Z</dcterms:modified>
</cp:coreProperties>
</file>