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0335" w14:textId="77777777" w:rsidR="003E692D" w:rsidRDefault="005A1EC3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Propozycja zmiany legislacyjnej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Komisji Bezpieczeństwa i Porządku Publicznego ZMP</w:t>
      </w:r>
    </w:p>
    <w:p w14:paraId="5122BC41" w14:textId="77777777" w:rsidR="003E692D" w:rsidRDefault="005A1EC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dotycząca zmiany ustawy Prawo o ruchu drogowym </w:t>
      </w:r>
    </w:p>
    <w:p w14:paraId="3C9CE5B3" w14:textId="77777777" w:rsidR="003E692D" w:rsidRDefault="005A1EC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zakresie dostępu do CEPIK i Krajowego Punktu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Kontaktowego </w:t>
      </w:r>
    </w:p>
    <w:p w14:paraId="6A24E6EE" w14:textId="77777777" w:rsidR="003E692D" w:rsidRDefault="005A1EC3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(dostęp do danych właścicieli pojazdów zarejestrowanych w UE)</w:t>
      </w:r>
    </w:p>
    <w:p w14:paraId="24BC2FAD" w14:textId="77777777" w:rsidR="003E692D" w:rsidRDefault="003E692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27DB2F2" w14:textId="77777777" w:rsidR="003E692D" w:rsidRDefault="005A1EC3">
      <w:pPr>
        <w:pStyle w:val="Standard"/>
      </w:pPr>
      <w:r>
        <w:t xml:space="preserve">                                                                                                </w:t>
      </w:r>
    </w:p>
    <w:p w14:paraId="0B46E979" w14:textId="77777777" w:rsidR="003E692D" w:rsidRDefault="003E692D">
      <w:pPr>
        <w:pStyle w:val="Standard"/>
        <w:rPr>
          <w:rFonts w:ascii="Verdana" w:hAnsi="Verdana"/>
          <w:sz w:val="22"/>
          <w:szCs w:val="22"/>
        </w:rPr>
      </w:pPr>
    </w:p>
    <w:p w14:paraId="3A778E97" w14:textId="77777777" w:rsidR="003E692D" w:rsidRDefault="005A1EC3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                                    </w:t>
      </w:r>
      <w:r>
        <w:rPr>
          <w:rFonts w:ascii="Verdana" w:hAnsi="Verdana"/>
          <w:sz w:val="22"/>
          <w:szCs w:val="22"/>
          <w:u w:val="single"/>
        </w:rPr>
        <w:t>Ustawa z dnia ….......... 2022 r.</w:t>
      </w:r>
    </w:p>
    <w:p w14:paraId="17A60336" w14:textId="77777777" w:rsidR="003E692D" w:rsidRDefault="005A1EC3">
      <w:pPr>
        <w:pStyle w:val="Standard"/>
        <w:spacing w:line="360" w:lineRule="auto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 sprawie z</w:t>
      </w:r>
      <w:r>
        <w:rPr>
          <w:rFonts w:ascii="Verdana" w:hAnsi="Verdana"/>
          <w:sz w:val="22"/>
          <w:szCs w:val="22"/>
          <w:u w:val="single"/>
        </w:rPr>
        <w:t>miany ustawy prawo o ruchu drogowym</w:t>
      </w:r>
    </w:p>
    <w:p w14:paraId="56D5E59D" w14:textId="77777777" w:rsidR="003E692D" w:rsidRDefault="005A1EC3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                                                       </w:t>
      </w:r>
      <w:r>
        <w:rPr>
          <w:rFonts w:ascii="Verdana" w:hAnsi="Verdana"/>
          <w:b/>
          <w:bCs/>
          <w:sz w:val="22"/>
          <w:szCs w:val="22"/>
        </w:rPr>
        <w:t xml:space="preserve">  Art. 1</w:t>
      </w:r>
    </w:p>
    <w:p w14:paraId="66D69E4F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ustawie z dnia 20 czerwca 1997 r.  prawo o ruchu drogowym (tj. Dz. U. z 2022  r. poz. 988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 wprowadza się następujące zmiany:</w:t>
      </w:r>
    </w:p>
    <w:p w14:paraId="52843A94" w14:textId="77777777" w:rsidR="003E692D" w:rsidRDefault="003E692D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5C81F9A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 Art. 78 ust.</w:t>
      </w:r>
      <w:r>
        <w:rPr>
          <w:rFonts w:ascii="Verdana" w:hAnsi="Verdana"/>
          <w:sz w:val="22"/>
          <w:szCs w:val="22"/>
        </w:rPr>
        <w:t xml:space="preserve"> 4 otrzymuje brzmienie:</w:t>
      </w:r>
    </w:p>
    <w:p w14:paraId="597116A2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 art. 78 ust. 4</w:t>
      </w:r>
    </w:p>
    <w:p w14:paraId="627E2DD3" w14:textId="77777777" w:rsidR="003E692D" w:rsidRDefault="005A1EC3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Właściciel lub posiadacz pojazdu jest obowiązany wskazać na żądanie uprawnionego organu, komu powierzył pojazd do kierowania lub używania w oznaczonym czasie, chyba że pojazd został użyty wbrew jego woli i wiedzy pr</w:t>
      </w:r>
      <w:r>
        <w:rPr>
          <w:rFonts w:ascii="Verdana" w:hAnsi="Verdana"/>
          <w:sz w:val="22"/>
        </w:rPr>
        <w:t>zez nieznaną osobę, czemu nie mógł zapobiec.</w:t>
      </w:r>
    </w:p>
    <w:p w14:paraId="1DB0E3DA" w14:textId="77777777" w:rsidR="003E692D" w:rsidRDefault="005A1EC3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Przepis pkt 1 ma zastosowanie również w przypadku prowadzenia czynności wyjaśniających w sprawie wykroczenia innego niż przeciwko porządkowi i bezpieczeństwu w komunikacji,  którego sprawca poruszał się pojazdem</w:t>
      </w:r>
      <w:r>
        <w:rPr>
          <w:rFonts w:ascii="Verdana" w:hAnsi="Verdana"/>
          <w:sz w:val="22"/>
        </w:rPr>
        <w:t xml:space="preserve"> lub ustalenie tożsamości kierującego pojazdem ma istotne znaczenie dla tych czynności.”  </w:t>
      </w:r>
    </w:p>
    <w:p w14:paraId="2621E0C3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Art. 80k ust. 6 otrzymuje  brzmienie:</w:t>
      </w:r>
    </w:p>
    <w:p w14:paraId="7CB86603" w14:textId="77777777" w:rsidR="003E692D" w:rsidRDefault="005A1EC3">
      <w:pPr>
        <w:pStyle w:val="Standard"/>
        <w:spacing w:line="360" w:lineRule="auto"/>
        <w:jc w:val="both"/>
      </w:pPr>
      <w:r>
        <w:rPr>
          <w:rFonts w:ascii="Verdana" w:hAnsi="Verdana"/>
          <w:sz w:val="22"/>
          <w:szCs w:val="22"/>
        </w:rPr>
        <w:t xml:space="preserve"> „  6. </w:t>
      </w:r>
      <w:r>
        <w:rPr>
          <w:rFonts w:ascii="Verdana" w:hAnsi="Verdana"/>
          <w:sz w:val="22"/>
        </w:rPr>
        <w:t>Wymiana informacji, o której mowa w ust. 3, następuje w związku z:</w:t>
      </w:r>
    </w:p>
    <w:p w14:paraId="492E84BD" w14:textId="77777777" w:rsidR="003E692D" w:rsidRDefault="005A1EC3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popełnieniem wykroczenia przeciwko bezpieczeństwu </w:t>
      </w:r>
      <w:r>
        <w:rPr>
          <w:rFonts w:ascii="Verdana" w:hAnsi="Verdana"/>
          <w:sz w:val="22"/>
        </w:rPr>
        <w:t>i porządkowi w komunikacji,</w:t>
      </w:r>
    </w:p>
    <w:p w14:paraId="18A7260C" w14:textId="77777777" w:rsidR="003E692D" w:rsidRDefault="005A1EC3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popełnieniem innego czynu zabronionego, którego sprawca poruszał się pojazdem, co do którego istnieje obowiązek rejestracji i został mu nadany został numer rejestracyjny lub ustalenie tożsamości kierującego pojazdem ma istotne z</w:t>
      </w:r>
      <w:r>
        <w:rPr>
          <w:rFonts w:ascii="Verdana" w:hAnsi="Verdana"/>
          <w:sz w:val="22"/>
        </w:rPr>
        <w:t>naczenie dla tych czynności.</w:t>
      </w:r>
    </w:p>
    <w:p w14:paraId="5F6B569A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3) wykonywaniem czynności, co do których mają zastosowanie przepisy art. 50 a</w:t>
      </w:r>
    </w:p>
    <w:p w14:paraId="33E62D49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oraz 130a niniejszej ustawy.”</w:t>
      </w:r>
    </w:p>
    <w:p w14:paraId="20640D1B" w14:textId="77777777" w:rsidR="003E692D" w:rsidRDefault="003E692D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14:paraId="39579881" w14:textId="77777777" w:rsidR="003E692D" w:rsidRDefault="005A1EC3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 art. 129b po ust. 3a dodaje się ust. 3b w brzemieniu:</w:t>
      </w:r>
    </w:p>
    <w:p w14:paraId="70826294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„ 3b. Strażnicy gminni (miejscy) są uprawnie</w:t>
      </w:r>
      <w:r>
        <w:rPr>
          <w:rFonts w:ascii="Verdana" w:hAnsi="Verdana"/>
          <w:sz w:val="22"/>
        </w:rPr>
        <w:t xml:space="preserve">ni do  weryfikacji danych o pojeździe,   </w:t>
      </w:r>
    </w:p>
    <w:p w14:paraId="550CC02D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w tym danych o dokumentach pojazdu, w centralnej ewidencji pojazdów, także w   </w:t>
      </w:r>
    </w:p>
    <w:p w14:paraId="6535544A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związku z:</w:t>
      </w:r>
    </w:p>
    <w:p w14:paraId="49EF81D6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1) prowadzeniem czynności wyjaśniających w  sprawach o wykroczenie, którego    </w:t>
      </w:r>
    </w:p>
    <w:p w14:paraId="0454B840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sprawca poruszał się</w:t>
      </w:r>
      <w:r>
        <w:rPr>
          <w:rFonts w:ascii="Verdana" w:hAnsi="Verdana"/>
          <w:sz w:val="22"/>
        </w:rPr>
        <w:t xml:space="preserve"> pojazdem, co do którego istnieje obowiązek rejestracji i   </w:t>
      </w:r>
    </w:p>
    <w:p w14:paraId="412D29FE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został  mu  nadany numer rejestracyjny lub ustalenie tożsamości kierującego  </w:t>
      </w:r>
    </w:p>
    <w:p w14:paraId="7CB0DEB2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pojazdem ma istotne znaczenie dla tych czynności.</w:t>
      </w:r>
    </w:p>
    <w:p w14:paraId="285C424F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2) wykonywaniem czynności, co do których mają zast</w:t>
      </w:r>
      <w:r>
        <w:rPr>
          <w:rFonts w:ascii="Verdana" w:hAnsi="Verdana"/>
          <w:sz w:val="22"/>
        </w:rPr>
        <w:t>osowanie przepisy art. 50 a</w:t>
      </w:r>
    </w:p>
    <w:p w14:paraId="76689D0C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     oraz 130a niniejszej ustawy.”      </w:t>
      </w:r>
    </w:p>
    <w:p w14:paraId="265DD916" w14:textId="77777777" w:rsidR="003E692D" w:rsidRDefault="003E692D">
      <w:pPr>
        <w:pStyle w:val="Standard"/>
        <w:spacing w:line="360" w:lineRule="auto"/>
        <w:rPr>
          <w:rFonts w:ascii="Verdana" w:hAnsi="Verdana"/>
          <w:sz w:val="22"/>
          <w:szCs w:val="22"/>
        </w:rPr>
      </w:pPr>
    </w:p>
    <w:p w14:paraId="795DE10D" w14:textId="77777777" w:rsidR="003E692D" w:rsidRDefault="005A1EC3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                                                </w:t>
      </w:r>
      <w:r>
        <w:rPr>
          <w:rFonts w:ascii="Verdana" w:hAnsi="Verdana"/>
          <w:sz w:val="22"/>
          <w:szCs w:val="22"/>
          <w:u w:val="single"/>
        </w:rPr>
        <w:t>Uzasadnienie</w:t>
      </w:r>
    </w:p>
    <w:p w14:paraId="218FBB8B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Proponowania nowelizacja ma na celu rozszerzenie katalogu czynów zabronionych oraz okoliczności pozwalających uzyskać dane wł</w:t>
      </w:r>
      <w:r>
        <w:rPr>
          <w:rFonts w:ascii="Verdana" w:hAnsi="Verdana"/>
          <w:sz w:val="22"/>
          <w:szCs w:val="22"/>
        </w:rPr>
        <w:t>aścicieli pojazdów zarejestrowanych na terenie państw członków Unii Europejskiej oraz pojazdów zarejestrowanych na terenie Rzeczypospolitej Polskiej.</w:t>
      </w:r>
    </w:p>
    <w:p w14:paraId="221A74E0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Obowiązujące w tym zakresie przepisy nigdy nie były adekwatne do istniejących potrzeb, a zmieniające się r</w:t>
      </w:r>
      <w:r>
        <w:rPr>
          <w:rFonts w:ascii="Verdana" w:hAnsi="Verdana"/>
          <w:sz w:val="22"/>
          <w:szCs w:val="22"/>
        </w:rPr>
        <w:t>ealia tylko tą sytuację pogorszyły.</w:t>
      </w:r>
    </w:p>
    <w:p w14:paraId="6C0283BF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obecnym stanie prawnym delegacja do korzystania z systemu CEP (Centralna Ewidencja Pojazdów) wynikając z art. 129b ogranicza się tylko do wykonywania czynności w ramach kontroli ruchu drogowego, tymczasem straże gminne</w:t>
      </w:r>
      <w:r>
        <w:rPr>
          <w:rFonts w:ascii="Verdana" w:hAnsi="Verdana"/>
          <w:sz w:val="22"/>
          <w:szCs w:val="22"/>
        </w:rPr>
        <w:t xml:space="preserve"> (miejskie) prowadzą wiele czynności wyjaśniających dotyczących innych wykroczeń np. zaśmiecanie, zanieczyszczanie miejsca dostępnego publicznie (art. 145 KW), zanieczyszczanie lasu, wjazd do lasu ( art. 161 i 162 KW) gdzie „narzędziem” sprawcy lub sprawcó</w:t>
      </w:r>
      <w:r>
        <w:rPr>
          <w:rFonts w:ascii="Verdana" w:hAnsi="Verdana"/>
          <w:sz w:val="22"/>
          <w:szCs w:val="22"/>
        </w:rPr>
        <w:t>w wykroczenia jest pojazd. W tej sytuacji prowadzący czynności nie ma podstaw do pozyskania tych danych, co w wielu przypadkach uniemożliwia ustalenie sprawcy i  postawienie mu zarzutów. Logiczną kontynuację proponowanej zmiany  jest więc rozszerzenie obow</w:t>
      </w:r>
      <w:r>
        <w:rPr>
          <w:rFonts w:ascii="Verdana" w:hAnsi="Verdana"/>
          <w:sz w:val="22"/>
          <w:szCs w:val="22"/>
        </w:rPr>
        <w:t xml:space="preserve">iązku wynikającego z art. 78 ust. 4  na sytuacje, kiedy ustalenie kierującego pojazdem w określonym czasie i miejscu jest istotne do zakończenia czynności wyjaśniających w sprawach innych wykroczeń. Obecnie nie ma  podstawy prawnej pozwalającej  przymusić </w:t>
      </w:r>
      <w:r>
        <w:rPr>
          <w:rFonts w:ascii="Verdana" w:hAnsi="Verdana"/>
          <w:sz w:val="22"/>
          <w:szCs w:val="22"/>
        </w:rPr>
        <w:t xml:space="preserve">właściciela pojazdu do wskazania komu udostępnił swój pojazd w takiej sytuacji.  </w:t>
      </w:r>
    </w:p>
    <w:p w14:paraId="37853671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Kolejną nieuregulowaną do chwili obecnej sprawą jest pozyskiwanie danych właściciela pojazdu usuniętego z drogi na podstawie art. 130 a prawa o ruchu drogowym, gdzie zgodnie </w:t>
      </w:r>
      <w:r>
        <w:rPr>
          <w:rFonts w:ascii="Verdana" w:hAnsi="Verdana"/>
          <w:sz w:val="22"/>
          <w:szCs w:val="22"/>
        </w:rPr>
        <w:t>na organie, który wydał dyspozycję spoczywa obowiązek powiadomienia o tym fakcie jego właściciela. Podobnie ma się rzecz w przypadku usuwania pojazdów z drogi na zasadzie art. 50a, wprawdzie w tym przypadku obowiązek powiadomienia właściciela spoczywa na o</w:t>
      </w:r>
      <w:r>
        <w:rPr>
          <w:rFonts w:ascii="Verdana" w:hAnsi="Verdana"/>
          <w:sz w:val="22"/>
          <w:szCs w:val="22"/>
        </w:rPr>
        <w:t>rganie gminy, jednak w praktyce czynności te wykonują straże gminne ( miejskie), których funkcjonariusze wydali dyspozycję.</w:t>
      </w:r>
    </w:p>
    <w:p w14:paraId="0C8650DD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Kolejna propozycja, która tworzy z wcześniej omówionymi kompletną całość jest rozszerzenie zakresu czynów i sytuacji pozwalających n</w:t>
      </w:r>
      <w:r>
        <w:rPr>
          <w:rFonts w:ascii="Verdana" w:hAnsi="Verdana"/>
          <w:sz w:val="22"/>
          <w:szCs w:val="22"/>
        </w:rPr>
        <w:t>a ustalenie właściciela pojazdu zarejestrowanego w jednym z państw Unii Europejskiej. Obecny katalog jest zamknięty i obejmuje tylko kilka wykroczeń np. przekroczenie dopuszczalnej prędkości  czy rozmowa podczas jazdy przez telefon komórkowy. Trudno dociec</w:t>
      </w:r>
      <w:r>
        <w:rPr>
          <w:rFonts w:ascii="Verdana" w:hAnsi="Verdana"/>
          <w:sz w:val="22"/>
          <w:szCs w:val="22"/>
        </w:rPr>
        <w:t xml:space="preserve"> czym kierował się ustawodawca tworząc ten katalog, ale jest on co do zasady niewystarczający, biorąc pod uwagę coraz większy ruch pojazdów zarejestrowanych za granicą.   </w:t>
      </w:r>
    </w:p>
    <w:p w14:paraId="17D8F086" w14:textId="77777777" w:rsidR="003E692D" w:rsidRDefault="005A1EC3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Opracowanie: Piotr </w:t>
      </w:r>
      <w:proofErr w:type="spellStart"/>
      <w:r>
        <w:rPr>
          <w:rFonts w:ascii="Verdana" w:hAnsi="Verdana"/>
          <w:sz w:val="16"/>
          <w:szCs w:val="16"/>
        </w:rPr>
        <w:t>Kubczak</w:t>
      </w:r>
      <w:proofErr w:type="spellEnd"/>
      <w:r>
        <w:rPr>
          <w:rFonts w:ascii="Verdana" w:hAnsi="Verdana"/>
          <w:sz w:val="16"/>
          <w:szCs w:val="16"/>
        </w:rPr>
        <w:t xml:space="preserve"> – komendant SM w Swarzędzu</w:t>
      </w:r>
    </w:p>
    <w:p w14:paraId="78900E08" w14:textId="77777777" w:rsidR="003E692D" w:rsidRDefault="003E692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9774271" w14:textId="77777777" w:rsidR="003E692D" w:rsidRDefault="005A1EC3">
      <w:pPr>
        <w:pStyle w:val="Standard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Dolsk, 20 czerwca 2022 r.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Przewodniczący Komisji</w:t>
      </w:r>
    </w:p>
    <w:p w14:paraId="7F3CB480" w14:textId="77777777" w:rsidR="003E692D" w:rsidRDefault="005A1EC3">
      <w:pPr>
        <w:pStyle w:val="Standard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Bezpieczeństwa i Porządku Publicznego ZMP</w:t>
      </w:r>
    </w:p>
    <w:p w14:paraId="56E58F54" w14:textId="77777777" w:rsidR="003E692D" w:rsidRDefault="005A1EC3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/-/ Artur Hołubiczko</w:t>
      </w:r>
    </w:p>
    <w:sectPr w:rsidR="003E692D">
      <w:pgSz w:w="11906" w:h="16838"/>
      <w:pgMar w:top="238" w:right="1134" w:bottom="2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5AB0" w14:textId="77777777" w:rsidR="00000000" w:rsidRDefault="005A1EC3">
      <w:r>
        <w:separator/>
      </w:r>
    </w:p>
  </w:endnote>
  <w:endnote w:type="continuationSeparator" w:id="0">
    <w:p w14:paraId="6292DC92" w14:textId="77777777" w:rsidR="00000000" w:rsidRDefault="005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C2DE" w14:textId="77777777" w:rsidR="00000000" w:rsidRDefault="005A1EC3">
      <w:r>
        <w:rPr>
          <w:color w:val="000000"/>
        </w:rPr>
        <w:separator/>
      </w:r>
    </w:p>
  </w:footnote>
  <w:footnote w:type="continuationSeparator" w:id="0">
    <w:p w14:paraId="5C9A4473" w14:textId="77777777" w:rsidR="00000000" w:rsidRDefault="005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1B27"/>
    <w:multiLevelType w:val="multilevel"/>
    <w:tmpl w:val="A5760F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12C"/>
    <w:multiLevelType w:val="multilevel"/>
    <w:tmpl w:val="AC2A5B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C165E5"/>
    <w:multiLevelType w:val="multilevel"/>
    <w:tmpl w:val="A35479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692D"/>
    <w:rsid w:val="003E692D"/>
    <w:rsid w:val="005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A0C2"/>
  <w15:docId w15:val="{F1E7DCE3-CABA-4BBB-BB2E-192BA0A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0646F-E2F5-452C-819A-14B7DAC6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D631F-ECAF-4F1D-8360-F6B5FB22E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7D0D7-A4E7-4905-A86D-C3D0834DFB9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c04306a-7e29-4598-8bc0-52e63436a2cf"/>
    <ds:schemaRef ds:uri="797f1dc2-8d94-4174-b000-101e7575fb6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4687</Characters>
  <Application>Microsoft Office Word</Application>
  <DocSecurity>4</DocSecurity>
  <Lines>82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Misiewicz</dc:creator>
  <cp:lastModifiedBy>Joanna Proniewicz</cp:lastModifiedBy>
  <cp:revision>2</cp:revision>
  <dcterms:created xsi:type="dcterms:W3CDTF">2022-07-13T14:56:00Z</dcterms:created>
  <dcterms:modified xsi:type="dcterms:W3CDTF">2022-07-13T14:56:00Z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