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E4B4" w14:textId="77777777" w:rsidR="0066185E" w:rsidRPr="00FD7F67" w:rsidRDefault="0066185E" w:rsidP="008A0ADB">
      <w:pPr>
        <w:spacing w:line="276" w:lineRule="auto"/>
        <w:jc w:val="right"/>
        <w:rPr>
          <w:rFonts w:ascii="Times New Roman" w:hAnsi="Times New Roman" w:cs="Times New Roman"/>
        </w:rPr>
      </w:pPr>
      <w:bookmarkStart w:id="0" w:name="_GoBack"/>
      <w:bookmarkEnd w:id="0"/>
    </w:p>
    <w:p w14:paraId="2B81758E" w14:textId="77777777" w:rsidR="0066185E" w:rsidRPr="00FD7F67" w:rsidRDefault="0066185E" w:rsidP="008A0ADB">
      <w:pPr>
        <w:spacing w:line="276" w:lineRule="auto"/>
        <w:jc w:val="center"/>
        <w:rPr>
          <w:rFonts w:ascii="Times New Roman" w:hAnsi="Times New Roman" w:cs="Times New Roman"/>
          <w:b/>
        </w:rPr>
      </w:pPr>
      <w:r w:rsidRPr="00FD7F67">
        <w:rPr>
          <w:rFonts w:ascii="Times New Roman" w:hAnsi="Times New Roman" w:cs="Times New Roman"/>
          <w:b/>
        </w:rPr>
        <w:t xml:space="preserve">Uzasadnienie </w:t>
      </w:r>
    </w:p>
    <w:p w14:paraId="208789DA" w14:textId="77777777" w:rsidR="0066185E" w:rsidRPr="00FD7F67" w:rsidRDefault="0066185E" w:rsidP="008A0ADB">
      <w:pPr>
        <w:spacing w:line="276" w:lineRule="auto"/>
        <w:jc w:val="center"/>
        <w:rPr>
          <w:rFonts w:ascii="Times New Roman" w:hAnsi="Times New Roman" w:cs="Times New Roman"/>
          <w:b/>
        </w:rPr>
      </w:pPr>
    </w:p>
    <w:p w14:paraId="0AC02BB1" w14:textId="77777777" w:rsidR="00F157C3" w:rsidRPr="00FD7F67" w:rsidRDefault="00F157C3" w:rsidP="008A0ADB">
      <w:pPr>
        <w:spacing w:after="0" w:line="276" w:lineRule="auto"/>
        <w:jc w:val="both"/>
        <w:rPr>
          <w:rFonts w:ascii="Times New Roman" w:hAnsi="Times New Roman" w:cs="Times New Roman"/>
        </w:rPr>
      </w:pPr>
      <w:r w:rsidRPr="00FD7F67">
        <w:rPr>
          <w:rFonts w:ascii="Times New Roman" w:hAnsi="Times New Roman" w:cs="Times New Roman"/>
        </w:rPr>
        <w:t>Ustawa z dnia 12 marca 2022 r. o pomocy obywatelom Ukrainy w związku z konfliktem zbrojnym na</w:t>
      </w:r>
      <w:r w:rsidR="00E46DF7" w:rsidRPr="00FD7F67">
        <w:rPr>
          <w:rFonts w:ascii="Times New Roman" w:hAnsi="Times New Roman" w:cs="Times New Roman"/>
        </w:rPr>
        <w:t> </w:t>
      </w:r>
      <w:r w:rsidRPr="00FD7F67">
        <w:rPr>
          <w:rFonts w:ascii="Times New Roman" w:hAnsi="Times New Roman" w:cs="Times New Roman"/>
        </w:rPr>
        <w:t xml:space="preserve">terytorium tego państwa (Dz. U. poz. 583, z późn. zm.), zwana dalej </w:t>
      </w:r>
      <w:r w:rsidR="005D2D31" w:rsidRPr="00FD7F67">
        <w:rPr>
          <w:rFonts w:ascii="Times New Roman" w:hAnsi="Times New Roman" w:cs="Times New Roman"/>
        </w:rPr>
        <w:t>„</w:t>
      </w:r>
      <w:r w:rsidRPr="00FD7F67">
        <w:rPr>
          <w:rFonts w:ascii="Times New Roman" w:hAnsi="Times New Roman" w:cs="Times New Roman"/>
        </w:rPr>
        <w:t>ustawą</w:t>
      </w:r>
      <w:r w:rsidR="005D2D31" w:rsidRPr="00FD7F67">
        <w:rPr>
          <w:rFonts w:ascii="Times New Roman" w:hAnsi="Times New Roman" w:cs="Times New Roman"/>
        </w:rPr>
        <w:t>”</w:t>
      </w:r>
      <w:r w:rsidRPr="00FD7F67">
        <w:rPr>
          <w:rFonts w:ascii="Times New Roman" w:hAnsi="Times New Roman" w:cs="Times New Roman"/>
        </w:rPr>
        <w:t xml:space="preserve">, została uchwalona w celu stworzenia szczególnej regulacji prawnej zapewniającej doraźną podstawę prawną do legalnego pobytu obywatelom Ukrainy, którzy w wyniku działań wojennych zostali zmuszeni do opuszczenia swojego kraju pochodzenia. W dniu 24 lutego 2022 r. doszło do ataku wojsk Federacji Rosyjskiej na terytorium Ukrainy. W wyniku tych zdarzeń w kierunku terytorium Rzeczypospolitej Polskiej zaczęły kierować się tysiące obywateli Ukrainy, poszukujących schronienia. </w:t>
      </w:r>
    </w:p>
    <w:p w14:paraId="0958E152" w14:textId="77777777" w:rsidR="005863BC" w:rsidRPr="00FD7F67" w:rsidRDefault="005D2D31" w:rsidP="005863BC">
      <w:pPr>
        <w:spacing w:after="120" w:line="276" w:lineRule="auto"/>
        <w:jc w:val="both"/>
        <w:rPr>
          <w:rFonts w:ascii="Times New Roman" w:hAnsi="Times New Roman" w:cs="Times New Roman"/>
          <w:bCs/>
          <w:color w:val="000000"/>
          <w:shd w:val="clear" w:color="auto" w:fill="FFFFFF"/>
        </w:rPr>
      </w:pPr>
      <w:r w:rsidRPr="00FD7F67">
        <w:rPr>
          <w:rFonts w:ascii="Times New Roman" w:hAnsi="Times New Roman" w:cs="Times New Roman"/>
          <w:color w:val="000000"/>
        </w:rPr>
        <w:t>Stosowanie</w:t>
      </w:r>
      <w:r w:rsidR="00F157C3" w:rsidRPr="00FD7F67">
        <w:rPr>
          <w:rFonts w:ascii="Times New Roman" w:hAnsi="Times New Roman" w:cs="Times New Roman"/>
          <w:color w:val="000000"/>
        </w:rPr>
        <w:t xml:space="preserve"> ww. </w:t>
      </w:r>
      <w:r w:rsidR="00F157C3" w:rsidRPr="00FD7F67">
        <w:rPr>
          <w:rFonts w:ascii="Times New Roman" w:hAnsi="Times New Roman" w:cs="Times New Roman"/>
        </w:rPr>
        <w:t xml:space="preserve">ustawy </w:t>
      </w:r>
      <w:r w:rsidR="00F157C3" w:rsidRPr="00FD7F67">
        <w:rPr>
          <w:rFonts w:ascii="Times New Roman" w:hAnsi="Times New Roman" w:cs="Times New Roman"/>
          <w:bCs/>
          <w:color w:val="000000"/>
          <w:shd w:val="clear" w:color="auto" w:fill="FFFFFF"/>
        </w:rPr>
        <w:t>przyni</w:t>
      </w:r>
      <w:r w:rsidRPr="00FD7F67">
        <w:rPr>
          <w:rFonts w:ascii="Times New Roman" w:hAnsi="Times New Roman" w:cs="Times New Roman"/>
          <w:bCs/>
          <w:color w:val="000000"/>
          <w:shd w:val="clear" w:color="auto" w:fill="FFFFFF"/>
        </w:rPr>
        <w:t>osło</w:t>
      </w:r>
      <w:r w:rsidR="00F157C3" w:rsidRPr="00FD7F67">
        <w:rPr>
          <w:rFonts w:ascii="Times New Roman" w:hAnsi="Times New Roman" w:cs="Times New Roman"/>
          <w:bCs/>
          <w:color w:val="000000"/>
          <w:shd w:val="clear" w:color="auto" w:fill="FFFFFF"/>
        </w:rPr>
        <w:t xml:space="preserve"> doświadczenia wskazujące na potrzebę kolejnej jej nowelizacji polegającej na doprecyzowaniu niektórych jej przepisów, a także uzupełnieniu kwestii pominiętych w obowiązującej ustawie.</w:t>
      </w:r>
    </w:p>
    <w:p w14:paraId="31C8CD39" w14:textId="77777777" w:rsidR="00581A30" w:rsidRPr="00FD7F67" w:rsidRDefault="00A86ECC" w:rsidP="005863BC">
      <w:pPr>
        <w:spacing w:after="120" w:line="276" w:lineRule="auto"/>
        <w:jc w:val="both"/>
        <w:rPr>
          <w:rFonts w:ascii="Times New Roman" w:hAnsi="Times New Roman" w:cs="Times New Roman"/>
        </w:rPr>
      </w:pPr>
      <w:r w:rsidRPr="00FD7F67">
        <w:rPr>
          <w:rFonts w:ascii="Times New Roman" w:hAnsi="Times New Roman" w:cs="Times New Roman"/>
          <w:b/>
          <w:color w:val="000000" w:themeColor="text1"/>
        </w:rPr>
        <w:t>Projekt przewiduje w szczególności wprowadzenie następujących zmian do ustawy z dnia 12 marca 2022 r. o pomocy obywatelom Ukrainy w związku z konfliktem zbrojnym na terytorium tego państwa:</w:t>
      </w:r>
    </w:p>
    <w:p w14:paraId="7F75D3A7" w14:textId="77777777" w:rsidR="005D1B6D" w:rsidRPr="00FD7F67" w:rsidRDefault="00581A30" w:rsidP="00581A30">
      <w:pPr>
        <w:spacing w:after="120" w:line="276" w:lineRule="auto"/>
        <w:jc w:val="both"/>
        <w:rPr>
          <w:rFonts w:ascii="Times New Roman" w:hAnsi="Times New Roman" w:cs="Times New Roman"/>
        </w:rPr>
      </w:pPr>
      <w:r w:rsidRPr="00FD7F67">
        <w:rPr>
          <w:rFonts w:ascii="Times New Roman" w:hAnsi="Times New Roman" w:cs="Times New Roman"/>
          <w:b/>
        </w:rPr>
        <w:t xml:space="preserve">1. </w:t>
      </w:r>
      <w:r w:rsidR="00314E50" w:rsidRPr="00FD7F67">
        <w:rPr>
          <w:rFonts w:ascii="Times New Roman" w:hAnsi="Times New Roman" w:cs="Times New Roman"/>
          <w:b/>
        </w:rPr>
        <w:t>Z</w:t>
      </w:r>
      <w:r w:rsidR="005D1B6D" w:rsidRPr="00FD7F67">
        <w:rPr>
          <w:rFonts w:ascii="Times New Roman" w:hAnsi="Times New Roman" w:cs="Times New Roman"/>
          <w:b/>
        </w:rPr>
        <w:t>mian</w:t>
      </w:r>
      <w:r w:rsidR="00A86ECC" w:rsidRPr="00FD7F67">
        <w:rPr>
          <w:rFonts w:ascii="Times New Roman" w:hAnsi="Times New Roman" w:cs="Times New Roman"/>
          <w:b/>
        </w:rPr>
        <w:t>ę</w:t>
      </w:r>
      <w:r w:rsidR="005D1B6D" w:rsidRPr="00FD7F67">
        <w:rPr>
          <w:rFonts w:ascii="Times New Roman" w:hAnsi="Times New Roman" w:cs="Times New Roman"/>
        </w:rPr>
        <w:t xml:space="preserve"> </w:t>
      </w:r>
      <w:r w:rsidR="005D1B6D" w:rsidRPr="00FD7F67">
        <w:rPr>
          <w:rFonts w:ascii="Times New Roman" w:hAnsi="Times New Roman" w:cs="Times New Roman"/>
          <w:b/>
        </w:rPr>
        <w:t>art. 1 ust. 2</w:t>
      </w:r>
      <w:r w:rsidR="005563D2" w:rsidRPr="00FD7F67">
        <w:rPr>
          <w:rFonts w:ascii="Times New Roman" w:hAnsi="Times New Roman" w:cs="Times New Roman"/>
        </w:rPr>
        <w:t xml:space="preserve">, </w:t>
      </w:r>
      <w:r w:rsidR="00314E50" w:rsidRPr="00FD7F67">
        <w:rPr>
          <w:rFonts w:ascii="Times New Roman" w:hAnsi="Times New Roman" w:cs="Times New Roman"/>
        </w:rPr>
        <w:t>polega</w:t>
      </w:r>
      <w:r w:rsidRPr="00FD7F67">
        <w:rPr>
          <w:rFonts w:ascii="Times New Roman" w:hAnsi="Times New Roman" w:cs="Times New Roman"/>
        </w:rPr>
        <w:t>jącą</w:t>
      </w:r>
      <w:r w:rsidR="00314E50" w:rsidRPr="00FD7F67">
        <w:rPr>
          <w:rFonts w:ascii="Times New Roman" w:hAnsi="Times New Roman" w:cs="Times New Roman"/>
        </w:rPr>
        <w:t xml:space="preserve"> na </w:t>
      </w:r>
      <w:r w:rsidR="005D1B6D" w:rsidRPr="00FD7F67">
        <w:rPr>
          <w:rFonts w:ascii="Times New Roman" w:hAnsi="Times New Roman" w:cs="Times New Roman"/>
        </w:rPr>
        <w:t>dodani</w:t>
      </w:r>
      <w:r w:rsidR="00314E50" w:rsidRPr="00FD7F67">
        <w:rPr>
          <w:rFonts w:ascii="Times New Roman" w:hAnsi="Times New Roman" w:cs="Times New Roman"/>
        </w:rPr>
        <w:t>u</w:t>
      </w:r>
      <w:r w:rsidR="005D1B6D" w:rsidRPr="00FD7F67">
        <w:rPr>
          <w:rFonts w:ascii="Times New Roman" w:hAnsi="Times New Roman" w:cs="Times New Roman"/>
        </w:rPr>
        <w:t xml:space="preserve"> zastrzeżenia, że małżonek obywatela Ukrainy, który korzysta z uprawnień wynikających z tej ustawy, nie może być również obywatelem innego niż Rzeczpospolita Polska państwa członkowskiego Unii Europejskiej. W aktualnym </w:t>
      </w:r>
      <w:r w:rsidR="00EE4BE2" w:rsidRPr="00FD7F67">
        <w:rPr>
          <w:rFonts w:ascii="Times New Roman" w:hAnsi="Times New Roman" w:cs="Times New Roman"/>
        </w:rPr>
        <w:t>brzmieniu art. 1 ust. </w:t>
      </w:r>
      <w:r w:rsidR="005D1B6D" w:rsidRPr="00FD7F67">
        <w:rPr>
          <w:rFonts w:ascii="Times New Roman" w:hAnsi="Times New Roman" w:cs="Times New Roman"/>
        </w:rPr>
        <w:t xml:space="preserve">2 zawiera zastrzeżenie, że małżonek obywatela Ukrainy nie może być obywatelem polskim. W ocenie projektodawcy </w:t>
      </w:r>
      <w:r w:rsidR="005D2D31" w:rsidRPr="00FD7F67">
        <w:rPr>
          <w:rFonts w:ascii="Times New Roman" w:hAnsi="Times New Roman" w:cs="Times New Roman"/>
        </w:rPr>
        <w:t>roz</w:t>
      </w:r>
      <w:r w:rsidR="005D1B6D" w:rsidRPr="00FD7F67">
        <w:rPr>
          <w:rFonts w:ascii="Times New Roman" w:hAnsi="Times New Roman" w:cs="Times New Roman"/>
        </w:rPr>
        <w:t>szerzenie zastrzeżenia na obywatel</w:t>
      </w:r>
      <w:r w:rsidR="005D2D31" w:rsidRPr="00FD7F67">
        <w:rPr>
          <w:rFonts w:ascii="Times New Roman" w:hAnsi="Times New Roman" w:cs="Times New Roman"/>
        </w:rPr>
        <w:t>a</w:t>
      </w:r>
      <w:r w:rsidR="005D1B6D" w:rsidRPr="00FD7F67">
        <w:rPr>
          <w:rFonts w:ascii="Times New Roman" w:hAnsi="Times New Roman" w:cs="Times New Roman"/>
        </w:rPr>
        <w:t xml:space="preserve"> inn</w:t>
      </w:r>
      <w:r w:rsidR="005D2D31" w:rsidRPr="00FD7F67">
        <w:rPr>
          <w:rFonts w:ascii="Times New Roman" w:hAnsi="Times New Roman" w:cs="Times New Roman"/>
        </w:rPr>
        <w:t>ego</w:t>
      </w:r>
      <w:r w:rsidR="005D1B6D" w:rsidRPr="00FD7F67">
        <w:rPr>
          <w:rFonts w:ascii="Times New Roman" w:hAnsi="Times New Roman" w:cs="Times New Roman"/>
        </w:rPr>
        <w:t xml:space="preserve"> państw</w:t>
      </w:r>
      <w:r w:rsidR="005D2D31" w:rsidRPr="00FD7F67">
        <w:rPr>
          <w:rFonts w:ascii="Times New Roman" w:hAnsi="Times New Roman" w:cs="Times New Roman"/>
        </w:rPr>
        <w:t>a</w:t>
      </w:r>
      <w:r w:rsidR="005D1B6D" w:rsidRPr="00FD7F67">
        <w:rPr>
          <w:rFonts w:ascii="Times New Roman" w:hAnsi="Times New Roman" w:cs="Times New Roman"/>
        </w:rPr>
        <w:t xml:space="preserve"> członkowsk</w:t>
      </w:r>
      <w:r w:rsidR="005D2D31" w:rsidRPr="00FD7F67">
        <w:rPr>
          <w:rFonts w:ascii="Times New Roman" w:hAnsi="Times New Roman" w:cs="Times New Roman"/>
        </w:rPr>
        <w:t>iego</w:t>
      </w:r>
      <w:r w:rsidR="005D1B6D" w:rsidRPr="00FD7F67">
        <w:rPr>
          <w:rFonts w:ascii="Times New Roman" w:hAnsi="Times New Roman" w:cs="Times New Roman"/>
        </w:rPr>
        <w:t xml:space="preserve"> Unii</w:t>
      </w:r>
      <w:r w:rsidR="00E46DF7" w:rsidRPr="00FD7F67">
        <w:rPr>
          <w:rFonts w:ascii="Times New Roman" w:hAnsi="Times New Roman" w:cs="Times New Roman"/>
        </w:rPr>
        <w:t> </w:t>
      </w:r>
      <w:r w:rsidR="005D1B6D" w:rsidRPr="00FD7F67">
        <w:rPr>
          <w:rFonts w:ascii="Times New Roman" w:hAnsi="Times New Roman" w:cs="Times New Roman"/>
        </w:rPr>
        <w:t>Europejskiej jest celowe</w:t>
      </w:r>
      <w:r w:rsidR="005D2D31" w:rsidRPr="00FD7F67">
        <w:rPr>
          <w:rFonts w:ascii="Times New Roman" w:hAnsi="Times New Roman" w:cs="Times New Roman"/>
        </w:rPr>
        <w:t>.</w:t>
      </w:r>
      <w:r w:rsidR="005D1B6D" w:rsidRPr="00FD7F67">
        <w:rPr>
          <w:rFonts w:ascii="Times New Roman" w:hAnsi="Times New Roman" w:cs="Times New Roman"/>
        </w:rPr>
        <w:t xml:space="preserve"> </w:t>
      </w:r>
      <w:r w:rsidR="005D2D31" w:rsidRPr="00FD7F67">
        <w:rPr>
          <w:rFonts w:ascii="Times New Roman" w:hAnsi="Times New Roman" w:cs="Times New Roman"/>
        </w:rPr>
        <w:t>N</w:t>
      </w:r>
      <w:r w:rsidR="005D1B6D" w:rsidRPr="00FD7F67">
        <w:rPr>
          <w:rFonts w:ascii="Times New Roman" w:hAnsi="Times New Roman" w:cs="Times New Roman"/>
        </w:rPr>
        <w:t>ależy mieć na uwadze, że beneficjenci ustawy korzystający z prawa do</w:t>
      </w:r>
      <w:r w:rsidR="00E46DF7" w:rsidRPr="00FD7F67">
        <w:rPr>
          <w:rFonts w:ascii="Times New Roman" w:hAnsi="Times New Roman" w:cs="Times New Roman"/>
        </w:rPr>
        <w:t> </w:t>
      </w:r>
      <w:r w:rsidR="005D1B6D" w:rsidRPr="00FD7F67">
        <w:rPr>
          <w:rFonts w:ascii="Times New Roman" w:hAnsi="Times New Roman" w:cs="Times New Roman"/>
        </w:rPr>
        <w:t>18-miesięcznego</w:t>
      </w:r>
      <w:r w:rsidR="005D2D31" w:rsidRPr="00FD7F67">
        <w:rPr>
          <w:rFonts w:ascii="Times New Roman" w:hAnsi="Times New Roman" w:cs="Times New Roman"/>
        </w:rPr>
        <w:t xml:space="preserve"> pobytu na terytorium Rzeczypospolitej Polskiej</w:t>
      </w:r>
      <w:r w:rsidR="005D1B6D" w:rsidRPr="00FD7F67">
        <w:rPr>
          <w:rFonts w:ascii="Times New Roman" w:hAnsi="Times New Roman" w:cs="Times New Roman"/>
        </w:rPr>
        <w:t xml:space="preserve"> (licząc od dnia 24 lutego 2022 r.) zgodnie z art. 2 ust. 6 ustawy, są uważani za cudzoziemców korzystających na terytorium Rzeczypospolitej Polskiej z ochrony czasowej</w:t>
      </w:r>
      <w:r w:rsidR="005D2D31" w:rsidRPr="00FD7F67">
        <w:rPr>
          <w:rFonts w:ascii="Times New Roman" w:hAnsi="Times New Roman" w:cs="Times New Roman"/>
        </w:rPr>
        <w:t>.</w:t>
      </w:r>
      <w:r w:rsidR="005D1B6D" w:rsidRPr="00FD7F67">
        <w:rPr>
          <w:rFonts w:ascii="Times New Roman" w:hAnsi="Times New Roman" w:cs="Times New Roman"/>
        </w:rPr>
        <w:t xml:space="preserve"> </w:t>
      </w:r>
      <w:r w:rsidR="005D2D31" w:rsidRPr="00FD7F67">
        <w:rPr>
          <w:rFonts w:ascii="Times New Roman" w:hAnsi="Times New Roman" w:cs="Times New Roman"/>
        </w:rPr>
        <w:t>I</w:t>
      </w:r>
      <w:r w:rsidR="005D1B6D" w:rsidRPr="00FD7F67">
        <w:rPr>
          <w:rFonts w:ascii="Times New Roman" w:hAnsi="Times New Roman" w:cs="Times New Roman"/>
        </w:rPr>
        <w:t>nstytucja</w:t>
      </w:r>
      <w:r w:rsidR="005D2D31" w:rsidRPr="00FD7F67">
        <w:rPr>
          <w:rFonts w:ascii="Times New Roman" w:hAnsi="Times New Roman" w:cs="Times New Roman"/>
        </w:rPr>
        <w:t xml:space="preserve"> ta</w:t>
      </w:r>
      <w:r w:rsidR="005D1B6D" w:rsidRPr="00FD7F67">
        <w:rPr>
          <w:rFonts w:ascii="Times New Roman" w:hAnsi="Times New Roman" w:cs="Times New Roman"/>
        </w:rPr>
        <w:t xml:space="preserve"> jest uregulowana w dyrektywie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(Dz. Urz. WE L 212 z 07.08.2001), i w związku z masowym napływem cudzoziemców z</w:t>
      </w:r>
      <w:r w:rsidR="00E46DF7" w:rsidRPr="00FD7F67">
        <w:rPr>
          <w:rFonts w:ascii="Times New Roman" w:hAnsi="Times New Roman" w:cs="Times New Roman"/>
        </w:rPr>
        <w:t> </w:t>
      </w:r>
      <w:r w:rsidR="005D1B6D" w:rsidRPr="00FD7F67">
        <w:rPr>
          <w:rFonts w:ascii="Times New Roman" w:hAnsi="Times New Roman" w:cs="Times New Roman"/>
        </w:rPr>
        <w:t xml:space="preserve"> terytorium Ukrainy </w:t>
      </w:r>
      <w:r w:rsidR="005D2D31" w:rsidRPr="00FD7F67">
        <w:rPr>
          <w:rFonts w:ascii="Times New Roman" w:hAnsi="Times New Roman" w:cs="Times New Roman"/>
        </w:rPr>
        <w:t xml:space="preserve">ze względu na </w:t>
      </w:r>
      <w:r w:rsidR="005D1B6D" w:rsidRPr="00FD7F67">
        <w:rPr>
          <w:rFonts w:ascii="Times New Roman" w:hAnsi="Times New Roman" w:cs="Times New Roman"/>
        </w:rPr>
        <w:t>rozpoczętą w dniu 24 lutego 2022 r. inwazją Federacji Rosyjskiej na to terytorium, została uruchomiona na mocy decyzji wykonawczej Rady (UE) 2022/382 z dnia 4</w:t>
      </w:r>
      <w:r w:rsidR="00E46DF7" w:rsidRPr="00FD7F67">
        <w:rPr>
          <w:rFonts w:ascii="Times New Roman" w:hAnsi="Times New Roman" w:cs="Times New Roman"/>
        </w:rPr>
        <w:t> </w:t>
      </w:r>
      <w:r w:rsidR="005D1B6D" w:rsidRPr="00FD7F67">
        <w:rPr>
          <w:rFonts w:ascii="Times New Roman" w:hAnsi="Times New Roman" w:cs="Times New Roman"/>
        </w:rPr>
        <w:t>marca 2022 r. stwierdzającej istnienie masowego napływu wysiedleńców z Ukrainy w rozumieniu art.</w:t>
      </w:r>
      <w:r w:rsidR="00E46DF7" w:rsidRPr="00FD7F67">
        <w:rPr>
          <w:rFonts w:ascii="Times New Roman" w:hAnsi="Times New Roman" w:cs="Times New Roman"/>
        </w:rPr>
        <w:t> </w:t>
      </w:r>
      <w:r w:rsidR="005D1B6D" w:rsidRPr="00FD7F67">
        <w:rPr>
          <w:rFonts w:ascii="Times New Roman" w:hAnsi="Times New Roman" w:cs="Times New Roman"/>
        </w:rPr>
        <w:t>5 dyrektywy 2001/55/WE i skutkującej wprowadzeniem tymczasowej ochrony (Dz. Urz. UE L 71, z</w:t>
      </w:r>
      <w:r w:rsidR="00E46DF7" w:rsidRPr="00FD7F67">
        <w:rPr>
          <w:rFonts w:ascii="Times New Roman" w:hAnsi="Times New Roman" w:cs="Times New Roman"/>
        </w:rPr>
        <w:t> </w:t>
      </w:r>
      <w:r w:rsidR="005D1B6D" w:rsidRPr="00FD7F67">
        <w:rPr>
          <w:rFonts w:ascii="Times New Roman" w:hAnsi="Times New Roman" w:cs="Times New Roman"/>
        </w:rPr>
        <w:t xml:space="preserve">4.3.2022, str. 1–6). </w:t>
      </w:r>
      <w:r w:rsidR="00503B2C" w:rsidRPr="00FD7F67">
        <w:rPr>
          <w:rFonts w:ascii="Times New Roman" w:hAnsi="Times New Roman" w:cs="Times New Roman"/>
        </w:rPr>
        <w:t>Zgodnie z art. 2 lit. c dyrektywy 2001/55/WE „wysiedleńcami” mogą być wyłącznie obywatele państw trzecich, a zatem obywatele innych państw niż państwa członkowskie Unii Europejskiej. Potwierdzenia dla takiego rozumienia pojęcia „wysiedleniec” dostarcza art. 2 ust. 1 i 2 decyzji wykonawczej 2022/382. Jednocześnie należy mieć na uwadze, że obywatele innych niż Rzeczpospolita Polska państw członkowskich Unii Europejskiej mają zawsze możliwość bezpiecznego i sprawnego (także z uwagi na bliskość geograficzną oraz udogodnienia infrastrukturalne) repatriowania się do państwa, którego są obywatelem</w:t>
      </w:r>
      <w:r w:rsidR="00AF4DFE" w:rsidRPr="00FD7F67">
        <w:rPr>
          <w:rFonts w:ascii="Times New Roman" w:hAnsi="Times New Roman" w:cs="Times New Roman"/>
        </w:rPr>
        <w:t>. Dlatego też w ocenie projektodawcy poszerzenie zastrzeżenia w art. 1 ust. 2 ustawy będzie pozostawać w pełnej zgodnie z relewantnymi przepisami prawa Unii Europejskiej.</w:t>
      </w:r>
    </w:p>
    <w:p w14:paraId="6645A69A" w14:textId="77777777" w:rsidR="00AF4DFE" w:rsidRPr="00FD7F67" w:rsidRDefault="00581A30" w:rsidP="00581A30">
      <w:pPr>
        <w:spacing w:after="120" w:line="276" w:lineRule="auto"/>
        <w:jc w:val="both"/>
        <w:rPr>
          <w:rFonts w:ascii="Times New Roman" w:hAnsi="Times New Roman" w:cs="Times New Roman"/>
        </w:rPr>
      </w:pPr>
      <w:r w:rsidRPr="00FD7F67">
        <w:rPr>
          <w:rFonts w:ascii="Times New Roman" w:hAnsi="Times New Roman" w:cs="Times New Roman"/>
          <w:b/>
        </w:rPr>
        <w:t xml:space="preserve">2. </w:t>
      </w:r>
      <w:r w:rsidR="00AF4DFE" w:rsidRPr="00FD7F67">
        <w:rPr>
          <w:rFonts w:ascii="Times New Roman" w:hAnsi="Times New Roman" w:cs="Times New Roman"/>
          <w:b/>
        </w:rPr>
        <w:t>Zmian</w:t>
      </w:r>
      <w:r w:rsidR="00A86ECC" w:rsidRPr="00FD7F67">
        <w:rPr>
          <w:rFonts w:ascii="Times New Roman" w:hAnsi="Times New Roman" w:cs="Times New Roman"/>
          <w:b/>
        </w:rPr>
        <w:t>ę</w:t>
      </w:r>
      <w:r w:rsidR="00AF4DFE" w:rsidRPr="00FD7F67">
        <w:rPr>
          <w:rFonts w:ascii="Times New Roman" w:hAnsi="Times New Roman" w:cs="Times New Roman"/>
          <w:b/>
        </w:rPr>
        <w:t xml:space="preserve"> art. 3 ust. 1</w:t>
      </w:r>
      <w:r w:rsidRPr="00FD7F67">
        <w:rPr>
          <w:rFonts w:ascii="Times New Roman" w:hAnsi="Times New Roman" w:cs="Times New Roman"/>
        </w:rPr>
        <w:t>, która</w:t>
      </w:r>
      <w:r w:rsidR="00AF4DFE" w:rsidRPr="00FD7F67">
        <w:rPr>
          <w:rFonts w:ascii="Times New Roman" w:hAnsi="Times New Roman" w:cs="Times New Roman"/>
        </w:rPr>
        <w:t xml:space="preserve"> służy dostosowaniu do sytuacji, w której bezpośredni wjazd na terytorium Rzeczypospolitej Polskiej z terytorium Ukrainy nie jest już konieczny dla objęcia obywatela Ukrainy przepisami ustawy, za sprawą zmiany dokonanej ustawą z dnia 23 marca 2022 r. o zmianie ustawy o</w:t>
      </w:r>
      <w:r w:rsidR="00E46DF7" w:rsidRPr="00FD7F67">
        <w:rPr>
          <w:rFonts w:ascii="Times New Roman" w:hAnsi="Times New Roman" w:cs="Times New Roman"/>
        </w:rPr>
        <w:t> </w:t>
      </w:r>
      <w:r w:rsidR="00AF4DFE" w:rsidRPr="00FD7F67">
        <w:rPr>
          <w:rFonts w:ascii="Times New Roman" w:hAnsi="Times New Roman" w:cs="Times New Roman"/>
        </w:rPr>
        <w:t xml:space="preserve">pomocy obywatelom Ukrainy w związku z konfliktem zbrojnym na terytorium tego państwa oraz ustawy </w:t>
      </w:r>
      <w:r w:rsidR="005D2D31" w:rsidRPr="00FD7F67">
        <w:rPr>
          <w:rFonts w:ascii="Times New Roman" w:hAnsi="Times New Roman" w:cs="Times New Roman"/>
        </w:rPr>
        <w:t>–</w:t>
      </w:r>
      <w:r w:rsidR="00AF4DFE" w:rsidRPr="00FD7F67">
        <w:rPr>
          <w:rFonts w:ascii="Times New Roman" w:hAnsi="Times New Roman" w:cs="Times New Roman"/>
        </w:rPr>
        <w:t xml:space="preserve"> Prawo o szkolnictwie wyższym i nauce </w:t>
      </w:r>
      <w:r w:rsidR="005D2D31" w:rsidRPr="00FD7F67">
        <w:rPr>
          <w:rFonts w:ascii="Times New Roman" w:hAnsi="Times New Roman" w:cs="Times New Roman"/>
        </w:rPr>
        <w:t>(</w:t>
      </w:r>
      <w:r w:rsidR="00AF4DFE" w:rsidRPr="00FD7F67">
        <w:rPr>
          <w:rFonts w:ascii="Times New Roman" w:hAnsi="Times New Roman" w:cs="Times New Roman"/>
        </w:rPr>
        <w:t>Dz. U. poz. 682). Aktualne brzmienie art. 3 ust.</w:t>
      </w:r>
      <w:r w:rsidR="00E46DF7" w:rsidRPr="00FD7F67">
        <w:rPr>
          <w:rFonts w:ascii="Times New Roman" w:hAnsi="Times New Roman" w:cs="Times New Roman"/>
        </w:rPr>
        <w:t> </w:t>
      </w:r>
      <w:r w:rsidR="00AF4DFE" w:rsidRPr="00FD7F67">
        <w:rPr>
          <w:rFonts w:ascii="Times New Roman" w:hAnsi="Times New Roman" w:cs="Times New Roman"/>
        </w:rPr>
        <w:t>1</w:t>
      </w:r>
      <w:r w:rsidR="00E46DF7" w:rsidRPr="00FD7F67">
        <w:rPr>
          <w:rFonts w:ascii="Times New Roman" w:hAnsi="Times New Roman" w:cs="Times New Roman"/>
        </w:rPr>
        <w:t xml:space="preserve"> </w:t>
      </w:r>
      <w:r w:rsidR="00AF4DFE" w:rsidRPr="00FD7F67">
        <w:rPr>
          <w:rFonts w:ascii="Times New Roman" w:hAnsi="Times New Roman" w:cs="Times New Roman"/>
        </w:rPr>
        <w:t xml:space="preserve">zakłada wjazd (przybycie) tylko przez granicę, na której prowadzona jest kontrola graniczna. </w:t>
      </w:r>
      <w:r w:rsidR="00AF4DFE" w:rsidRPr="00FD7F67">
        <w:rPr>
          <w:rFonts w:ascii="Times New Roman" w:hAnsi="Times New Roman" w:cs="Times New Roman"/>
        </w:rPr>
        <w:lastRenderedPageBreak/>
        <w:t>Tymczasem wjazd (przybycie) mógł nastąpić przez granicę wewnętrzną w rozumieniu art. 2 pkt 1 rozporządzenia Parlamentu Europejskiego i Rady (UE) 2016/399 z dnia 9 marca 2016 r. w sprawie unijnego kodeksu zasad regulujących przepływ osób przez granice (kodeks graniczny Schengen) (Dz.</w:t>
      </w:r>
      <w:r w:rsidR="00E46DF7" w:rsidRPr="00FD7F67">
        <w:rPr>
          <w:rFonts w:ascii="Times New Roman" w:hAnsi="Times New Roman" w:cs="Times New Roman"/>
        </w:rPr>
        <w:t> </w:t>
      </w:r>
      <w:r w:rsidR="00AF4DFE" w:rsidRPr="00FD7F67">
        <w:rPr>
          <w:rFonts w:ascii="Times New Roman" w:hAnsi="Times New Roman" w:cs="Times New Roman"/>
        </w:rPr>
        <w:t xml:space="preserve">Urz. UE L 77 z 23.03.2016, str. 1, z późn. zm.), na której kontrola graniczna nie jest prowadzona </w:t>
      </w:r>
      <w:r w:rsidR="00EC5C15" w:rsidRPr="00FD7F67">
        <w:rPr>
          <w:rFonts w:ascii="Times New Roman" w:hAnsi="Times New Roman" w:cs="Times New Roman"/>
        </w:rPr>
        <w:t xml:space="preserve">(np. przez granicę Rzeczypospolitej Polskiej z Republiką Słowacką). </w:t>
      </w:r>
    </w:p>
    <w:p w14:paraId="19154261" w14:textId="77777777" w:rsidR="00CD6B86" w:rsidRPr="00FD7F67" w:rsidRDefault="00CD6B86" w:rsidP="00581A30">
      <w:pPr>
        <w:spacing w:after="120" w:line="276" w:lineRule="auto"/>
        <w:jc w:val="both"/>
        <w:rPr>
          <w:rFonts w:ascii="Times New Roman" w:hAnsi="Times New Roman" w:cs="Times New Roman"/>
        </w:rPr>
      </w:pPr>
      <w:r w:rsidRPr="00FD7F67">
        <w:rPr>
          <w:rFonts w:ascii="Times New Roman" w:hAnsi="Times New Roman" w:cs="Times New Roman"/>
          <w:b/>
        </w:rPr>
        <w:t>3. Dodanie art. 3a</w:t>
      </w:r>
      <w:r w:rsidRPr="00FD7F67">
        <w:rPr>
          <w:rFonts w:ascii="Times New Roman" w:hAnsi="Times New Roman" w:cs="Times New Roman"/>
        </w:rPr>
        <w:t>, który ureguluje właściwość Komendanta Głównego Straży Granicznej jako organu pełniącego funkcję krajowego punktu kontaktowego do celów wymiany z właściwymi organami innych państw członkowskich Unii Europejskiej informacji dotyczących osób korzystających z ochrony czasowej w rozumieniu art. 106 ust. 1 ustawy z dnia 13 czerwca 2003 r. o udzielaniu cudzoziemcom ochrony na terytorium Rzeczypospolitej Polskiej (Dz. U. z 2021 r. poz. 2354 z późn. zm.).</w:t>
      </w:r>
    </w:p>
    <w:p w14:paraId="5FA0544F" w14:textId="77777777" w:rsidR="00EC5C15" w:rsidRPr="00FD7F67" w:rsidRDefault="00CD6B86" w:rsidP="008A0ADB">
      <w:pPr>
        <w:spacing w:line="276" w:lineRule="auto"/>
        <w:jc w:val="both"/>
        <w:rPr>
          <w:rFonts w:ascii="Times New Roman" w:hAnsi="Times New Roman" w:cs="Times New Roman"/>
        </w:rPr>
      </w:pPr>
      <w:r w:rsidRPr="00FD7F67">
        <w:rPr>
          <w:rFonts w:ascii="Times New Roman" w:hAnsi="Times New Roman" w:cs="Times New Roman"/>
          <w:b/>
        </w:rPr>
        <w:t>4</w:t>
      </w:r>
      <w:r w:rsidR="00581A30" w:rsidRPr="00FD7F67">
        <w:rPr>
          <w:rFonts w:ascii="Times New Roman" w:hAnsi="Times New Roman" w:cs="Times New Roman"/>
          <w:b/>
        </w:rPr>
        <w:t xml:space="preserve">. </w:t>
      </w:r>
      <w:r w:rsidR="00A86ECC" w:rsidRPr="00FD7F67">
        <w:rPr>
          <w:rFonts w:ascii="Times New Roman" w:hAnsi="Times New Roman" w:cs="Times New Roman"/>
          <w:b/>
        </w:rPr>
        <w:t>Zmianę</w:t>
      </w:r>
      <w:r w:rsidR="00EC5C15" w:rsidRPr="00FD7F67">
        <w:rPr>
          <w:rFonts w:ascii="Times New Roman" w:hAnsi="Times New Roman" w:cs="Times New Roman"/>
          <w:b/>
        </w:rPr>
        <w:t xml:space="preserve"> art. 4 ust. 4 pkt 20</w:t>
      </w:r>
      <w:r w:rsidR="00EC5C15" w:rsidRPr="00FD7F67">
        <w:rPr>
          <w:rFonts w:ascii="Times New Roman" w:hAnsi="Times New Roman" w:cs="Times New Roman"/>
        </w:rPr>
        <w:t>, który reguluje jeden z elementów ustawowych wniosku</w:t>
      </w:r>
      <w:r w:rsidR="005D2D31" w:rsidRPr="00FD7F67">
        <w:rPr>
          <w:rFonts w:ascii="Times New Roman" w:hAnsi="Times New Roman" w:cs="Times New Roman"/>
        </w:rPr>
        <w:t xml:space="preserve"> o</w:t>
      </w:r>
      <w:r w:rsidR="00EC5C15" w:rsidRPr="00FD7F67">
        <w:rPr>
          <w:rFonts w:ascii="Times New Roman" w:hAnsi="Times New Roman" w:cs="Times New Roman"/>
        </w:rPr>
        <w:t xml:space="preserve"> nadanie numeru PESEL dla obywatela Ukrainy, którego pobyt jest uznawany za legalny na podstawie art.</w:t>
      </w:r>
      <w:r w:rsidR="00A006A1" w:rsidRPr="00FD7F67">
        <w:rPr>
          <w:rFonts w:ascii="Times New Roman" w:hAnsi="Times New Roman" w:cs="Times New Roman"/>
        </w:rPr>
        <w:t> </w:t>
      </w:r>
      <w:r w:rsidR="00EC5C15" w:rsidRPr="00FD7F67">
        <w:rPr>
          <w:rFonts w:ascii="Times New Roman" w:hAnsi="Times New Roman" w:cs="Times New Roman"/>
        </w:rPr>
        <w:t>2</w:t>
      </w:r>
      <w:r w:rsidR="00A006A1" w:rsidRPr="00FD7F67">
        <w:rPr>
          <w:rFonts w:ascii="Times New Roman" w:hAnsi="Times New Roman" w:cs="Times New Roman"/>
        </w:rPr>
        <w:t> </w:t>
      </w:r>
      <w:r w:rsidR="00EC5C15" w:rsidRPr="00FD7F67">
        <w:rPr>
          <w:rFonts w:ascii="Times New Roman" w:hAnsi="Times New Roman" w:cs="Times New Roman"/>
        </w:rPr>
        <w:t>ust.</w:t>
      </w:r>
      <w:r w:rsidR="00A006A1" w:rsidRPr="00FD7F67">
        <w:rPr>
          <w:rFonts w:ascii="Times New Roman" w:hAnsi="Times New Roman" w:cs="Times New Roman"/>
        </w:rPr>
        <w:t> </w:t>
      </w:r>
      <w:r w:rsidR="00EC5C15" w:rsidRPr="00FD7F67">
        <w:rPr>
          <w:rFonts w:ascii="Times New Roman" w:hAnsi="Times New Roman" w:cs="Times New Roman"/>
        </w:rPr>
        <w:t>1 ustawy, zmierza do uwzględnienia również innych osób, które wywodzą to uprawnienie z</w:t>
      </w:r>
      <w:r w:rsidR="00A006A1" w:rsidRPr="00FD7F67">
        <w:rPr>
          <w:rFonts w:ascii="Times New Roman" w:hAnsi="Times New Roman" w:cs="Times New Roman"/>
        </w:rPr>
        <w:t> </w:t>
      </w:r>
      <w:r w:rsidR="00EC5C15" w:rsidRPr="00FD7F67">
        <w:rPr>
          <w:rFonts w:ascii="Times New Roman" w:hAnsi="Times New Roman" w:cs="Times New Roman"/>
        </w:rPr>
        <w:t xml:space="preserve">przepisów ustawy. </w:t>
      </w:r>
      <w:r w:rsidR="0099076F" w:rsidRPr="00FD7F67">
        <w:rPr>
          <w:rFonts w:ascii="Times New Roman" w:hAnsi="Times New Roman" w:cs="Times New Roman"/>
        </w:rPr>
        <w:t xml:space="preserve">Aktualnie </w:t>
      </w:r>
      <w:r w:rsidR="00EC5C15" w:rsidRPr="00FD7F67">
        <w:rPr>
          <w:rFonts w:ascii="Times New Roman" w:hAnsi="Times New Roman" w:cs="Times New Roman"/>
        </w:rPr>
        <w:t>art. 4 ust. 4 pkt 20 ustawy ustanawia element wniosku w postaci oświadczenia o byciu małżonkiem obywatela Ukrainy, który przybył na terytorium Rzeczypospolitej Polskiej z terytorium Ukrainy w związku z działaniami wojennymi prowadzonymi na terytorium tego państwa. Tym samym element ten obejmuje wprost małżonków obywateli Ukrainy, określonych w art.</w:t>
      </w:r>
      <w:r w:rsidR="00A006A1" w:rsidRPr="00FD7F67">
        <w:rPr>
          <w:rFonts w:ascii="Times New Roman" w:hAnsi="Times New Roman" w:cs="Times New Roman"/>
        </w:rPr>
        <w:t> </w:t>
      </w:r>
      <w:r w:rsidR="00EC5C15" w:rsidRPr="00FD7F67">
        <w:rPr>
          <w:rFonts w:ascii="Times New Roman" w:hAnsi="Times New Roman" w:cs="Times New Roman"/>
        </w:rPr>
        <w:t xml:space="preserve">1 ust. 2 ustawy. Należy jednak mieć na uwadze, że prawo do pobytu uznawanego za legalny przez okres 18 miesięcy licząc od dnia 24 lutego 2022 r. mają również członkowie najbliższej rodziny obywatela Ukrainy będącego posiadaczem Karty Polaka (art. 2 ust. 2) oraz dzieci urodzone przez matki, które również mają prawo do pobytu 18-miesięcznego (art. 2 ust. 1 zdanie drugie). Dlatego też </w:t>
      </w:r>
      <w:r w:rsidR="0099076F" w:rsidRPr="00FD7F67">
        <w:rPr>
          <w:rFonts w:ascii="Times New Roman" w:hAnsi="Times New Roman" w:cs="Times New Roman"/>
        </w:rPr>
        <w:t>zaproponowano</w:t>
      </w:r>
      <w:r w:rsidR="00EC5C15" w:rsidRPr="00FD7F67">
        <w:rPr>
          <w:rFonts w:ascii="Times New Roman" w:hAnsi="Times New Roman" w:cs="Times New Roman"/>
        </w:rPr>
        <w:t xml:space="preserve">, aby w art. 4 ust. 4 pkt 20 ustawy ująć również te kategorie osób. </w:t>
      </w:r>
    </w:p>
    <w:p w14:paraId="24CF4912" w14:textId="77777777" w:rsidR="00EC5C15" w:rsidRPr="00FD7F67" w:rsidRDefault="00CD6B86" w:rsidP="008A0ADB">
      <w:pPr>
        <w:pStyle w:val="Akapitzlist"/>
        <w:spacing w:line="276" w:lineRule="auto"/>
        <w:ind w:left="0"/>
        <w:jc w:val="both"/>
        <w:rPr>
          <w:rFonts w:ascii="Times New Roman" w:hAnsi="Times New Roman" w:cs="Times New Roman"/>
        </w:rPr>
      </w:pPr>
      <w:r w:rsidRPr="00FD7F67">
        <w:rPr>
          <w:rFonts w:ascii="Times New Roman" w:hAnsi="Times New Roman" w:cs="Times New Roman"/>
          <w:b/>
        </w:rPr>
        <w:t>5</w:t>
      </w:r>
      <w:r w:rsidR="003B03FA" w:rsidRPr="00FD7F67">
        <w:rPr>
          <w:rFonts w:ascii="Times New Roman" w:hAnsi="Times New Roman" w:cs="Times New Roman"/>
          <w:b/>
        </w:rPr>
        <w:t xml:space="preserve">. </w:t>
      </w:r>
      <w:r w:rsidR="00EC5C15" w:rsidRPr="00FD7F67">
        <w:rPr>
          <w:rFonts w:ascii="Times New Roman" w:hAnsi="Times New Roman" w:cs="Times New Roman"/>
          <w:b/>
        </w:rPr>
        <w:t>Zmian</w:t>
      </w:r>
      <w:r w:rsidR="00A86ECC" w:rsidRPr="00FD7F67">
        <w:rPr>
          <w:rFonts w:ascii="Times New Roman" w:hAnsi="Times New Roman" w:cs="Times New Roman"/>
          <w:b/>
        </w:rPr>
        <w:t>ę</w:t>
      </w:r>
      <w:r w:rsidR="00EC5C15" w:rsidRPr="00FD7F67">
        <w:rPr>
          <w:rFonts w:ascii="Times New Roman" w:hAnsi="Times New Roman" w:cs="Times New Roman"/>
          <w:b/>
        </w:rPr>
        <w:t xml:space="preserve"> art. 6 ust. 7 pkt 2</w:t>
      </w:r>
      <w:r w:rsidR="00A86ECC" w:rsidRPr="00FD7F67">
        <w:rPr>
          <w:rFonts w:ascii="Times New Roman" w:hAnsi="Times New Roman" w:cs="Times New Roman"/>
        </w:rPr>
        <w:t xml:space="preserve">, </w:t>
      </w:r>
      <w:r w:rsidR="003B03FA" w:rsidRPr="00FD7F67">
        <w:rPr>
          <w:rFonts w:ascii="Times New Roman" w:hAnsi="Times New Roman" w:cs="Times New Roman"/>
        </w:rPr>
        <w:t xml:space="preserve">która </w:t>
      </w:r>
      <w:r w:rsidR="00BF07D6" w:rsidRPr="00FD7F67">
        <w:rPr>
          <w:rFonts w:ascii="Times New Roman" w:hAnsi="Times New Roman" w:cs="Times New Roman"/>
        </w:rPr>
        <w:t>obejmuje dołączenie do katalogu podmiotów posiadających dostęp do rejestru obywateli Ukrainy, którym nadano numer PESEL w sposób określony w art. 4 ustawy w</w:t>
      </w:r>
      <w:r w:rsidR="00A006A1" w:rsidRPr="00FD7F67">
        <w:rPr>
          <w:rFonts w:ascii="Times New Roman" w:hAnsi="Times New Roman" w:cs="Times New Roman"/>
        </w:rPr>
        <w:t> </w:t>
      </w:r>
      <w:r w:rsidR="00BF07D6" w:rsidRPr="00FD7F67">
        <w:rPr>
          <w:rFonts w:ascii="Times New Roman" w:hAnsi="Times New Roman" w:cs="Times New Roman"/>
        </w:rPr>
        <w:t>zakresie danych określonych w art. 6 ust. 5 pkt 1</w:t>
      </w:r>
      <w:r w:rsidR="00321348" w:rsidRPr="00FD7F67">
        <w:rPr>
          <w:rFonts w:ascii="Times New Roman" w:hAnsi="Times New Roman" w:cs="Times New Roman"/>
        </w:rPr>
        <w:t>-</w:t>
      </w:r>
      <w:r w:rsidR="00BF07D6" w:rsidRPr="00FD7F67">
        <w:rPr>
          <w:rFonts w:ascii="Times New Roman" w:hAnsi="Times New Roman" w:cs="Times New Roman"/>
        </w:rPr>
        <w:t>3, wojewodów. Należy pamiętać, że wojewodowie są organami właściwymi w szeregu spraw różnych spraw z zakresu wjazdu i pobytu cudzoziemców na</w:t>
      </w:r>
      <w:r w:rsidR="00A006A1" w:rsidRPr="00FD7F67">
        <w:rPr>
          <w:rFonts w:ascii="Times New Roman" w:hAnsi="Times New Roman" w:cs="Times New Roman"/>
        </w:rPr>
        <w:t> </w:t>
      </w:r>
      <w:r w:rsidR="00BF07D6" w:rsidRPr="00FD7F67">
        <w:rPr>
          <w:rFonts w:ascii="Times New Roman" w:hAnsi="Times New Roman" w:cs="Times New Roman"/>
        </w:rPr>
        <w:t>terytorium Rzeczypospolitej Polskiej, w tym spraw dotyczących udzielenia zezwoleń pobytowych, w tym uregulowanego w tej ustawie zezwolenia udzielanego obywatelom Ukrainy, których pobyt na</w:t>
      </w:r>
      <w:r w:rsidR="00A006A1" w:rsidRPr="00FD7F67">
        <w:rPr>
          <w:rFonts w:ascii="Times New Roman" w:hAnsi="Times New Roman" w:cs="Times New Roman"/>
        </w:rPr>
        <w:t> </w:t>
      </w:r>
      <w:r w:rsidR="00BF07D6" w:rsidRPr="00FD7F67">
        <w:rPr>
          <w:rFonts w:ascii="Times New Roman" w:hAnsi="Times New Roman" w:cs="Times New Roman"/>
        </w:rPr>
        <w:t>terytorium Rzeczypospolitej Polskiej uznaje się lub uznawało się za legalny w okresie 18 miesięcy licząc od dnia 24 lutego 2022 r. (art. 38). Zapewnienie tym organom dostępu do danych określonych w</w:t>
      </w:r>
      <w:r w:rsidR="00A006A1" w:rsidRPr="00FD7F67">
        <w:rPr>
          <w:rFonts w:ascii="Times New Roman" w:hAnsi="Times New Roman" w:cs="Times New Roman"/>
        </w:rPr>
        <w:t> </w:t>
      </w:r>
      <w:r w:rsidR="00BF07D6" w:rsidRPr="00FD7F67">
        <w:rPr>
          <w:rFonts w:ascii="Times New Roman" w:hAnsi="Times New Roman" w:cs="Times New Roman"/>
        </w:rPr>
        <w:t xml:space="preserve">art. 6 ust. 5 pkt 1 – 3 pozwoli na wykonywanie tych zadań ustawowych. </w:t>
      </w:r>
    </w:p>
    <w:p w14:paraId="3F33005F" w14:textId="77777777" w:rsidR="00BF07D6" w:rsidRPr="00FD7F67" w:rsidRDefault="00CD6B86" w:rsidP="008A0ADB">
      <w:pPr>
        <w:spacing w:line="276" w:lineRule="auto"/>
        <w:jc w:val="both"/>
        <w:rPr>
          <w:rFonts w:ascii="Times New Roman" w:hAnsi="Times New Roman" w:cs="Times New Roman"/>
        </w:rPr>
      </w:pPr>
      <w:r w:rsidRPr="00FD7F67">
        <w:rPr>
          <w:rFonts w:ascii="Times New Roman" w:hAnsi="Times New Roman" w:cs="Times New Roman"/>
          <w:b/>
        </w:rPr>
        <w:t>6</w:t>
      </w:r>
      <w:r w:rsidR="003B03FA" w:rsidRPr="00FD7F67">
        <w:rPr>
          <w:rFonts w:ascii="Times New Roman" w:hAnsi="Times New Roman" w:cs="Times New Roman"/>
          <w:b/>
        </w:rPr>
        <w:t xml:space="preserve">. </w:t>
      </w:r>
      <w:r w:rsidR="0039439E" w:rsidRPr="00FD7F67">
        <w:rPr>
          <w:rFonts w:ascii="Times New Roman" w:hAnsi="Times New Roman" w:cs="Times New Roman"/>
          <w:b/>
        </w:rPr>
        <w:t xml:space="preserve">Dodanie </w:t>
      </w:r>
      <w:r w:rsidR="00314E50" w:rsidRPr="00FD7F67">
        <w:rPr>
          <w:rFonts w:ascii="Times New Roman" w:hAnsi="Times New Roman" w:cs="Times New Roman"/>
          <w:b/>
        </w:rPr>
        <w:t>w</w:t>
      </w:r>
      <w:r w:rsidR="00314E50" w:rsidRPr="00FD7F67">
        <w:rPr>
          <w:rFonts w:ascii="Times New Roman" w:hAnsi="Times New Roman" w:cs="Times New Roman"/>
        </w:rPr>
        <w:t xml:space="preserve"> </w:t>
      </w:r>
      <w:r w:rsidR="0039439E" w:rsidRPr="00FD7F67">
        <w:rPr>
          <w:rFonts w:ascii="Times New Roman" w:hAnsi="Times New Roman" w:cs="Times New Roman"/>
          <w:b/>
        </w:rPr>
        <w:t>art. 11 ust. 1a</w:t>
      </w:r>
      <w:r w:rsidR="0039439E" w:rsidRPr="00FD7F67">
        <w:rPr>
          <w:rFonts w:ascii="Times New Roman" w:hAnsi="Times New Roman" w:cs="Times New Roman"/>
        </w:rPr>
        <w:t xml:space="preserve"> ma </w:t>
      </w:r>
      <w:r w:rsidR="00314E50" w:rsidRPr="00FD7F67">
        <w:rPr>
          <w:rFonts w:ascii="Times New Roman" w:hAnsi="Times New Roman" w:cs="Times New Roman"/>
        </w:rPr>
        <w:t>na celu</w:t>
      </w:r>
      <w:r w:rsidR="0039439E" w:rsidRPr="00FD7F67">
        <w:rPr>
          <w:rFonts w:ascii="Times New Roman" w:hAnsi="Times New Roman" w:cs="Times New Roman"/>
        </w:rPr>
        <w:t xml:space="preserve"> uregulowani</w:t>
      </w:r>
      <w:r w:rsidR="00314E50" w:rsidRPr="00FD7F67">
        <w:rPr>
          <w:rFonts w:ascii="Times New Roman" w:hAnsi="Times New Roman" w:cs="Times New Roman"/>
        </w:rPr>
        <w:t>e</w:t>
      </w:r>
      <w:r w:rsidR="0039439E" w:rsidRPr="00FD7F67">
        <w:rPr>
          <w:rFonts w:ascii="Times New Roman" w:hAnsi="Times New Roman" w:cs="Times New Roman"/>
        </w:rPr>
        <w:t xml:space="preserve"> sytuacji, w której beneficjentem pobytu uznawanego za legalny na podstawie art. 2 ust. 1 tej ustawy jest obywatel Ukrainy, któremu następnie zostanie udzielone jedno z następujących zezwoleń pobytowych: zezwolenie na pobyt czasowy, zezwolenie na pobyt stały, zezwolenie na pobyt rezydenta długoterminowego Unii Europejskiej, zgoda na pobyt ze względów humanitarnych lub zgoda na pobyt tolerowany. Co prawda, zgodnie z art. 2 ust.</w:t>
      </w:r>
      <w:r w:rsidR="00A006A1" w:rsidRPr="00FD7F67">
        <w:rPr>
          <w:rFonts w:ascii="Times New Roman" w:hAnsi="Times New Roman" w:cs="Times New Roman"/>
        </w:rPr>
        <w:t> </w:t>
      </w:r>
      <w:r w:rsidR="0039439E" w:rsidRPr="00FD7F67">
        <w:rPr>
          <w:rFonts w:ascii="Times New Roman" w:hAnsi="Times New Roman" w:cs="Times New Roman"/>
        </w:rPr>
        <w:t>3 pkt 1 obywatele Ukrainy posiadający już takie zezwolenia są wyłączeni od uprawnienia w postaci pobytu uznawanego za legalny na podstawie art. 2 ust. 1 ustawy, jednakże nie wyłącza to możliwości następczego uzyskania jednego z takich zezwoleń, np. gdy postępowanie toczyło w sprawie udzielenia zezwolenia na pobyt czasowy toczyło się już wcześniej niż w dniu 24 lutego 2022 r. (wówczas nie</w:t>
      </w:r>
      <w:r w:rsidR="00A006A1" w:rsidRPr="00FD7F67">
        <w:rPr>
          <w:rFonts w:ascii="Times New Roman" w:hAnsi="Times New Roman" w:cs="Times New Roman"/>
        </w:rPr>
        <w:t> </w:t>
      </w:r>
      <w:r w:rsidR="0039439E" w:rsidRPr="00FD7F67">
        <w:rPr>
          <w:rFonts w:ascii="Times New Roman" w:hAnsi="Times New Roman" w:cs="Times New Roman"/>
        </w:rPr>
        <w:t>zachodzi podstawa do odmowy wszczęcia postępowania w sprawie udzielenia zezwolenia na pobyt czasowy, o której mowa w art. 99 ust. 1 pkt 4 ustawy o cudzoziemcach w zw. z art. 2 ust. 1 i ust. 6 ustawy). W ocenie projektodawcy następcze uzyskanie odpowiedniego zezwolenia pobytowego nie</w:t>
      </w:r>
      <w:r w:rsidR="00A006A1" w:rsidRPr="00FD7F67">
        <w:rPr>
          <w:rFonts w:ascii="Times New Roman" w:hAnsi="Times New Roman" w:cs="Times New Roman"/>
        </w:rPr>
        <w:t> </w:t>
      </w:r>
      <w:r w:rsidR="0039439E" w:rsidRPr="00FD7F67">
        <w:rPr>
          <w:rFonts w:ascii="Times New Roman" w:hAnsi="Times New Roman" w:cs="Times New Roman"/>
        </w:rPr>
        <w:t xml:space="preserve">powinno skutkować odebraniem uprawnienia wynikającego z art. 2 ust. 1 oraz uprawnień towarzyszących. </w:t>
      </w:r>
    </w:p>
    <w:p w14:paraId="22A20545" w14:textId="77777777" w:rsidR="007F30BB" w:rsidRPr="00FD7F67" w:rsidRDefault="00CD6B86" w:rsidP="008A0ADB">
      <w:pPr>
        <w:spacing w:line="276" w:lineRule="auto"/>
        <w:jc w:val="both"/>
        <w:rPr>
          <w:rFonts w:ascii="Times New Roman" w:eastAsia="Times New Roman" w:hAnsi="Times New Roman" w:cs="Times New Roman"/>
          <w:lang w:eastAsia="pl-PL"/>
        </w:rPr>
      </w:pPr>
      <w:r w:rsidRPr="00FD7F67">
        <w:rPr>
          <w:rFonts w:ascii="Times New Roman" w:eastAsia="Times New Roman" w:hAnsi="Times New Roman" w:cs="Times New Roman"/>
          <w:b/>
          <w:lang w:eastAsia="pl-PL"/>
        </w:rPr>
        <w:t>7</w:t>
      </w:r>
      <w:r w:rsidR="003B03FA" w:rsidRPr="00FD7F67">
        <w:rPr>
          <w:rFonts w:ascii="Times New Roman" w:eastAsia="Times New Roman" w:hAnsi="Times New Roman" w:cs="Times New Roman"/>
          <w:b/>
          <w:lang w:eastAsia="pl-PL"/>
        </w:rPr>
        <w:t xml:space="preserve">. </w:t>
      </w:r>
      <w:r w:rsidR="008135CF" w:rsidRPr="00FD7F67">
        <w:rPr>
          <w:rFonts w:ascii="Times New Roman" w:eastAsia="Times New Roman" w:hAnsi="Times New Roman" w:cs="Times New Roman"/>
          <w:b/>
          <w:lang w:eastAsia="pl-PL"/>
        </w:rPr>
        <w:t>Dodanie</w:t>
      </w:r>
      <w:r w:rsidR="008135CF" w:rsidRPr="00FD7F67">
        <w:rPr>
          <w:rFonts w:ascii="Times New Roman" w:eastAsia="Times New Roman" w:hAnsi="Times New Roman" w:cs="Times New Roman"/>
          <w:lang w:eastAsia="pl-PL"/>
        </w:rPr>
        <w:t xml:space="preserve"> </w:t>
      </w:r>
      <w:r w:rsidR="008135CF" w:rsidRPr="00FD7F67">
        <w:rPr>
          <w:rFonts w:ascii="Times New Roman" w:eastAsia="Times New Roman" w:hAnsi="Times New Roman" w:cs="Times New Roman"/>
          <w:b/>
          <w:lang w:eastAsia="pl-PL"/>
        </w:rPr>
        <w:t>art. 12b</w:t>
      </w:r>
      <w:r w:rsidR="008135CF" w:rsidRPr="00FD7F67">
        <w:rPr>
          <w:rFonts w:ascii="Times New Roman" w:eastAsia="Times New Roman" w:hAnsi="Times New Roman" w:cs="Times New Roman"/>
          <w:lang w:eastAsia="pl-PL"/>
        </w:rPr>
        <w:t xml:space="preserve"> ma na celu uproszczenie procedur związanych z przebudową, remontem lub zmianą sposobu użytkowania budynków lub ich części, będących w posiadaniu jednostek samorządu terytorialnego i przeznaczonych docelowo na cele mieszkalne przy zachowaniu podstawowych </w:t>
      </w:r>
      <w:r w:rsidR="008135CF" w:rsidRPr="00FD7F67">
        <w:rPr>
          <w:rFonts w:ascii="Times New Roman" w:eastAsia="Times New Roman" w:hAnsi="Times New Roman" w:cs="Times New Roman"/>
          <w:lang w:eastAsia="pl-PL"/>
        </w:rPr>
        <w:lastRenderedPageBreak/>
        <w:t>wymagań dotyczących bezpieczeństwa higieny, zdrowia i środowiska rozpoczętych w okresie dwóch lat od wejścia w życie niniejszego przepisu.</w:t>
      </w:r>
    </w:p>
    <w:p w14:paraId="3CB0E9DB" w14:textId="77777777" w:rsidR="007F30BB" w:rsidRPr="00FD7F67" w:rsidRDefault="00CD6B86" w:rsidP="00C11972">
      <w:pPr>
        <w:suppressAutoHyphens/>
        <w:autoSpaceDE w:val="0"/>
        <w:autoSpaceDN w:val="0"/>
        <w:adjustRightInd w:val="0"/>
        <w:spacing w:after="0" w:line="276" w:lineRule="auto"/>
        <w:jc w:val="both"/>
        <w:rPr>
          <w:rFonts w:ascii="Times New Roman" w:eastAsiaTheme="minorEastAsia" w:hAnsi="Times New Roman" w:cs="Times New Roman"/>
          <w:bCs/>
          <w:lang w:eastAsia="pl-PL"/>
        </w:rPr>
      </w:pPr>
      <w:r w:rsidRPr="00FD7F67">
        <w:rPr>
          <w:rFonts w:ascii="Times New Roman" w:eastAsiaTheme="minorEastAsia" w:hAnsi="Times New Roman" w:cs="Times New Roman"/>
          <w:b/>
          <w:bCs/>
          <w:lang w:eastAsia="pl-PL"/>
        </w:rPr>
        <w:t>8</w:t>
      </w:r>
      <w:r w:rsidR="003B03FA" w:rsidRPr="00FD7F67">
        <w:rPr>
          <w:rFonts w:ascii="Times New Roman" w:eastAsiaTheme="minorEastAsia" w:hAnsi="Times New Roman" w:cs="Times New Roman"/>
          <w:b/>
          <w:bCs/>
          <w:lang w:eastAsia="pl-PL"/>
        </w:rPr>
        <w:t xml:space="preserve">. </w:t>
      </w:r>
      <w:r w:rsidR="00A86ECC" w:rsidRPr="00FD7F67">
        <w:rPr>
          <w:rFonts w:ascii="Times New Roman" w:eastAsiaTheme="minorEastAsia" w:hAnsi="Times New Roman" w:cs="Times New Roman"/>
          <w:b/>
          <w:bCs/>
          <w:lang w:eastAsia="pl-PL"/>
        </w:rPr>
        <w:t>Zmianę</w:t>
      </w:r>
      <w:r w:rsidR="007F30BB" w:rsidRPr="00FD7F67">
        <w:rPr>
          <w:rFonts w:ascii="Times New Roman" w:eastAsiaTheme="minorEastAsia" w:hAnsi="Times New Roman" w:cs="Times New Roman"/>
          <w:bCs/>
          <w:lang w:eastAsia="pl-PL"/>
        </w:rPr>
        <w:t xml:space="preserve"> </w:t>
      </w:r>
      <w:r w:rsidR="007F30BB" w:rsidRPr="00FD7F67">
        <w:rPr>
          <w:rFonts w:ascii="Times New Roman" w:eastAsiaTheme="minorEastAsia" w:hAnsi="Times New Roman" w:cs="Times New Roman"/>
          <w:b/>
          <w:bCs/>
          <w:lang w:eastAsia="pl-PL"/>
        </w:rPr>
        <w:t>art. 22</w:t>
      </w:r>
      <w:r w:rsidR="003B03FA" w:rsidRPr="00FD7F67">
        <w:rPr>
          <w:rFonts w:ascii="Times New Roman" w:eastAsiaTheme="minorEastAsia" w:hAnsi="Times New Roman" w:cs="Times New Roman"/>
          <w:bCs/>
          <w:lang w:eastAsia="pl-PL"/>
        </w:rPr>
        <w:t>, która</w:t>
      </w:r>
      <w:r w:rsidR="00A86ECC" w:rsidRPr="00FD7F67">
        <w:rPr>
          <w:rFonts w:ascii="Times New Roman" w:eastAsiaTheme="minorEastAsia" w:hAnsi="Times New Roman" w:cs="Times New Roman"/>
          <w:bCs/>
          <w:lang w:eastAsia="pl-PL"/>
        </w:rPr>
        <w:t xml:space="preserve"> </w:t>
      </w:r>
      <w:r w:rsidR="007F30BB" w:rsidRPr="00FD7F67">
        <w:rPr>
          <w:rFonts w:ascii="Times New Roman" w:eastAsiaTheme="minorEastAsia" w:hAnsi="Times New Roman" w:cs="Times New Roman"/>
          <w:bCs/>
          <w:lang w:eastAsia="pl-PL"/>
        </w:rPr>
        <w:t>ma na celu polepszeni</w:t>
      </w:r>
      <w:r w:rsidR="00A86ECC" w:rsidRPr="00FD7F67">
        <w:rPr>
          <w:rFonts w:ascii="Times New Roman" w:eastAsiaTheme="minorEastAsia" w:hAnsi="Times New Roman" w:cs="Times New Roman"/>
          <w:bCs/>
          <w:lang w:eastAsia="pl-PL"/>
        </w:rPr>
        <w:t>e</w:t>
      </w:r>
      <w:r w:rsidR="007F30BB" w:rsidRPr="00FD7F67">
        <w:rPr>
          <w:rFonts w:ascii="Times New Roman" w:eastAsiaTheme="minorEastAsia" w:hAnsi="Times New Roman" w:cs="Times New Roman"/>
          <w:bCs/>
          <w:lang w:eastAsia="pl-PL"/>
        </w:rPr>
        <w:t xml:space="preserve"> ochrony praw cudzoziemców objętych ustawą, które wiążą się z wykonywaniem przez nich pracy na terytorium Polski oraz poprawy skutecznych działań kontrolnych w tym zakresie. Obywatele Ukrainy, którzy migrują na terytorium Polski w związku z</w:t>
      </w:r>
      <w:r w:rsidR="00A006A1" w:rsidRPr="00FD7F67">
        <w:rPr>
          <w:rFonts w:ascii="Times New Roman" w:eastAsiaTheme="minorEastAsia" w:hAnsi="Times New Roman" w:cs="Times New Roman"/>
          <w:bCs/>
          <w:lang w:eastAsia="pl-PL"/>
        </w:rPr>
        <w:t> </w:t>
      </w:r>
      <w:r w:rsidR="007F30BB" w:rsidRPr="00FD7F67">
        <w:rPr>
          <w:rFonts w:ascii="Times New Roman" w:eastAsiaTheme="minorEastAsia" w:hAnsi="Times New Roman" w:cs="Times New Roman"/>
          <w:bCs/>
          <w:lang w:eastAsia="pl-PL"/>
        </w:rPr>
        <w:t>konfliktem zbrojnym, z uwagi na brak wiedzy o polskich przepisach prawa, nieznajomoś</w:t>
      </w:r>
      <w:r w:rsidR="00321348" w:rsidRPr="00FD7F67">
        <w:rPr>
          <w:rFonts w:ascii="Times New Roman" w:eastAsiaTheme="minorEastAsia" w:hAnsi="Times New Roman" w:cs="Times New Roman"/>
          <w:bCs/>
          <w:lang w:eastAsia="pl-PL"/>
        </w:rPr>
        <w:t>ci</w:t>
      </w:r>
      <w:r w:rsidR="007F30BB" w:rsidRPr="00FD7F67">
        <w:rPr>
          <w:rFonts w:ascii="Times New Roman" w:eastAsiaTheme="minorEastAsia" w:hAnsi="Times New Roman" w:cs="Times New Roman"/>
          <w:bCs/>
          <w:lang w:eastAsia="pl-PL"/>
        </w:rPr>
        <w:t xml:space="preserve"> języka polskiego oraz trudną sytuację materialną, są grupą w szczególności narażoną na możliwość wyzysku ze strony nieuczciwych pracodawców </w:t>
      </w:r>
      <w:r w:rsidR="00321348" w:rsidRPr="00FD7F67">
        <w:rPr>
          <w:rFonts w:ascii="Times New Roman" w:eastAsiaTheme="minorEastAsia" w:hAnsi="Times New Roman" w:cs="Times New Roman"/>
          <w:bCs/>
          <w:lang w:eastAsia="pl-PL"/>
        </w:rPr>
        <w:t xml:space="preserve">albo </w:t>
      </w:r>
      <w:r w:rsidR="007F30BB" w:rsidRPr="00FD7F67">
        <w:rPr>
          <w:rFonts w:ascii="Times New Roman" w:eastAsiaTheme="minorEastAsia" w:hAnsi="Times New Roman" w:cs="Times New Roman"/>
          <w:bCs/>
          <w:lang w:eastAsia="pl-PL"/>
        </w:rPr>
        <w:t xml:space="preserve">stania się ofiarą handlu ludźmi. Zakres kompetencyjny PIP, określony w ustawie </w:t>
      </w:r>
      <w:r w:rsidR="00321348" w:rsidRPr="00FD7F67">
        <w:rPr>
          <w:rFonts w:ascii="Times New Roman" w:eastAsiaTheme="minorEastAsia" w:hAnsi="Times New Roman" w:cs="Times New Roman"/>
          <w:bCs/>
          <w:lang w:eastAsia="pl-PL"/>
        </w:rPr>
        <w:t xml:space="preserve">z dnia 13 kwietnia 2007 r. </w:t>
      </w:r>
      <w:r w:rsidR="007F30BB" w:rsidRPr="00FD7F67">
        <w:rPr>
          <w:rFonts w:ascii="Times New Roman" w:eastAsiaTheme="minorEastAsia" w:hAnsi="Times New Roman" w:cs="Times New Roman"/>
          <w:bCs/>
          <w:lang w:eastAsia="pl-PL"/>
        </w:rPr>
        <w:t>o Państwowej Inspekcji Pracy</w:t>
      </w:r>
      <w:r w:rsidR="00321348" w:rsidRPr="00FD7F67">
        <w:rPr>
          <w:rFonts w:ascii="Times New Roman" w:eastAsiaTheme="minorEastAsia" w:hAnsi="Times New Roman" w:cs="Times New Roman"/>
          <w:bCs/>
          <w:lang w:eastAsia="pl-PL"/>
        </w:rPr>
        <w:t xml:space="preserve"> (Dz. U. z 2019 r. poz.</w:t>
      </w:r>
      <w:r w:rsidR="00A006A1" w:rsidRPr="00FD7F67">
        <w:rPr>
          <w:rFonts w:ascii="Times New Roman" w:eastAsiaTheme="minorEastAsia" w:hAnsi="Times New Roman" w:cs="Times New Roman"/>
          <w:bCs/>
          <w:lang w:eastAsia="pl-PL"/>
        </w:rPr>
        <w:t> </w:t>
      </w:r>
      <w:r w:rsidR="00321348" w:rsidRPr="00FD7F67">
        <w:rPr>
          <w:rFonts w:ascii="Times New Roman" w:eastAsiaTheme="minorEastAsia" w:hAnsi="Times New Roman" w:cs="Times New Roman"/>
          <w:bCs/>
          <w:lang w:eastAsia="pl-PL"/>
        </w:rPr>
        <w:t>1251, z późn. zm.)</w:t>
      </w:r>
      <w:r w:rsidR="007F30BB" w:rsidRPr="00FD7F67">
        <w:rPr>
          <w:rFonts w:ascii="Times New Roman" w:eastAsiaTheme="minorEastAsia" w:hAnsi="Times New Roman" w:cs="Times New Roman"/>
          <w:bCs/>
          <w:lang w:eastAsia="pl-PL"/>
        </w:rPr>
        <w:t xml:space="preserve"> dzięki dokonanym zmianom pozwoli na bardziej skuteczne wyegzekwowanie od podmiotu powierzającego pracę na podstawie umowy prawa cywilnego zapewnienia odpowiedniego standardu ochrony praw cudzoziemców objętych ustawą szczególną. Projektowane przepisy przyczynią się także do skuteczn</w:t>
      </w:r>
      <w:r w:rsidR="00321348" w:rsidRPr="00FD7F67">
        <w:rPr>
          <w:rFonts w:ascii="Times New Roman" w:eastAsiaTheme="minorEastAsia" w:hAnsi="Times New Roman" w:cs="Times New Roman"/>
          <w:bCs/>
          <w:lang w:eastAsia="pl-PL"/>
        </w:rPr>
        <w:t>iejszej</w:t>
      </w:r>
      <w:r w:rsidR="007F30BB" w:rsidRPr="00FD7F67">
        <w:rPr>
          <w:rFonts w:ascii="Times New Roman" w:eastAsiaTheme="minorEastAsia" w:hAnsi="Times New Roman" w:cs="Times New Roman"/>
          <w:bCs/>
          <w:lang w:eastAsia="pl-PL"/>
        </w:rPr>
        <w:t xml:space="preserve"> kontroli przeprowadza</w:t>
      </w:r>
      <w:r w:rsidR="00321348" w:rsidRPr="00FD7F67">
        <w:rPr>
          <w:rFonts w:ascii="Times New Roman" w:eastAsiaTheme="minorEastAsia" w:hAnsi="Times New Roman" w:cs="Times New Roman"/>
          <w:bCs/>
          <w:lang w:eastAsia="pl-PL"/>
        </w:rPr>
        <w:t>nej przez</w:t>
      </w:r>
      <w:r w:rsidR="007F30BB" w:rsidRPr="00FD7F67">
        <w:rPr>
          <w:rFonts w:ascii="Times New Roman" w:eastAsiaTheme="minorEastAsia" w:hAnsi="Times New Roman" w:cs="Times New Roman"/>
          <w:bCs/>
          <w:lang w:eastAsia="pl-PL"/>
        </w:rPr>
        <w:t xml:space="preserve"> Straż Graniczna, która bada, czy stan faktyczny w zakresie zatrudnienia cudzoziemców wypełnia definicj</w:t>
      </w:r>
      <w:r w:rsidR="00321348" w:rsidRPr="00FD7F67">
        <w:rPr>
          <w:rFonts w:ascii="Times New Roman" w:eastAsiaTheme="minorEastAsia" w:hAnsi="Times New Roman" w:cs="Times New Roman"/>
          <w:bCs/>
          <w:lang w:eastAsia="pl-PL"/>
        </w:rPr>
        <w:t>ę</w:t>
      </w:r>
      <w:r w:rsidR="007F30BB" w:rsidRPr="00FD7F67">
        <w:rPr>
          <w:rFonts w:ascii="Times New Roman" w:eastAsiaTheme="minorEastAsia" w:hAnsi="Times New Roman" w:cs="Times New Roman"/>
          <w:bCs/>
          <w:lang w:eastAsia="pl-PL"/>
        </w:rPr>
        <w:t xml:space="preserve"> nielegalnego wykonywania pracy lub powierzania nielegalnego wykonywania pracy</w:t>
      </w:r>
      <w:r w:rsidR="00321348" w:rsidRPr="00FD7F67">
        <w:rPr>
          <w:rFonts w:ascii="Times New Roman" w:eastAsiaTheme="minorEastAsia" w:hAnsi="Times New Roman" w:cs="Times New Roman"/>
          <w:bCs/>
          <w:lang w:eastAsia="pl-PL"/>
        </w:rPr>
        <w:t>.</w:t>
      </w:r>
      <w:r w:rsidR="007F30BB" w:rsidRPr="00FD7F67">
        <w:rPr>
          <w:rFonts w:ascii="Times New Roman" w:eastAsiaTheme="minorEastAsia" w:hAnsi="Times New Roman" w:cs="Times New Roman"/>
          <w:bCs/>
          <w:lang w:eastAsia="pl-PL"/>
        </w:rPr>
        <w:t xml:space="preserve">. Zawarcie z cudzoziemcem umowy cywilnoprawnej </w:t>
      </w:r>
      <w:r w:rsidR="00321348" w:rsidRPr="00FD7F67">
        <w:rPr>
          <w:rFonts w:ascii="Times New Roman" w:eastAsiaTheme="minorEastAsia" w:hAnsi="Times New Roman" w:cs="Times New Roman"/>
          <w:bCs/>
          <w:lang w:eastAsia="pl-PL"/>
        </w:rPr>
        <w:t xml:space="preserve">na </w:t>
      </w:r>
      <w:r w:rsidR="007F30BB" w:rsidRPr="00FD7F67">
        <w:rPr>
          <w:rFonts w:ascii="Times New Roman" w:eastAsiaTheme="minorEastAsia" w:hAnsi="Times New Roman" w:cs="Times New Roman"/>
          <w:bCs/>
          <w:lang w:eastAsia="pl-PL"/>
        </w:rPr>
        <w:t>warunkach odpowiadających stosunkowi pracy, zwiększenie czasu pracy ponad wymiar wynikający z umowy o pracę bez zachowania prawa do wynagrodzenia, tytułu nadgodzin czy też zaniżanie wynagrodzenia poniżej minimalnego będą mogły podlegać ocenie w toku kontroli legalności zatrudnienia prowadzonej przez Straż Graniczną.</w:t>
      </w:r>
      <w:r w:rsidR="003B03FA" w:rsidRPr="00FD7F67">
        <w:rPr>
          <w:rFonts w:ascii="Times New Roman" w:eastAsiaTheme="minorEastAsia" w:hAnsi="Times New Roman" w:cs="Times New Roman"/>
          <w:bCs/>
          <w:lang w:eastAsia="pl-PL"/>
        </w:rPr>
        <w:t xml:space="preserve"> </w:t>
      </w:r>
      <w:r w:rsidR="007F30BB" w:rsidRPr="00FD7F67">
        <w:rPr>
          <w:rFonts w:ascii="Times New Roman" w:eastAsiaTheme="minorEastAsia" w:hAnsi="Times New Roman" w:cs="Times New Roman"/>
          <w:bCs/>
          <w:lang w:eastAsia="pl-PL"/>
        </w:rPr>
        <w:t xml:space="preserve">Z dotychczasowych doświadczeń Straży Granicznej wynika wzrost liczby nadużyć ze strony pracodawców. </w:t>
      </w:r>
    </w:p>
    <w:p w14:paraId="6A083C77" w14:textId="77777777" w:rsidR="007F30BB" w:rsidRPr="00FD7F67" w:rsidRDefault="007F30BB" w:rsidP="00C11972">
      <w:pPr>
        <w:suppressAutoHyphens/>
        <w:autoSpaceDE w:val="0"/>
        <w:autoSpaceDN w:val="0"/>
        <w:adjustRightInd w:val="0"/>
        <w:spacing w:after="0" w:line="276" w:lineRule="auto"/>
        <w:jc w:val="both"/>
        <w:rPr>
          <w:rFonts w:ascii="Times New Roman" w:eastAsiaTheme="minorEastAsia" w:hAnsi="Times New Roman" w:cs="Times New Roman"/>
          <w:bCs/>
          <w:lang w:eastAsia="pl-PL"/>
        </w:rPr>
      </w:pPr>
      <w:r w:rsidRPr="00FD7F67">
        <w:rPr>
          <w:rFonts w:ascii="Times New Roman" w:eastAsiaTheme="minorEastAsia" w:hAnsi="Times New Roman" w:cs="Times New Roman"/>
          <w:bCs/>
          <w:lang w:eastAsia="pl-PL"/>
        </w:rPr>
        <w:t>Celem przeciwdziałania powyższym problemom należy wprowadzić zmiany, polegające na</w:t>
      </w:r>
      <w:r w:rsidR="00A006A1" w:rsidRPr="00FD7F67">
        <w:rPr>
          <w:rFonts w:ascii="Times New Roman" w:eastAsiaTheme="minorEastAsia" w:hAnsi="Times New Roman" w:cs="Times New Roman"/>
          <w:bCs/>
          <w:lang w:eastAsia="pl-PL"/>
        </w:rPr>
        <w:t> </w:t>
      </w:r>
      <w:r w:rsidRPr="00FD7F67">
        <w:rPr>
          <w:rFonts w:ascii="Times New Roman" w:eastAsiaTheme="minorEastAsia" w:hAnsi="Times New Roman" w:cs="Times New Roman"/>
          <w:bCs/>
          <w:lang w:eastAsia="pl-PL"/>
        </w:rPr>
        <w:t>zagwarantowaniu cudzoziemcowi pracy na warunkach nie gorszych, niż wskazane w</w:t>
      </w:r>
      <w:r w:rsidR="00A006A1" w:rsidRPr="00FD7F67">
        <w:rPr>
          <w:rFonts w:ascii="Times New Roman" w:eastAsiaTheme="minorEastAsia" w:hAnsi="Times New Roman" w:cs="Times New Roman"/>
          <w:bCs/>
          <w:lang w:eastAsia="pl-PL"/>
        </w:rPr>
        <w:t> </w:t>
      </w:r>
      <w:r w:rsidRPr="00FD7F67">
        <w:rPr>
          <w:rFonts w:ascii="Times New Roman" w:eastAsiaTheme="minorEastAsia" w:hAnsi="Times New Roman" w:cs="Times New Roman"/>
          <w:bCs/>
          <w:lang w:eastAsia="pl-PL"/>
        </w:rPr>
        <w:t>powiadomieniu. Niezbędne jest również nałożenie na pracodawcę obowiązku przestrzegania określonego wymiaru czasu pracy oraz wynagrodzenia za wykonaną pracę, które to warunki powinny zostać obligatoryjnie wskazane w powiadomieniu, obok już określonych w art. 22 ust. 3 pkt 3, 4 i 5 ustawy.</w:t>
      </w:r>
    </w:p>
    <w:p w14:paraId="59048D20" w14:textId="77777777" w:rsidR="007F30BB" w:rsidRPr="00FD7F67" w:rsidRDefault="007F30BB" w:rsidP="00C11972">
      <w:pPr>
        <w:suppressAutoHyphens/>
        <w:autoSpaceDE w:val="0"/>
        <w:autoSpaceDN w:val="0"/>
        <w:adjustRightInd w:val="0"/>
        <w:spacing w:after="0" w:line="276" w:lineRule="auto"/>
        <w:jc w:val="both"/>
        <w:rPr>
          <w:rFonts w:ascii="Times New Roman" w:eastAsiaTheme="minorEastAsia" w:hAnsi="Times New Roman" w:cs="Times New Roman"/>
          <w:bCs/>
          <w:lang w:eastAsia="pl-PL"/>
        </w:rPr>
      </w:pPr>
      <w:r w:rsidRPr="00FD7F67">
        <w:rPr>
          <w:rFonts w:ascii="Times New Roman" w:eastAsiaTheme="minorEastAsia" w:hAnsi="Times New Roman" w:cs="Times New Roman"/>
          <w:bCs/>
          <w:lang w:eastAsia="pl-PL"/>
        </w:rPr>
        <w:t>Wprowadzenie powyższych zmian ma na celu zobowiązanie podmiotu powierzającego cudzoziemcowi wykonywanie pracy na podstawie art. 22 ust. 1 ustawy do zagwarantowania wynagrodzenia nie niższego niż określone w powiadomieniu. Powyższe pełnić będzie w szczególności funkcję prewencyjną przed doprowadzeniem przez pracodawcę do nagłego pogorszenia sytuacji ekonomicznej oraz pozycji zawodowej cudzoziemca.</w:t>
      </w:r>
      <w:r w:rsidR="003B03FA" w:rsidRPr="00FD7F67">
        <w:rPr>
          <w:rFonts w:ascii="Times New Roman" w:eastAsiaTheme="minorEastAsia" w:hAnsi="Times New Roman" w:cs="Times New Roman"/>
          <w:bCs/>
          <w:lang w:eastAsia="pl-PL"/>
        </w:rPr>
        <w:t xml:space="preserve"> </w:t>
      </w:r>
      <w:r w:rsidRPr="00FD7F67">
        <w:rPr>
          <w:rFonts w:ascii="Times New Roman" w:eastAsiaTheme="minorEastAsia" w:hAnsi="Times New Roman" w:cs="Times New Roman"/>
          <w:bCs/>
          <w:lang w:eastAsia="pl-PL"/>
        </w:rPr>
        <w:t xml:space="preserve">Mając na uwadze konieczność ochrony zatrudnionych cudzoziemców oraz umożliwienie organom kontrolnym sprawowania nadzoru nad przestrzeganiem przez pracodawców zgodności faktycznych warunków powierzonej pracy z treścią powiadomienia, zasadne jest rozszerzenie katalogu warunków wskazywanych </w:t>
      </w:r>
      <w:r w:rsidR="006E3F0B" w:rsidRPr="00FD7F67">
        <w:rPr>
          <w:rFonts w:ascii="Times New Roman" w:eastAsiaTheme="minorEastAsia" w:hAnsi="Times New Roman" w:cs="Times New Roman"/>
          <w:bCs/>
          <w:lang w:eastAsia="pl-PL"/>
        </w:rPr>
        <w:t xml:space="preserve">w </w:t>
      </w:r>
      <w:r w:rsidRPr="00FD7F67">
        <w:rPr>
          <w:rFonts w:ascii="Times New Roman" w:eastAsiaTheme="minorEastAsia" w:hAnsi="Times New Roman" w:cs="Times New Roman"/>
          <w:bCs/>
          <w:lang w:eastAsia="pl-PL"/>
        </w:rPr>
        <w:t>powiadomieniu o</w:t>
      </w:r>
      <w:r w:rsidR="006E3F0B" w:rsidRPr="00FD7F67">
        <w:rPr>
          <w:rFonts w:ascii="Times New Roman" w:eastAsiaTheme="minorEastAsia" w:hAnsi="Times New Roman" w:cs="Times New Roman"/>
          <w:bCs/>
          <w:lang w:eastAsia="pl-PL"/>
        </w:rPr>
        <w:t>:</w:t>
      </w:r>
      <w:r w:rsidRPr="00FD7F67">
        <w:rPr>
          <w:rFonts w:ascii="Times New Roman" w:eastAsiaTheme="minorEastAsia" w:hAnsi="Times New Roman" w:cs="Times New Roman"/>
          <w:bCs/>
          <w:lang w:eastAsia="pl-PL"/>
        </w:rPr>
        <w:t xml:space="preserve"> najniższe wynagrodzenie, jakie może otrzymywać cudzoziemiec</w:t>
      </w:r>
      <w:r w:rsidR="006E3F0B" w:rsidRPr="00FD7F67">
        <w:rPr>
          <w:rFonts w:ascii="Times New Roman" w:eastAsiaTheme="minorEastAsia" w:hAnsi="Times New Roman" w:cs="Times New Roman"/>
          <w:bCs/>
          <w:lang w:eastAsia="pl-PL"/>
        </w:rPr>
        <w:t xml:space="preserve">, </w:t>
      </w:r>
      <w:r w:rsidRPr="00FD7F67">
        <w:rPr>
          <w:rFonts w:ascii="Times New Roman" w:eastAsiaTheme="minorEastAsia" w:hAnsi="Times New Roman" w:cs="Times New Roman"/>
          <w:bCs/>
          <w:lang w:eastAsia="pl-PL"/>
        </w:rPr>
        <w:t>wymiar czasu pracy lub liczbę godzin w tygodniu lub miesiącu.</w:t>
      </w:r>
    </w:p>
    <w:p w14:paraId="1EA6F40C" w14:textId="77777777" w:rsidR="007F30BB" w:rsidRPr="00FD7F67" w:rsidRDefault="007F30BB" w:rsidP="00C11972">
      <w:pPr>
        <w:suppressAutoHyphens/>
        <w:autoSpaceDE w:val="0"/>
        <w:autoSpaceDN w:val="0"/>
        <w:adjustRightInd w:val="0"/>
        <w:spacing w:after="0" w:line="276" w:lineRule="auto"/>
        <w:jc w:val="both"/>
        <w:rPr>
          <w:rFonts w:ascii="Times New Roman" w:eastAsiaTheme="minorEastAsia" w:hAnsi="Times New Roman" w:cs="Times New Roman"/>
          <w:bCs/>
          <w:lang w:eastAsia="pl-PL"/>
        </w:rPr>
      </w:pPr>
      <w:r w:rsidRPr="00FD7F67">
        <w:rPr>
          <w:rFonts w:ascii="Times New Roman" w:eastAsiaTheme="minorEastAsia" w:hAnsi="Times New Roman" w:cs="Times New Roman"/>
          <w:bCs/>
          <w:lang w:eastAsia="pl-PL"/>
        </w:rPr>
        <w:t>Projekt nowelizacji wprowadza do art. 22</w:t>
      </w:r>
      <w:r w:rsidR="006E3F0B" w:rsidRPr="00FD7F67">
        <w:rPr>
          <w:rFonts w:ascii="Times New Roman" w:eastAsiaTheme="minorEastAsia" w:hAnsi="Times New Roman" w:cs="Times New Roman"/>
          <w:bCs/>
          <w:lang w:eastAsia="pl-PL"/>
        </w:rPr>
        <w:t xml:space="preserve"> ust. 5a i 5b kolejny podmiot, tj. </w:t>
      </w:r>
      <w:r w:rsidRPr="00FD7F67">
        <w:rPr>
          <w:rFonts w:ascii="Times New Roman" w:eastAsiaTheme="minorEastAsia" w:hAnsi="Times New Roman" w:cs="Times New Roman"/>
          <w:bCs/>
          <w:lang w:eastAsia="pl-PL"/>
        </w:rPr>
        <w:t xml:space="preserve"> Główny Urząd Statystyczny</w:t>
      </w:r>
      <w:r w:rsidR="006E3F0B" w:rsidRPr="00FD7F67">
        <w:rPr>
          <w:rFonts w:ascii="Times New Roman" w:eastAsiaTheme="minorEastAsia" w:hAnsi="Times New Roman" w:cs="Times New Roman"/>
          <w:bCs/>
          <w:lang w:eastAsia="pl-PL"/>
        </w:rPr>
        <w:t xml:space="preserve">, </w:t>
      </w:r>
      <w:r w:rsidRPr="00FD7F67">
        <w:rPr>
          <w:rFonts w:ascii="Times New Roman" w:eastAsiaTheme="minorEastAsia" w:hAnsi="Times New Roman" w:cs="Times New Roman"/>
          <w:bCs/>
          <w:lang w:eastAsia="pl-PL"/>
        </w:rPr>
        <w:t>co ma na celu dostarczanie GUS-owi informacji pozwalających ocenić liczbę obywateli Ukrainy, którzy wykonują pracę zgodnie z przepisami ustawy.</w:t>
      </w:r>
    </w:p>
    <w:p w14:paraId="05ED27A9" w14:textId="77777777" w:rsidR="007F30BB" w:rsidRPr="00FD7F67" w:rsidRDefault="007F30BB" w:rsidP="00C11972">
      <w:pPr>
        <w:suppressAutoHyphens/>
        <w:autoSpaceDE w:val="0"/>
        <w:autoSpaceDN w:val="0"/>
        <w:adjustRightInd w:val="0"/>
        <w:spacing w:after="0" w:line="276" w:lineRule="auto"/>
        <w:jc w:val="both"/>
        <w:rPr>
          <w:rFonts w:ascii="Times New Roman" w:eastAsiaTheme="minorEastAsia" w:hAnsi="Times New Roman" w:cs="Times New Roman"/>
          <w:lang w:eastAsia="pl-PL"/>
        </w:rPr>
      </w:pPr>
      <w:r w:rsidRPr="00FD7F67">
        <w:rPr>
          <w:rFonts w:ascii="Times New Roman" w:eastAsiaTheme="minorEastAsia" w:hAnsi="Times New Roman" w:cs="Times New Roman"/>
          <w:lang w:eastAsia="pl-PL"/>
        </w:rPr>
        <w:t>Wprowadzenie zmian w art. 22 ust. 3 zapewni także Głównemu Urzędowi Statystycznemu dostęp do</w:t>
      </w:r>
      <w:r w:rsidR="00A006A1" w:rsidRPr="00FD7F67">
        <w:rPr>
          <w:rFonts w:ascii="Times New Roman" w:eastAsiaTheme="minorEastAsia" w:hAnsi="Times New Roman" w:cs="Times New Roman"/>
          <w:lang w:eastAsia="pl-PL"/>
        </w:rPr>
        <w:t> </w:t>
      </w:r>
      <w:r w:rsidRPr="00FD7F67">
        <w:rPr>
          <w:rFonts w:ascii="Times New Roman" w:eastAsiaTheme="minorEastAsia" w:hAnsi="Times New Roman" w:cs="Times New Roman"/>
          <w:lang w:eastAsia="pl-PL"/>
        </w:rPr>
        <w:t>danych o obywatelach Ukrainy wykonujących pracę w Polsce na podstawie ustawy, umożliwiając ocenę zmian na polskim rynku pracy i dostarczenie tych danych, w zagregowanej formie szerszemu gronu odbiorców. Dane o pracujących obywatelach Ukrainy są coraz częstszym przedmiotem zapytań krajowych i zagranicznych odbiorców danych statystycznych, w tym Komisji Europejskiej. Dzięki</w:t>
      </w:r>
      <w:r w:rsidR="00A006A1" w:rsidRPr="00FD7F67">
        <w:rPr>
          <w:rFonts w:ascii="Times New Roman" w:eastAsiaTheme="minorEastAsia" w:hAnsi="Times New Roman" w:cs="Times New Roman"/>
          <w:lang w:eastAsia="pl-PL"/>
        </w:rPr>
        <w:t> </w:t>
      </w:r>
      <w:r w:rsidRPr="00FD7F67">
        <w:rPr>
          <w:rFonts w:ascii="Times New Roman" w:eastAsiaTheme="minorEastAsia" w:hAnsi="Times New Roman" w:cs="Times New Roman"/>
          <w:lang w:eastAsia="pl-PL"/>
        </w:rPr>
        <w:t>tym</w:t>
      </w:r>
      <w:r w:rsidR="00A006A1" w:rsidRPr="00FD7F67">
        <w:rPr>
          <w:rFonts w:ascii="Times New Roman" w:eastAsiaTheme="minorEastAsia" w:hAnsi="Times New Roman" w:cs="Times New Roman"/>
          <w:lang w:eastAsia="pl-PL"/>
        </w:rPr>
        <w:t> </w:t>
      </w:r>
      <w:r w:rsidRPr="00FD7F67">
        <w:rPr>
          <w:rFonts w:ascii="Times New Roman" w:eastAsiaTheme="minorEastAsia" w:hAnsi="Times New Roman" w:cs="Times New Roman"/>
          <w:lang w:eastAsia="pl-PL"/>
        </w:rPr>
        <w:t>danym odbiorcy będą mieli dostęp do informacji służących do aktualnych analiz oraz</w:t>
      </w:r>
      <w:r w:rsidR="00A006A1" w:rsidRPr="00FD7F67">
        <w:rPr>
          <w:rFonts w:ascii="Times New Roman" w:eastAsiaTheme="minorEastAsia" w:hAnsi="Times New Roman" w:cs="Times New Roman"/>
          <w:lang w:eastAsia="pl-PL"/>
        </w:rPr>
        <w:t> </w:t>
      </w:r>
      <w:r w:rsidRPr="00FD7F67">
        <w:rPr>
          <w:rFonts w:ascii="Times New Roman" w:eastAsiaTheme="minorEastAsia" w:hAnsi="Times New Roman" w:cs="Times New Roman"/>
          <w:lang w:eastAsia="pl-PL"/>
        </w:rPr>
        <w:t xml:space="preserve">podejmowaniu decyzji społeczno-gospodarczych. </w:t>
      </w:r>
    </w:p>
    <w:p w14:paraId="732BC651" w14:textId="75823EF5" w:rsidR="00A86ECC" w:rsidRPr="00FD7F67" w:rsidRDefault="007F30BB" w:rsidP="00730AC9">
      <w:pPr>
        <w:suppressAutoHyphens/>
        <w:autoSpaceDE w:val="0"/>
        <w:autoSpaceDN w:val="0"/>
        <w:adjustRightInd w:val="0"/>
        <w:spacing w:after="120" w:line="276" w:lineRule="auto"/>
        <w:jc w:val="both"/>
        <w:rPr>
          <w:rFonts w:ascii="Times New Roman" w:eastAsiaTheme="minorEastAsia" w:hAnsi="Times New Roman" w:cs="Times New Roman"/>
          <w:bCs/>
          <w:lang w:eastAsia="pl-PL"/>
        </w:rPr>
      </w:pPr>
      <w:r w:rsidRPr="00FD7F67">
        <w:rPr>
          <w:rFonts w:ascii="Times New Roman" w:eastAsiaTheme="minorEastAsia" w:hAnsi="Times New Roman" w:cs="Times New Roman"/>
          <w:bCs/>
          <w:lang w:eastAsia="pl-PL"/>
        </w:rPr>
        <w:t xml:space="preserve">Informacja </w:t>
      </w:r>
      <w:r w:rsidR="003F26E0" w:rsidRPr="00FD7F67">
        <w:rPr>
          <w:rFonts w:ascii="Times New Roman" w:eastAsiaTheme="minorEastAsia" w:hAnsi="Times New Roman" w:cs="Times New Roman"/>
          <w:bCs/>
          <w:lang w:eastAsia="pl-PL"/>
        </w:rPr>
        <w:t xml:space="preserve">dotycząca </w:t>
      </w:r>
      <w:r w:rsidRPr="00FD7F67">
        <w:rPr>
          <w:rFonts w:ascii="Times New Roman" w:eastAsiaTheme="minorEastAsia" w:hAnsi="Times New Roman" w:cs="Times New Roman"/>
          <w:bCs/>
          <w:lang w:eastAsia="pl-PL"/>
        </w:rPr>
        <w:t>wymiaru czasu pracy lub liczby godzin pracy w danym okresie, w połączeniu  z</w:t>
      </w:r>
      <w:r w:rsidR="00A006A1" w:rsidRPr="00FD7F67">
        <w:rPr>
          <w:rFonts w:ascii="Times New Roman" w:hAnsi="Times New Roman" w:cs="Times New Roman"/>
        </w:rPr>
        <w:t> </w:t>
      </w:r>
      <w:r w:rsidRPr="00FD7F67">
        <w:rPr>
          <w:rFonts w:ascii="Times New Roman" w:eastAsiaTheme="minorEastAsia" w:hAnsi="Times New Roman" w:cs="Times New Roman"/>
          <w:bCs/>
          <w:lang w:eastAsia="pl-PL"/>
        </w:rPr>
        <w:t>innymi zmiennymi już uwzględnionymi w art. 22 ust. 3 pkt 3, 4 i 5 ustawy pozwoli na określenie w</w:t>
      </w:r>
      <w:r w:rsidR="00A006A1" w:rsidRPr="00FD7F67">
        <w:rPr>
          <w:rFonts w:ascii="Times New Roman" w:eastAsiaTheme="minorEastAsia" w:hAnsi="Times New Roman" w:cs="Times New Roman"/>
          <w:bCs/>
          <w:lang w:eastAsia="pl-PL"/>
        </w:rPr>
        <w:t> </w:t>
      </w:r>
      <w:r w:rsidRPr="00FD7F67">
        <w:rPr>
          <w:rFonts w:ascii="Times New Roman" w:eastAsiaTheme="minorEastAsia" w:hAnsi="Times New Roman" w:cs="Times New Roman"/>
          <w:bCs/>
          <w:lang w:eastAsia="pl-PL"/>
        </w:rPr>
        <w:t xml:space="preserve">jakim stopniu obywatele Ukrainy są włączani w polski rynek pracy, czy jest to praca pełnoetatowa czy tylko w wymiarze kilku godzin, i w jakim stopniu  jest to uzależnione od stanowisk pracy, rodzaju umowy i rodzaju działalności podmiotu dającego zatrudnienie obywatelom Ukrainy. Informacje </w:t>
      </w:r>
      <w:r w:rsidRPr="00FD7F67">
        <w:rPr>
          <w:rFonts w:ascii="Times New Roman" w:eastAsiaTheme="minorEastAsia" w:hAnsi="Times New Roman" w:cs="Times New Roman"/>
          <w:bCs/>
          <w:lang w:eastAsia="pl-PL"/>
        </w:rPr>
        <w:lastRenderedPageBreak/>
        <w:t>o</w:t>
      </w:r>
      <w:r w:rsidR="00A006A1" w:rsidRPr="00FD7F67">
        <w:rPr>
          <w:rFonts w:ascii="Times New Roman" w:eastAsiaTheme="minorEastAsia" w:hAnsi="Times New Roman" w:cs="Times New Roman"/>
          <w:bCs/>
          <w:lang w:eastAsia="pl-PL"/>
        </w:rPr>
        <w:t> </w:t>
      </w:r>
      <w:r w:rsidRPr="00FD7F67">
        <w:rPr>
          <w:rFonts w:ascii="Times New Roman" w:eastAsiaTheme="minorEastAsia" w:hAnsi="Times New Roman" w:cs="Times New Roman"/>
          <w:bCs/>
          <w:lang w:eastAsia="pl-PL"/>
        </w:rPr>
        <w:t>liczbie osób wykonujących pracę na podstawie umowy o pracę i na podstawie umów cywilnoprawnych pozwolą z kolei na określenie aktualnej wielkości podmiotu zatrudniającego osoby z</w:t>
      </w:r>
      <w:r w:rsidR="00A006A1" w:rsidRPr="00FD7F67">
        <w:rPr>
          <w:rFonts w:ascii="Times New Roman" w:eastAsiaTheme="minorEastAsia" w:hAnsi="Times New Roman" w:cs="Times New Roman"/>
          <w:bCs/>
          <w:lang w:eastAsia="pl-PL"/>
        </w:rPr>
        <w:t> </w:t>
      </w:r>
      <w:r w:rsidRPr="00FD7F67">
        <w:rPr>
          <w:rFonts w:ascii="Times New Roman" w:eastAsiaTheme="minorEastAsia" w:hAnsi="Times New Roman" w:cs="Times New Roman"/>
          <w:bCs/>
          <w:lang w:eastAsia="pl-PL"/>
        </w:rPr>
        <w:t>Ukrainy, a analiza tych informacji w czasie, w miarę zatrudniania kolejnych osób przez te same podmioty, pozwoli na ocenę zmian wielkości tych jednostek, szczególnie w kontekście  sytuacji sprzed rozpoczęcia konfliktu zbrojnego w Ukrainie. Pozwoli to też na określenie proporcji w jakiej skali podmioty zatrudniają osoby z Ukrainy, czy jest to sektor MŚP czy duże podmioty.</w:t>
      </w:r>
    </w:p>
    <w:p w14:paraId="7164191E" w14:textId="77777777" w:rsidR="007F30BB" w:rsidRPr="00FD7F67" w:rsidRDefault="00CD6B86" w:rsidP="00730AC9">
      <w:pPr>
        <w:suppressAutoHyphens/>
        <w:autoSpaceDE w:val="0"/>
        <w:autoSpaceDN w:val="0"/>
        <w:adjustRightInd w:val="0"/>
        <w:spacing w:after="120" w:line="276" w:lineRule="auto"/>
        <w:jc w:val="both"/>
        <w:rPr>
          <w:rFonts w:ascii="Times New Roman" w:hAnsi="Times New Roman" w:cs="Times New Roman"/>
        </w:rPr>
      </w:pPr>
      <w:r w:rsidRPr="00FD7F67">
        <w:rPr>
          <w:rFonts w:ascii="Times New Roman" w:hAnsi="Times New Roman" w:cs="Times New Roman"/>
          <w:b/>
          <w:color w:val="000000"/>
        </w:rPr>
        <w:t xml:space="preserve">9. </w:t>
      </w:r>
      <w:r w:rsidR="00A86ECC" w:rsidRPr="00FD7F67">
        <w:rPr>
          <w:rFonts w:ascii="Times New Roman" w:hAnsi="Times New Roman" w:cs="Times New Roman"/>
          <w:b/>
          <w:color w:val="000000"/>
        </w:rPr>
        <w:t>Dodanie</w:t>
      </w:r>
      <w:r w:rsidR="00A86ECC" w:rsidRPr="00FD7F67">
        <w:rPr>
          <w:rFonts w:ascii="Times New Roman" w:hAnsi="Times New Roman" w:cs="Times New Roman"/>
          <w:color w:val="000000"/>
        </w:rPr>
        <w:t xml:space="preserve"> </w:t>
      </w:r>
      <w:r w:rsidR="007F30BB" w:rsidRPr="00FD7F67">
        <w:rPr>
          <w:rFonts w:ascii="Times New Roman" w:hAnsi="Times New Roman" w:cs="Times New Roman"/>
          <w:b/>
          <w:color w:val="000000"/>
        </w:rPr>
        <w:t>art. 22a</w:t>
      </w:r>
      <w:r w:rsidR="007F30BB" w:rsidRPr="00FD7F67">
        <w:rPr>
          <w:rFonts w:ascii="Times New Roman" w:hAnsi="Times New Roman" w:cs="Times New Roman"/>
          <w:color w:val="000000"/>
        </w:rPr>
        <w:t xml:space="preserve"> </w:t>
      </w:r>
      <w:r w:rsidR="007F30BB" w:rsidRPr="00FD7F67">
        <w:rPr>
          <w:rFonts w:ascii="Times New Roman" w:hAnsi="Times New Roman" w:cs="Times New Roman"/>
        </w:rPr>
        <w:t>ma na celu umożliwienie przeprowadzanie szkoleń z języka polskiego dla obywateli Ukrainy wykonujących zawody medyczne (zawody deficytowe). Uprawnionymi do skorzystania będą obywatele Ukrainy, którzy posiadają zgodę na wykonywanie na terytorium R</w:t>
      </w:r>
      <w:r w:rsidR="003F26E0" w:rsidRPr="00FD7F67">
        <w:rPr>
          <w:rFonts w:ascii="Times New Roman" w:hAnsi="Times New Roman" w:cs="Times New Roman"/>
        </w:rPr>
        <w:t xml:space="preserve">zeczypospolitej </w:t>
      </w:r>
      <w:r w:rsidR="007F30BB" w:rsidRPr="00FD7F67">
        <w:rPr>
          <w:rFonts w:ascii="Times New Roman" w:hAnsi="Times New Roman" w:cs="Times New Roman"/>
        </w:rPr>
        <w:t>P</w:t>
      </w:r>
      <w:r w:rsidR="003F26E0" w:rsidRPr="00FD7F67">
        <w:rPr>
          <w:rFonts w:ascii="Times New Roman" w:hAnsi="Times New Roman" w:cs="Times New Roman"/>
        </w:rPr>
        <w:t>olskiej</w:t>
      </w:r>
      <w:r w:rsidR="007F30BB" w:rsidRPr="00FD7F67">
        <w:rPr>
          <w:rFonts w:ascii="Times New Roman" w:hAnsi="Times New Roman" w:cs="Times New Roman"/>
        </w:rPr>
        <w:t xml:space="preserve"> zawodu lekarza, dentysty, pielęgniarki lub położnej. Przyjęte rozwiązanie wychodzi naprzeciw zgłaszanym postulatom wzmocnienia kadry medycznej w RP. Projekt zakłada, że szkolenia będą finansowane z Funduszu Pracy. Przekazywanie środków będzie następowało na wniosek okręgowej izby lekarskiej albo okręgowej izby pielęgniarek i położnych skierowany do ministra właściwego do</w:t>
      </w:r>
      <w:r w:rsidR="00A006A1" w:rsidRPr="00FD7F67">
        <w:rPr>
          <w:rFonts w:ascii="Times New Roman" w:hAnsi="Times New Roman" w:cs="Times New Roman"/>
        </w:rPr>
        <w:t> </w:t>
      </w:r>
      <w:r w:rsidR="007F30BB" w:rsidRPr="00FD7F67">
        <w:rPr>
          <w:rFonts w:ascii="Times New Roman" w:hAnsi="Times New Roman" w:cs="Times New Roman"/>
        </w:rPr>
        <w:t>spraw pracy. Wysokość dofinansowania kosztu szkolenia nie będzie mogła przekraczać kwoty 3000</w:t>
      </w:r>
      <w:r w:rsidR="00A006A1" w:rsidRPr="00FD7F67">
        <w:rPr>
          <w:rFonts w:ascii="Times New Roman" w:hAnsi="Times New Roman" w:cs="Times New Roman"/>
        </w:rPr>
        <w:t> </w:t>
      </w:r>
      <w:r w:rsidR="007F30BB" w:rsidRPr="00FD7F67">
        <w:rPr>
          <w:rFonts w:ascii="Times New Roman" w:hAnsi="Times New Roman" w:cs="Times New Roman"/>
        </w:rPr>
        <w:t>zł dla jednej osoby za jedno szkolenie. W ustawie określono zasady zwrotu niewykorzystanych środków</w:t>
      </w:r>
      <w:r w:rsidR="007F30BB" w:rsidRPr="00FD7F67">
        <w:rPr>
          <w:rFonts w:ascii="Times New Roman" w:eastAsiaTheme="minorEastAsia" w:hAnsi="Times New Roman" w:cs="Times New Roman"/>
          <w:bCs/>
          <w:lang w:eastAsia="pl-PL"/>
        </w:rPr>
        <w:t>.</w:t>
      </w:r>
      <w:r w:rsidR="007F30BB" w:rsidRPr="00FD7F67">
        <w:rPr>
          <w:rFonts w:ascii="Times New Roman" w:hAnsi="Times New Roman" w:cs="Times New Roman"/>
        </w:rPr>
        <w:t xml:space="preserve"> </w:t>
      </w:r>
    </w:p>
    <w:p w14:paraId="2824924E" w14:textId="77777777" w:rsidR="00A41D58" w:rsidRPr="00FD7F67" w:rsidRDefault="00CD6B86" w:rsidP="005863BC">
      <w:pPr>
        <w:suppressAutoHyphens/>
        <w:autoSpaceDE w:val="0"/>
        <w:autoSpaceDN w:val="0"/>
        <w:adjustRightInd w:val="0"/>
        <w:spacing w:after="120" w:line="276" w:lineRule="auto"/>
        <w:jc w:val="both"/>
        <w:rPr>
          <w:rFonts w:ascii="Times New Roman" w:hAnsi="Times New Roman" w:cs="Times New Roman"/>
        </w:rPr>
      </w:pPr>
      <w:r w:rsidRPr="00FD7F67">
        <w:rPr>
          <w:rFonts w:ascii="Times New Roman" w:hAnsi="Times New Roman" w:cs="Times New Roman"/>
          <w:b/>
        </w:rPr>
        <w:t>10</w:t>
      </w:r>
      <w:r w:rsidR="003B03FA" w:rsidRPr="00FD7F67">
        <w:rPr>
          <w:rFonts w:ascii="Times New Roman" w:hAnsi="Times New Roman" w:cs="Times New Roman"/>
          <w:b/>
        </w:rPr>
        <w:t xml:space="preserve">. </w:t>
      </w:r>
      <w:r w:rsidR="00A41D58" w:rsidRPr="00FD7F67">
        <w:rPr>
          <w:rFonts w:ascii="Times New Roman" w:hAnsi="Times New Roman" w:cs="Times New Roman"/>
          <w:b/>
        </w:rPr>
        <w:t>Dodanie</w:t>
      </w:r>
      <w:r w:rsidR="00A41D58" w:rsidRPr="00FD7F67">
        <w:rPr>
          <w:rFonts w:ascii="Times New Roman" w:hAnsi="Times New Roman" w:cs="Times New Roman"/>
        </w:rPr>
        <w:t xml:space="preserve"> </w:t>
      </w:r>
      <w:r w:rsidR="00A006A1" w:rsidRPr="00FD7F67">
        <w:rPr>
          <w:rFonts w:ascii="Times New Roman" w:hAnsi="Times New Roman" w:cs="Times New Roman"/>
          <w:b/>
        </w:rPr>
        <w:t>w art. 25b ust. 1</w:t>
      </w:r>
      <w:r w:rsidR="00A86ECC" w:rsidRPr="00FD7F67">
        <w:rPr>
          <w:rFonts w:ascii="Times New Roman" w:hAnsi="Times New Roman" w:cs="Times New Roman"/>
          <w:b/>
        </w:rPr>
        <w:t xml:space="preserve"> pkt 10</w:t>
      </w:r>
      <w:r w:rsidR="00A86ECC" w:rsidRPr="00FD7F67">
        <w:rPr>
          <w:rFonts w:ascii="Times New Roman" w:hAnsi="Times New Roman" w:cs="Times New Roman"/>
        </w:rPr>
        <w:t xml:space="preserve"> </w:t>
      </w:r>
      <w:r w:rsidR="00A41D58" w:rsidRPr="00FD7F67">
        <w:rPr>
          <w:rStyle w:val="Teksttreci"/>
          <w:rFonts w:ascii="Times New Roman" w:hAnsi="Times New Roman" w:cs="Times New Roman"/>
          <w:sz w:val="22"/>
          <w:szCs w:val="22"/>
        </w:rPr>
        <w:t>umożliwi organom Straży Granicznej uzyskanie dostępu do</w:t>
      </w:r>
      <w:r w:rsidR="00A006A1" w:rsidRPr="00FD7F67">
        <w:rPr>
          <w:rStyle w:val="Teksttreci"/>
          <w:rFonts w:ascii="Times New Roman" w:hAnsi="Times New Roman" w:cs="Times New Roman"/>
          <w:sz w:val="22"/>
          <w:szCs w:val="22"/>
        </w:rPr>
        <w:t> </w:t>
      </w:r>
      <w:r w:rsidR="00A41D58" w:rsidRPr="00FD7F67">
        <w:rPr>
          <w:rStyle w:val="Teksttreci"/>
          <w:rFonts w:ascii="Times New Roman" w:hAnsi="Times New Roman" w:cs="Times New Roman"/>
          <w:sz w:val="22"/>
          <w:szCs w:val="22"/>
        </w:rPr>
        <w:t>„ewidencji małoletnich", o której mowa w art. 25a ustawy. Straż Graniczna w ramach posiadanych uprawnień wynikających z ustawy z dnia 12 października 1990 r. o Straży Granicznej (Dz. U. z 2021</w:t>
      </w:r>
      <w:r w:rsidR="00A006A1" w:rsidRPr="00FD7F67">
        <w:rPr>
          <w:rStyle w:val="Teksttreci"/>
          <w:rFonts w:ascii="Times New Roman" w:hAnsi="Times New Roman" w:cs="Times New Roman"/>
          <w:sz w:val="22"/>
          <w:szCs w:val="22"/>
        </w:rPr>
        <w:t xml:space="preserve"> r. </w:t>
      </w:r>
      <w:r w:rsidR="00A41D58" w:rsidRPr="00FD7F67">
        <w:rPr>
          <w:rStyle w:val="Teksttreci"/>
          <w:rFonts w:ascii="Times New Roman" w:hAnsi="Times New Roman" w:cs="Times New Roman"/>
          <w:sz w:val="22"/>
          <w:szCs w:val="22"/>
        </w:rPr>
        <w:t xml:space="preserve"> poz. 1486, z późn. zm.) prowadzi szereg czynności wobec małoletnich cudzoziemców, mających na</w:t>
      </w:r>
      <w:r w:rsidR="005863BC" w:rsidRPr="00FD7F67">
        <w:rPr>
          <w:rStyle w:val="Teksttreci"/>
          <w:rFonts w:ascii="Times New Roman" w:hAnsi="Times New Roman" w:cs="Times New Roman"/>
          <w:sz w:val="22"/>
          <w:szCs w:val="22"/>
        </w:rPr>
        <w:t> </w:t>
      </w:r>
      <w:r w:rsidR="00A41D58" w:rsidRPr="00FD7F67">
        <w:rPr>
          <w:rStyle w:val="Teksttreci"/>
          <w:rFonts w:ascii="Times New Roman" w:hAnsi="Times New Roman" w:cs="Times New Roman"/>
          <w:sz w:val="22"/>
          <w:szCs w:val="22"/>
        </w:rPr>
        <w:t>celu m.in. zapobieganie i przeciwdziałanie nielegalnej migracji. Dostęp do przedmiotowej ewidencji umożliwi Straży Granicznej sprawne i skuteczne wykonywanie zadań wobec małoletnich cudzoziemców, a także pozwoli na skrócenie czasu trwania podejmowanych czynności kontrolno-weryfikacyjnych co przełoży się na minimalizację okresu, w jakim małoletni pozostaje w dyspozycji organu.</w:t>
      </w:r>
    </w:p>
    <w:p w14:paraId="1E0D7E4C" w14:textId="77777777" w:rsidR="0002349F" w:rsidRPr="00FD7F67" w:rsidRDefault="00CD6B86" w:rsidP="005863BC">
      <w:pPr>
        <w:suppressAutoHyphens/>
        <w:autoSpaceDE w:val="0"/>
        <w:autoSpaceDN w:val="0"/>
        <w:adjustRightInd w:val="0"/>
        <w:spacing w:after="120" w:line="276" w:lineRule="auto"/>
        <w:jc w:val="both"/>
        <w:rPr>
          <w:rFonts w:ascii="Times New Roman" w:eastAsia="Arial" w:hAnsi="Times New Roman" w:cs="Times New Roman"/>
          <w:shd w:val="clear" w:color="auto" w:fill="FFFFFF"/>
        </w:rPr>
      </w:pPr>
      <w:r w:rsidRPr="00FD7F67">
        <w:rPr>
          <w:rFonts w:ascii="Times New Roman" w:hAnsi="Times New Roman" w:cs="Times New Roman"/>
          <w:b/>
        </w:rPr>
        <w:t>11</w:t>
      </w:r>
      <w:r w:rsidR="003B03FA" w:rsidRPr="00FD7F67">
        <w:rPr>
          <w:rFonts w:ascii="Times New Roman" w:hAnsi="Times New Roman" w:cs="Times New Roman"/>
          <w:b/>
        </w:rPr>
        <w:t xml:space="preserve">. </w:t>
      </w:r>
      <w:r w:rsidR="001C59E5" w:rsidRPr="00FD7F67">
        <w:rPr>
          <w:rFonts w:ascii="Times New Roman" w:hAnsi="Times New Roman" w:cs="Times New Roman"/>
          <w:b/>
        </w:rPr>
        <w:t>Dodanie</w:t>
      </w:r>
      <w:r w:rsidR="001C59E5" w:rsidRPr="00FD7F67">
        <w:rPr>
          <w:rFonts w:ascii="Times New Roman" w:hAnsi="Times New Roman" w:cs="Times New Roman"/>
        </w:rPr>
        <w:t xml:space="preserve"> </w:t>
      </w:r>
      <w:r w:rsidR="001C59E5" w:rsidRPr="00FD7F67">
        <w:rPr>
          <w:rFonts w:ascii="Times New Roman" w:hAnsi="Times New Roman" w:cs="Times New Roman"/>
          <w:b/>
        </w:rPr>
        <w:t>w art. 26</w:t>
      </w:r>
      <w:r w:rsidR="005C4D93" w:rsidRPr="00FD7F67">
        <w:rPr>
          <w:rFonts w:ascii="Times New Roman" w:hAnsi="Times New Roman" w:cs="Times New Roman"/>
          <w:b/>
        </w:rPr>
        <w:t xml:space="preserve"> </w:t>
      </w:r>
      <w:r w:rsidR="003B03FA" w:rsidRPr="00FD7F67">
        <w:rPr>
          <w:rFonts w:ascii="Times New Roman" w:hAnsi="Times New Roman" w:cs="Times New Roman"/>
          <w:b/>
        </w:rPr>
        <w:t>ust. 2a</w:t>
      </w:r>
      <w:r w:rsidR="001C59E5" w:rsidRPr="00FD7F67">
        <w:rPr>
          <w:rFonts w:ascii="Times New Roman" w:hAnsi="Times New Roman" w:cs="Times New Roman"/>
          <w:b/>
        </w:rPr>
        <w:t xml:space="preserve"> </w:t>
      </w:r>
      <w:r w:rsidR="001C59E5" w:rsidRPr="00FD7F67">
        <w:rPr>
          <w:rFonts w:ascii="Times New Roman" w:hAnsi="Times New Roman" w:cs="Times New Roman"/>
        </w:rPr>
        <w:t xml:space="preserve">wynika z konieczności </w:t>
      </w:r>
      <w:r w:rsidR="001C59E5" w:rsidRPr="00FD7F67">
        <w:rPr>
          <w:rStyle w:val="Teksttreci"/>
          <w:rFonts w:ascii="Times New Roman" w:hAnsi="Times New Roman" w:cs="Times New Roman"/>
          <w:bCs/>
          <w:sz w:val="22"/>
          <w:szCs w:val="22"/>
        </w:rPr>
        <w:t xml:space="preserve">poniesienia </w:t>
      </w:r>
      <w:r w:rsidR="0002349F" w:rsidRPr="00FD7F67">
        <w:rPr>
          <w:rStyle w:val="Teksttreci"/>
          <w:rFonts w:ascii="Times New Roman" w:hAnsi="Times New Roman" w:cs="Times New Roman"/>
          <w:bCs/>
          <w:sz w:val="22"/>
          <w:szCs w:val="22"/>
        </w:rPr>
        <w:t xml:space="preserve">przez </w:t>
      </w:r>
      <w:r w:rsidR="005C4D93" w:rsidRPr="00FD7F67">
        <w:rPr>
          <w:rStyle w:val="Teksttreci"/>
          <w:rFonts w:ascii="Times New Roman" w:hAnsi="Times New Roman" w:cs="Times New Roman"/>
          <w:bCs/>
          <w:sz w:val="22"/>
          <w:szCs w:val="22"/>
        </w:rPr>
        <w:t xml:space="preserve">Zakład </w:t>
      </w:r>
      <w:r w:rsidR="0002349F" w:rsidRPr="00FD7F67">
        <w:rPr>
          <w:rStyle w:val="Teksttreci"/>
          <w:rFonts w:ascii="Times New Roman" w:hAnsi="Times New Roman" w:cs="Times New Roman"/>
          <w:bCs/>
          <w:sz w:val="22"/>
          <w:szCs w:val="22"/>
        </w:rPr>
        <w:t>U</w:t>
      </w:r>
      <w:r w:rsidR="005C4D93" w:rsidRPr="00FD7F67">
        <w:rPr>
          <w:rStyle w:val="Teksttreci"/>
          <w:rFonts w:ascii="Times New Roman" w:hAnsi="Times New Roman" w:cs="Times New Roman"/>
          <w:bCs/>
          <w:sz w:val="22"/>
          <w:szCs w:val="22"/>
        </w:rPr>
        <w:t xml:space="preserve">bezpieczeń </w:t>
      </w:r>
      <w:r w:rsidR="0002349F" w:rsidRPr="00FD7F67">
        <w:rPr>
          <w:rStyle w:val="Teksttreci"/>
          <w:rFonts w:ascii="Times New Roman" w:hAnsi="Times New Roman" w:cs="Times New Roman"/>
          <w:bCs/>
          <w:sz w:val="22"/>
          <w:szCs w:val="22"/>
        </w:rPr>
        <w:t>S</w:t>
      </w:r>
      <w:r w:rsidR="005C4D93" w:rsidRPr="00FD7F67">
        <w:rPr>
          <w:rStyle w:val="Teksttreci"/>
          <w:rFonts w:ascii="Times New Roman" w:hAnsi="Times New Roman" w:cs="Times New Roman"/>
          <w:bCs/>
          <w:sz w:val="22"/>
          <w:szCs w:val="22"/>
        </w:rPr>
        <w:t>połecznych</w:t>
      </w:r>
      <w:r w:rsidR="0002349F" w:rsidRPr="00FD7F67">
        <w:rPr>
          <w:rStyle w:val="Teksttreci"/>
          <w:rFonts w:ascii="Times New Roman" w:hAnsi="Times New Roman" w:cs="Times New Roman"/>
          <w:bCs/>
          <w:sz w:val="22"/>
          <w:szCs w:val="22"/>
        </w:rPr>
        <w:t xml:space="preserve"> </w:t>
      </w:r>
      <w:r w:rsidR="001C59E5" w:rsidRPr="00FD7F67">
        <w:rPr>
          <w:rStyle w:val="Teksttreci"/>
          <w:rFonts w:ascii="Times New Roman" w:hAnsi="Times New Roman" w:cs="Times New Roman"/>
          <w:bCs/>
          <w:sz w:val="22"/>
          <w:szCs w:val="22"/>
        </w:rPr>
        <w:t xml:space="preserve">szeregu dodatkowych wydatków, w tym zwłaszcza wynikających m. in. </w:t>
      </w:r>
      <w:r w:rsidR="0002349F" w:rsidRPr="00FD7F67">
        <w:rPr>
          <w:rStyle w:val="Teksttreci"/>
          <w:rFonts w:ascii="Times New Roman" w:hAnsi="Times New Roman" w:cs="Times New Roman"/>
          <w:bCs/>
          <w:sz w:val="22"/>
          <w:szCs w:val="22"/>
        </w:rPr>
        <w:t xml:space="preserve">z </w:t>
      </w:r>
      <w:r w:rsidR="001C59E5" w:rsidRPr="00FD7F67">
        <w:rPr>
          <w:rStyle w:val="Teksttreci"/>
          <w:rFonts w:ascii="Times New Roman" w:hAnsi="Times New Roman" w:cs="Times New Roman"/>
          <w:bCs/>
          <w:sz w:val="22"/>
          <w:szCs w:val="22"/>
        </w:rPr>
        <w:t>niezwłocznej modyfikacji i</w:t>
      </w:r>
      <w:r w:rsidR="003B03FA" w:rsidRPr="00FD7F67">
        <w:rPr>
          <w:rStyle w:val="Teksttreci"/>
          <w:rFonts w:ascii="Times New Roman" w:hAnsi="Times New Roman" w:cs="Times New Roman"/>
          <w:bCs/>
          <w:sz w:val="22"/>
          <w:szCs w:val="22"/>
        </w:rPr>
        <w:t> </w:t>
      </w:r>
      <w:r w:rsidR="001C59E5" w:rsidRPr="00FD7F67">
        <w:rPr>
          <w:rStyle w:val="Teksttreci"/>
          <w:rFonts w:ascii="Times New Roman" w:hAnsi="Times New Roman" w:cs="Times New Roman"/>
          <w:bCs/>
          <w:sz w:val="22"/>
          <w:szCs w:val="22"/>
        </w:rPr>
        <w:t>dostosowania systemu KSI ZUS i Portalu PUE, zakupu licencji i poniesienia zwięks</w:t>
      </w:r>
      <w:r w:rsidR="0002349F" w:rsidRPr="00FD7F67">
        <w:rPr>
          <w:rStyle w:val="Teksttreci"/>
          <w:rFonts w:ascii="Times New Roman" w:hAnsi="Times New Roman" w:cs="Times New Roman"/>
          <w:bCs/>
          <w:sz w:val="22"/>
          <w:szCs w:val="22"/>
        </w:rPr>
        <w:t>zonych kosztów usług wsparcia i </w:t>
      </w:r>
      <w:r w:rsidR="001C59E5" w:rsidRPr="00FD7F67">
        <w:rPr>
          <w:rStyle w:val="Teksttreci"/>
          <w:rFonts w:ascii="Times New Roman" w:hAnsi="Times New Roman" w:cs="Times New Roman"/>
          <w:bCs/>
          <w:sz w:val="22"/>
          <w:szCs w:val="22"/>
        </w:rPr>
        <w:t>eksploatacji tych systemów oraz zakupu dodatkowego sprzętu komputerowego i</w:t>
      </w:r>
      <w:r w:rsidR="003B03FA" w:rsidRPr="00FD7F67">
        <w:rPr>
          <w:rStyle w:val="Teksttreci"/>
          <w:rFonts w:ascii="Times New Roman" w:hAnsi="Times New Roman" w:cs="Times New Roman"/>
          <w:bCs/>
          <w:sz w:val="22"/>
          <w:szCs w:val="22"/>
        </w:rPr>
        <w:t> </w:t>
      </w:r>
      <w:r w:rsidR="001C59E5" w:rsidRPr="00FD7F67">
        <w:rPr>
          <w:rStyle w:val="Teksttreci"/>
          <w:rFonts w:ascii="Times New Roman" w:hAnsi="Times New Roman" w:cs="Times New Roman"/>
          <w:bCs/>
          <w:sz w:val="22"/>
          <w:szCs w:val="22"/>
        </w:rPr>
        <w:t xml:space="preserve">materiałów. Koniecznym jest także poniesienie kosztów związanych z zapewnieniem odpowiedniej liczby tłumaczy języka ukraińskiego, utworzeniem i bieżącą obsługą infolinii oraz druku materiałów informacyjnych oraz innych publikacji. Ponadto, biorąc pod uwagę zasadność zapewnienia uprawnionym możliwości załatwienia spraw w ZUS nie tylko w siedzibach poszczególnych terenowych jednostek organizacyjnych Zakładu, ale także zdalnie lub w miejscach, w których prowadzona jest przez administrację rządową oraz samorządową różnego rodzaju aktywność, mająca na celu zapewnianie realizacji ustawy, organizowane są mobilne punkty obsługi, co wiąże się z potrzebą wynajmu powierzchni oraz zapewnieniem dodatkowych środków technicznych (np. internet mobilny do obsługi e-wizyt). </w:t>
      </w:r>
      <w:r w:rsidR="005C4D93" w:rsidRPr="00FD7F67">
        <w:rPr>
          <w:rStyle w:val="Teksttreci"/>
          <w:rFonts w:ascii="Times New Roman" w:hAnsi="Times New Roman" w:cs="Times New Roman"/>
          <w:bCs/>
          <w:sz w:val="22"/>
          <w:szCs w:val="22"/>
        </w:rPr>
        <w:t>R</w:t>
      </w:r>
      <w:r w:rsidR="001C59E5" w:rsidRPr="00FD7F67">
        <w:rPr>
          <w:rStyle w:val="Teksttreci"/>
          <w:rFonts w:ascii="Times New Roman" w:hAnsi="Times New Roman" w:cs="Times New Roman"/>
          <w:bCs/>
          <w:sz w:val="22"/>
          <w:szCs w:val="22"/>
        </w:rPr>
        <w:t>ealizacja świadczeń wiązać się będzie także z kosztem związanym z przekazywaniem środków finansowych do ich beneficjentów (przelewy bankowe).</w:t>
      </w:r>
      <w:r w:rsidR="0002349F" w:rsidRPr="00FD7F67">
        <w:rPr>
          <w:rStyle w:val="Teksttreci"/>
          <w:rFonts w:ascii="Times New Roman" w:hAnsi="Times New Roman" w:cs="Times New Roman"/>
          <w:bCs/>
          <w:sz w:val="22"/>
          <w:szCs w:val="22"/>
        </w:rPr>
        <w:t xml:space="preserve"> </w:t>
      </w:r>
      <w:r w:rsidR="0002349F" w:rsidRPr="00FD7F67">
        <w:rPr>
          <w:rStyle w:val="Teksttreci"/>
          <w:rFonts w:ascii="Times New Roman" w:hAnsi="Times New Roman" w:cs="Times New Roman"/>
          <w:sz w:val="22"/>
          <w:szCs w:val="22"/>
        </w:rPr>
        <w:t>Realizacja ustawy wiąże się również z poniesieniem dodatkowych, nieprzewidzianych kosztów związanych z wynagrodzeniem pracowników ZUS zarówno bezpośrednio zaangażowanych w obsługę przyznawania i wypłaty świadczeń uprawnionym obywatelom Ukrainy, jak i zapewniającym obsługę klienta w siedzibach jednostek ZUS, punktach mobilnych i w formie e-wizyt, jak również tych, którzy pracują na</w:t>
      </w:r>
      <w:r w:rsidR="00804511" w:rsidRPr="00FD7F67">
        <w:rPr>
          <w:rStyle w:val="Teksttreci"/>
          <w:rFonts w:ascii="Times New Roman" w:hAnsi="Times New Roman" w:cs="Times New Roman"/>
          <w:sz w:val="22"/>
          <w:szCs w:val="22"/>
        </w:rPr>
        <w:t> </w:t>
      </w:r>
      <w:r w:rsidR="0002349F" w:rsidRPr="00FD7F67">
        <w:rPr>
          <w:rStyle w:val="Teksttreci"/>
          <w:rFonts w:ascii="Times New Roman" w:hAnsi="Times New Roman" w:cs="Times New Roman"/>
          <w:sz w:val="22"/>
          <w:szCs w:val="22"/>
        </w:rPr>
        <w:t xml:space="preserve">stanowiskach wsparcia </w:t>
      </w:r>
      <w:r w:rsidR="005C4D93" w:rsidRPr="00FD7F67">
        <w:rPr>
          <w:rStyle w:val="Teksttreci"/>
          <w:rFonts w:ascii="Times New Roman" w:hAnsi="Times New Roman" w:cs="Times New Roman"/>
          <w:sz w:val="22"/>
          <w:szCs w:val="22"/>
        </w:rPr>
        <w:t>–</w:t>
      </w:r>
      <w:r w:rsidR="0002349F" w:rsidRPr="00FD7F67">
        <w:rPr>
          <w:rStyle w:val="Teksttreci"/>
          <w:rFonts w:ascii="Times New Roman" w:hAnsi="Times New Roman" w:cs="Times New Roman"/>
          <w:sz w:val="22"/>
          <w:szCs w:val="22"/>
        </w:rPr>
        <w:t xml:space="preserve"> bez których obsługa obywateli Ukrainy nie mogłaby zostać przez Zakład zapewniona. Pracownicy Zakładu Ubezpieczeń Społecznych, obok realizacji zadań już powierzonych, będą zaangażowani w zapewnienie realizacji ustawy krótkiej perspektywie czasu, mając na uwadze, że</w:t>
      </w:r>
      <w:r w:rsidR="00804511" w:rsidRPr="00FD7F67">
        <w:rPr>
          <w:rStyle w:val="Teksttreci"/>
          <w:rFonts w:ascii="Times New Roman" w:hAnsi="Times New Roman" w:cs="Times New Roman"/>
          <w:sz w:val="22"/>
          <w:szCs w:val="22"/>
        </w:rPr>
        <w:t> </w:t>
      </w:r>
      <w:r w:rsidR="0002349F" w:rsidRPr="00FD7F67">
        <w:rPr>
          <w:rStyle w:val="Teksttreci"/>
          <w:rFonts w:ascii="Times New Roman" w:hAnsi="Times New Roman" w:cs="Times New Roman"/>
          <w:sz w:val="22"/>
          <w:szCs w:val="22"/>
        </w:rPr>
        <w:t>dla każdego z uprawnionych obywateli Ukrainy jest jak najszybsze uzyskanie prawa do świadczeń, wskazanych w art. 26 ust. 1 pkt 2-5 ustawy pomocowej.</w:t>
      </w:r>
    </w:p>
    <w:p w14:paraId="06B2F9C9" w14:textId="77777777" w:rsidR="007F30BB" w:rsidRPr="00FD7F67" w:rsidRDefault="003B03FA" w:rsidP="002556CF">
      <w:pPr>
        <w:pStyle w:val="NIEARTTEKSTtekstnieartykuowanynppodstprawnarozplubpreambua"/>
        <w:spacing w:before="0" w:line="276" w:lineRule="auto"/>
        <w:ind w:firstLine="0"/>
        <w:rPr>
          <w:rFonts w:ascii="Times New Roman" w:hAnsi="Times New Roman" w:cs="Times New Roman"/>
          <w:sz w:val="22"/>
          <w:szCs w:val="22"/>
        </w:rPr>
      </w:pPr>
      <w:r w:rsidRPr="00FD7F67">
        <w:rPr>
          <w:rFonts w:ascii="Times New Roman" w:hAnsi="Times New Roman" w:cs="Times New Roman"/>
          <w:b/>
          <w:sz w:val="22"/>
          <w:szCs w:val="22"/>
        </w:rPr>
        <w:lastRenderedPageBreak/>
        <w:t>1</w:t>
      </w:r>
      <w:r w:rsidR="00CD6B86" w:rsidRPr="00FD7F67">
        <w:rPr>
          <w:rFonts w:ascii="Times New Roman" w:hAnsi="Times New Roman" w:cs="Times New Roman"/>
          <w:b/>
          <w:sz w:val="22"/>
          <w:szCs w:val="22"/>
        </w:rPr>
        <w:t>2</w:t>
      </w:r>
      <w:r w:rsidRPr="00FD7F67">
        <w:rPr>
          <w:rFonts w:ascii="Times New Roman" w:hAnsi="Times New Roman" w:cs="Times New Roman"/>
          <w:b/>
          <w:sz w:val="22"/>
          <w:szCs w:val="22"/>
        </w:rPr>
        <w:t xml:space="preserve">. </w:t>
      </w:r>
      <w:r w:rsidR="007F30BB" w:rsidRPr="00FD7F67">
        <w:rPr>
          <w:rFonts w:ascii="Times New Roman" w:hAnsi="Times New Roman" w:cs="Times New Roman"/>
          <w:b/>
          <w:sz w:val="22"/>
          <w:szCs w:val="22"/>
        </w:rPr>
        <w:t>Do</w:t>
      </w:r>
      <w:r w:rsidR="00EE4BE2" w:rsidRPr="00FD7F67">
        <w:rPr>
          <w:rFonts w:ascii="Times New Roman" w:hAnsi="Times New Roman" w:cs="Times New Roman"/>
          <w:b/>
          <w:sz w:val="22"/>
          <w:szCs w:val="22"/>
        </w:rPr>
        <w:t>danie w</w:t>
      </w:r>
      <w:r w:rsidR="00EE4BE2" w:rsidRPr="00FD7F67">
        <w:rPr>
          <w:rFonts w:ascii="Times New Roman" w:hAnsi="Times New Roman" w:cs="Times New Roman"/>
          <w:sz w:val="22"/>
          <w:szCs w:val="22"/>
        </w:rPr>
        <w:t xml:space="preserve"> </w:t>
      </w:r>
      <w:r w:rsidR="007F30BB" w:rsidRPr="00FD7F67">
        <w:rPr>
          <w:rFonts w:ascii="Times New Roman" w:hAnsi="Times New Roman" w:cs="Times New Roman"/>
          <w:b/>
          <w:sz w:val="22"/>
          <w:szCs w:val="22"/>
        </w:rPr>
        <w:t>art. 26 ust. 3a</w:t>
      </w:r>
      <w:r w:rsidR="00A86ECC" w:rsidRPr="00FD7F67">
        <w:rPr>
          <w:rFonts w:ascii="Times New Roman" w:hAnsi="Times New Roman" w:cs="Times New Roman"/>
          <w:b/>
          <w:sz w:val="22"/>
          <w:szCs w:val="22"/>
        </w:rPr>
        <w:t>-3f</w:t>
      </w:r>
      <w:r w:rsidR="007F30BB" w:rsidRPr="00FD7F67">
        <w:rPr>
          <w:rFonts w:ascii="Times New Roman" w:hAnsi="Times New Roman" w:cs="Times New Roman"/>
          <w:sz w:val="22"/>
          <w:szCs w:val="22"/>
        </w:rPr>
        <w:t xml:space="preserve"> – zgodnie z art. 11 ust. 2 ustawy, wyjazd obywatela Ukrainy z</w:t>
      </w:r>
      <w:r w:rsidR="002556CF" w:rsidRPr="00FD7F67">
        <w:rPr>
          <w:rFonts w:ascii="Times New Roman" w:hAnsi="Times New Roman" w:cs="Times New Roman"/>
          <w:sz w:val="22"/>
          <w:szCs w:val="22"/>
        </w:rPr>
        <w:t> </w:t>
      </w:r>
      <w:r w:rsidR="007F30BB" w:rsidRPr="00FD7F67">
        <w:rPr>
          <w:rFonts w:ascii="Times New Roman" w:hAnsi="Times New Roman" w:cs="Times New Roman"/>
          <w:sz w:val="22"/>
          <w:szCs w:val="22"/>
        </w:rPr>
        <w:t xml:space="preserve">terytorium Rzeczypospolitej Polskiej na okres powyżej 1 miesiąca pozbawia </w:t>
      </w:r>
      <w:r w:rsidR="00BE48B9" w:rsidRPr="00FD7F67">
        <w:rPr>
          <w:rFonts w:ascii="Times New Roman" w:hAnsi="Times New Roman" w:cs="Times New Roman"/>
          <w:sz w:val="22"/>
          <w:szCs w:val="22"/>
        </w:rPr>
        <w:t>go uprawnienia, o którym mowa w </w:t>
      </w:r>
      <w:r w:rsidR="007F30BB" w:rsidRPr="00FD7F67">
        <w:rPr>
          <w:rFonts w:ascii="Times New Roman" w:hAnsi="Times New Roman" w:cs="Times New Roman"/>
          <w:sz w:val="22"/>
          <w:szCs w:val="22"/>
        </w:rPr>
        <w:t>art. 2 ust. 1.</w:t>
      </w:r>
      <w:r w:rsidR="00A86ECC" w:rsidRPr="00FD7F67">
        <w:rPr>
          <w:rFonts w:ascii="Times New Roman" w:hAnsi="Times New Roman" w:cs="Times New Roman"/>
          <w:sz w:val="22"/>
          <w:szCs w:val="22"/>
        </w:rPr>
        <w:t xml:space="preserve"> </w:t>
      </w:r>
      <w:r w:rsidR="007F30BB" w:rsidRPr="00FD7F67">
        <w:rPr>
          <w:rFonts w:ascii="Times New Roman" w:hAnsi="Times New Roman" w:cs="Times New Roman"/>
          <w:sz w:val="22"/>
          <w:szCs w:val="22"/>
        </w:rPr>
        <w:t xml:space="preserve">Zakład Ubezpieczeń Społecznych </w:t>
      </w:r>
      <w:r w:rsidR="00895406" w:rsidRPr="00FD7F67">
        <w:rPr>
          <w:rFonts w:ascii="Times New Roman" w:hAnsi="Times New Roman" w:cs="Times New Roman"/>
          <w:sz w:val="22"/>
          <w:szCs w:val="22"/>
        </w:rPr>
        <w:t xml:space="preserve">oraz </w:t>
      </w:r>
      <w:r w:rsidR="007F30BB" w:rsidRPr="00FD7F67">
        <w:rPr>
          <w:rFonts w:ascii="Times New Roman" w:hAnsi="Times New Roman" w:cs="Times New Roman"/>
          <w:sz w:val="22"/>
          <w:szCs w:val="22"/>
        </w:rPr>
        <w:t>gminne organy właściwe realizuj</w:t>
      </w:r>
      <w:r w:rsidR="00BE48B9" w:rsidRPr="00FD7F67">
        <w:rPr>
          <w:rFonts w:ascii="Times New Roman" w:hAnsi="Times New Roman" w:cs="Times New Roman"/>
          <w:sz w:val="22"/>
          <w:szCs w:val="22"/>
        </w:rPr>
        <w:t>ące świadczenia</w:t>
      </w:r>
      <w:r w:rsidR="00895406" w:rsidRPr="00FD7F67">
        <w:rPr>
          <w:rFonts w:ascii="Times New Roman" w:hAnsi="Times New Roman" w:cs="Times New Roman"/>
          <w:sz w:val="22"/>
          <w:szCs w:val="22"/>
        </w:rPr>
        <w:t xml:space="preserve">, o których mowa </w:t>
      </w:r>
      <w:r w:rsidR="00BE48B9" w:rsidRPr="00FD7F67">
        <w:rPr>
          <w:rFonts w:ascii="Times New Roman" w:hAnsi="Times New Roman" w:cs="Times New Roman"/>
          <w:sz w:val="22"/>
          <w:szCs w:val="22"/>
        </w:rPr>
        <w:t>w art. </w:t>
      </w:r>
      <w:r w:rsidR="007F30BB" w:rsidRPr="00FD7F67">
        <w:rPr>
          <w:rFonts w:ascii="Times New Roman" w:hAnsi="Times New Roman" w:cs="Times New Roman"/>
          <w:sz w:val="22"/>
          <w:szCs w:val="22"/>
        </w:rPr>
        <w:t xml:space="preserve">26 ust. 1 ustawy, nie są uprawnione do dokonywania rozstrzygnięć o utracie przez obywatela Ukrainy prawa do legalnego pobytu w </w:t>
      </w:r>
      <w:r w:rsidR="00895406" w:rsidRPr="00FD7F67">
        <w:rPr>
          <w:rFonts w:ascii="Times New Roman" w:hAnsi="Times New Roman" w:cs="Times New Roman"/>
          <w:sz w:val="22"/>
          <w:szCs w:val="22"/>
        </w:rPr>
        <w:t xml:space="preserve">Rzeczypospolitej Polskiej </w:t>
      </w:r>
      <w:r w:rsidR="007F30BB" w:rsidRPr="00FD7F67">
        <w:rPr>
          <w:rFonts w:ascii="Times New Roman" w:hAnsi="Times New Roman" w:cs="Times New Roman"/>
          <w:sz w:val="22"/>
          <w:szCs w:val="22"/>
        </w:rPr>
        <w:t>z powodu wyjazdu na okres powyżej 1 miesiąca. Jest to kompetencja Komendanta Główny Straży Granicznej</w:t>
      </w:r>
      <w:r w:rsidR="002556CF" w:rsidRPr="00FD7F67">
        <w:rPr>
          <w:rFonts w:ascii="Times New Roman" w:hAnsi="Times New Roman" w:cs="Times New Roman"/>
          <w:sz w:val="22"/>
          <w:szCs w:val="22"/>
          <w:u w:val="single"/>
        </w:rPr>
        <w:t>,</w:t>
      </w:r>
      <w:r w:rsidR="007F30BB" w:rsidRPr="00FD7F67">
        <w:rPr>
          <w:rFonts w:ascii="Times New Roman" w:hAnsi="Times New Roman" w:cs="Times New Roman"/>
          <w:sz w:val="22"/>
          <w:szCs w:val="22"/>
        </w:rPr>
        <w:t xml:space="preserve"> w</w:t>
      </w:r>
      <w:r w:rsidR="002556CF" w:rsidRPr="00FD7F67">
        <w:rPr>
          <w:rFonts w:ascii="Times New Roman" w:hAnsi="Times New Roman" w:cs="Times New Roman"/>
          <w:sz w:val="22"/>
          <w:szCs w:val="22"/>
        </w:rPr>
        <w:t> </w:t>
      </w:r>
      <w:r w:rsidR="007F30BB" w:rsidRPr="00FD7F67">
        <w:rPr>
          <w:rFonts w:ascii="Times New Roman" w:hAnsi="Times New Roman" w:cs="Times New Roman"/>
          <w:sz w:val="22"/>
          <w:szCs w:val="22"/>
        </w:rPr>
        <w:t xml:space="preserve">którego dyspozycji pozostają właściwe służby oraz rejestry obejmujące legalizacje pobytu cudzoziemców w </w:t>
      </w:r>
      <w:r w:rsidR="00895406" w:rsidRPr="00FD7F67">
        <w:rPr>
          <w:rFonts w:ascii="Times New Roman" w:hAnsi="Times New Roman" w:cs="Times New Roman"/>
          <w:sz w:val="22"/>
          <w:szCs w:val="22"/>
        </w:rPr>
        <w:t>Rzeczypospolitej Polskiej</w:t>
      </w:r>
      <w:r w:rsidR="007F30BB" w:rsidRPr="00FD7F67">
        <w:rPr>
          <w:rFonts w:ascii="Times New Roman" w:hAnsi="Times New Roman" w:cs="Times New Roman"/>
          <w:sz w:val="22"/>
          <w:szCs w:val="22"/>
        </w:rPr>
        <w:t>.</w:t>
      </w:r>
      <w:r w:rsidR="00895406" w:rsidRPr="00FD7F67">
        <w:rPr>
          <w:rFonts w:ascii="Times New Roman" w:hAnsi="Times New Roman" w:cs="Times New Roman"/>
          <w:sz w:val="22"/>
          <w:szCs w:val="22"/>
        </w:rPr>
        <w:t xml:space="preserve"> </w:t>
      </w:r>
      <w:r w:rsidR="007F30BB" w:rsidRPr="00FD7F67">
        <w:rPr>
          <w:rFonts w:ascii="Times New Roman" w:hAnsi="Times New Roman" w:cs="Times New Roman"/>
          <w:sz w:val="22"/>
          <w:szCs w:val="22"/>
        </w:rPr>
        <w:t xml:space="preserve">W związku z powyższym </w:t>
      </w:r>
      <w:r w:rsidR="00BF3877" w:rsidRPr="00FD7F67">
        <w:rPr>
          <w:rFonts w:ascii="Times New Roman" w:hAnsi="Times New Roman" w:cs="Times New Roman"/>
          <w:sz w:val="22"/>
          <w:szCs w:val="22"/>
        </w:rPr>
        <w:t xml:space="preserve">wskazane jest, </w:t>
      </w:r>
      <w:r w:rsidR="007F30BB" w:rsidRPr="00FD7F67">
        <w:rPr>
          <w:rFonts w:ascii="Times New Roman" w:hAnsi="Times New Roman" w:cs="Times New Roman"/>
          <w:sz w:val="22"/>
          <w:szCs w:val="22"/>
        </w:rPr>
        <w:t xml:space="preserve"> </w:t>
      </w:r>
      <w:r w:rsidR="00BF3877" w:rsidRPr="00FD7F67">
        <w:rPr>
          <w:rFonts w:ascii="Times New Roman" w:hAnsi="Times New Roman" w:cs="Times New Roman"/>
          <w:sz w:val="22"/>
          <w:szCs w:val="22"/>
        </w:rPr>
        <w:t xml:space="preserve">aby </w:t>
      </w:r>
      <w:r w:rsidR="007F30BB" w:rsidRPr="00FD7F67">
        <w:rPr>
          <w:rFonts w:ascii="Times New Roman" w:hAnsi="Times New Roman" w:cs="Times New Roman"/>
          <w:sz w:val="22"/>
          <w:szCs w:val="22"/>
        </w:rPr>
        <w:t xml:space="preserve">ZUS </w:t>
      </w:r>
      <w:r w:rsidR="00BF3877" w:rsidRPr="00FD7F67">
        <w:rPr>
          <w:rFonts w:ascii="Times New Roman" w:hAnsi="Times New Roman" w:cs="Times New Roman"/>
          <w:sz w:val="22"/>
          <w:szCs w:val="22"/>
        </w:rPr>
        <w:t>i</w:t>
      </w:r>
      <w:r w:rsidR="002556CF" w:rsidRPr="00FD7F67">
        <w:rPr>
          <w:rFonts w:ascii="Times New Roman" w:hAnsi="Times New Roman" w:cs="Times New Roman"/>
          <w:sz w:val="22"/>
          <w:szCs w:val="22"/>
        </w:rPr>
        <w:t> </w:t>
      </w:r>
      <w:r w:rsidR="007F30BB" w:rsidRPr="00FD7F67">
        <w:rPr>
          <w:rFonts w:ascii="Times New Roman" w:hAnsi="Times New Roman" w:cs="Times New Roman"/>
          <w:sz w:val="22"/>
          <w:szCs w:val="22"/>
        </w:rPr>
        <w:t>gminne organy właściwe mogły skutecznie eliminować przypadki ubiegania się i pobierania ww.</w:t>
      </w:r>
      <w:r w:rsidR="002556CF" w:rsidRPr="00FD7F67">
        <w:rPr>
          <w:rFonts w:ascii="Times New Roman" w:hAnsi="Times New Roman" w:cs="Times New Roman"/>
          <w:sz w:val="22"/>
          <w:szCs w:val="22"/>
        </w:rPr>
        <w:t> </w:t>
      </w:r>
      <w:r w:rsidR="007F30BB" w:rsidRPr="00FD7F67">
        <w:rPr>
          <w:rFonts w:ascii="Times New Roman" w:hAnsi="Times New Roman" w:cs="Times New Roman"/>
          <w:sz w:val="22"/>
          <w:szCs w:val="22"/>
        </w:rPr>
        <w:t>świadczeń przez obywateli Ukrainy, którzy nie mają do nich prawa z uwagi na utratę prawa do</w:t>
      </w:r>
      <w:r w:rsidR="002556CF" w:rsidRPr="00FD7F67">
        <w:rPr>
          <w:rFonts w:ascii="Times New Roman" w:hAnsi="Times New Roman" w:cs="Times New Roman"/>
          <w:sz w:val="22"/>
          <w:szCs w:val="22"/>
        </w:rPr>
        <w:t> </w:t>
      </w:r>
      <w:r w:rsidR="007F30BB" w:rsidRPr="00FD7F67">
        <w:rPr>
          <w:rFonts w:ascii="Times New Roman" w:hAnsi="Times New Roman" w:cs="Times New Roman"/>
          <w:sz w:val="22"/>
          <w:szCs w:val="22"/>
        </w:rPr>
        <w:t>legalnego pobytu w</w:t>
      </w:r>
      <w:r w:rsidR="00895406" w:rsidRPr="00FD7F67">
        <w:rPr>
          <w:rFonts w:ascii="Times New Roman" w:hAnsi="Times New Roman" w:cs="Times New Roman"/>
          <w:sz w:val="22"/>
          <w:szCs w:val="22"/>
        </w:rPr>
        <w:t xml:space="preserve"> Rzeczypospolitej Polskiej</w:t>
      </w:r>
      <w:r w:rsidR="007F30BB" w:rsidRPr="00FD7F67">
        <w:rPr>
          <w:rFonts w:ascii="Times New Roman" w:hAnsi="Times New Roman" w:cs="Times New Roman"/>
          <w:sz w:val="22"/>
          <w:szCs w:val="22"/>
        </w:rPr>
        <w:t xml:space="preserve"> na skutek wyjazdu na okres przekraczający 1 miesiąc, </w:t>
      </w:r>
      <w:r w:rsidR="00BF3877" w:rsidRPr="00FD7F67">
        <w:rPr>
          <w:rFonts w:ascii="Times New Roman" w:hAnsi="Times New Roman" w:cs="Times New Roman"/>
          <w:sz w:val="22"/>
          <w:szCs w:val="22"/>
        </w:rPr>
        <w:t xml:space="preserve">dlatego </w:t>
      </w:r>
      <w:r w:rsidR="007F30BB" w:rsidRPr="00FD7F67">
        <w:rPr>
          <w:rFonts w:ascii="Times New Roman" w:hAnsi="Times New Roman" w:cs="Times New Roman"/>
          <w:sz w:val="22"/>
          <w:szCs w:val="22"/>
        </w:rPr>
        <w:t>niezbędne jest otrzymanie informacji o tych osobach od organu/instytucji właściwej tj.</w:t>
      </w:r>
      <w:r w:rsidR="002556CF" w:rsidRPr="00FD7F67">
        <w:rPr>
          <w:rFonts w:ascii="Times New Roman" w:hAnsi="Times New Roman" w:cs="Times New Roman"/>
          <w:sz w:val="22"/>
          <w:szCs w:val="22"/>
        </w:rPr>
        <w:t> </w:t>
      </w:r>
      <w:r w:rsidR="007F30BB" w:rsidRPr="00FD7F67">
        <w:rPr>
          <w:rFonts w:ascii="Times New Roman" w:hAnsi="Times New Roman" w:cs="Times New Roman"/>
          <w:sz w:val="22"/>
          <w:szCs w:val="22"/>
        </w:rPr>
        <w:t>Komendant</w:t>
      </w:r>
      <w:r w:rsidR="00BF3877" w:rsidRPr="00FD7F67">
        <w:rPr>
          <w:rFonts w:ascii="Times New Roman" w:hAnsi="Times New Roman" w:cs="Times New Roman"/>
          <w:sz w:val="22"/>
          <w:szCs w:val="22"/>
        </w:rPr>
        <w:t>a</w:t>
      </w:r>
      <w:r w:rsidR="007F30BB" w:rsidRPr="00FD7F67">
        <w:rPr>
          <w:rFonts w:ascii="Times New Roman" w:hAnsi="Times New Roman" w:cs="Times New Roman"/>
          <w:sz w:val="22"/>
          <w:szCs w:val="22"/>
        </w:rPr>
        <w:t xml:space="preserve"> Główn</w:t>
      </w:r>
      <w:r w:rsidR="00BF3877" w:rsidRPr="00FD7F67">
        <w:rPr>
          <w:rFonts w:ascii="Times New Roman" w:hAnsi="Times New Roman" w:cs="Times New Roman"/>
          <w:sz w:val="22"/>
          <w:szCs w:val="22"/>
        </w:rPr>
        <w:t>ego</w:t>
      </w:r>
      <w:r w:rsidR="007F30BB" w:rsidRPr="00FD7F67">
        <w:rPr>
          <w:rFonts w:ascii="Times New Roman" w:hAnsi="Times New Roman" w:cs="Times New Roman"/>
          <w:sz w:val="22"/>
          <w:szCs w:val="22"/>
        </w:rPr>
        <w:t xml:space="preserve"> Straży Granicznej</w:t>
      </w:r>
      <w:r w:rsidR="00BF3877" w:rsidRPr="00FD7F67">
        <w:rPr>
          <w:rFonts w:ascii="Times New Roman" w:hAnsi="Times New Roman" w:cs="Times New Roman"/>
          <w:sz w:val="22"/>
          <w:szCs w:val="22"/>
        </w:rPr>
        <w:t>.</w:t>
      </w:r>
      <w:r w:rsidR="007E2679" w:rsidRPr="00FD7F67">
        <w:rPr>
          <w:rFonts w:ascii="Times New Roman" w:hAnsi="Times New Roman" w:cs="Times New Roman"/>
          <w:sz w:val="22"/>
          <w:szCs w:val="22"/>
        </w:rPr>
        <w:t>.</w:t>
      </w:r>
    </w:p>
    <w:p w14:paraId="1B255523" w14:textId="77777777" w:rsidR="007F30BB" w:rsidRPr="00FD7F67" w:rsidRDefault="007F30BB" w:rsidP="002556CF">
      <w:pPr>
        <w:pStyle w:val="NIEARTTEKSTtekstnieartykuowanynppodstprawnarozplubpreambua"/>
        <w:spacing w:before="0" w:line="276" w:lineRule="auto"/>
        <w:ind w:firstLine="0"/>
        <w:rPr>
          <w:rFonts w:ascii="Times New Roman" w:hAnsi="Times New Roman" w:cs="Times New Roman"/>
          <w:sz w:val="22"/>
          <w:szCs w:val="22"/>
        </w:rPr>
      </w:pPr>
      <w:r w:rsidRPr="00FD7F67">
        <w:rPr>
          <w:rFonts w:ascii="Times New Roman" w:hAnsi="Times New Roman" w:cs="Times New Roman"/>
          <w:sz w:val="22"/>
          <w:szCs w:val="22"/>
        </w:rPr>
        <w:t>Do</w:t>
      </w:r>
      <w:r w:rsidR="009E4F47" w:rsidRPr="00FD7F67">
        <w:rPr>
          <w:rFonts w:ascii="Times New Roman" w:hAnsi="Times New Roman" w:cs="Times New Roman"/>
          <w:sz w:val="22"/>
          <w:szCs w:val="22"/>
        </w:rPr>
        <w:t xml:space="preserve">danie w </w:t>
      </w:r>
      <w:r w:rsidRPr="00FD7F67">
        <w:rPr>
          <w:rFonts w:ascii="Times New Roman" w:hAnsi="Times New Roman" w:cs="Times New Roman"/>
          <w:sz w:val="22"/>
          <w:szCs w:val="22"/>
        </w:rPr>
        <w:t>art. 26 ust. 3b–</w:t>
      </w:r>
      <w:r w:rsidR="00A86ECC" w:rsidRPr="00FD7F67">
        <w:rPr>
          <w:rFonts w:ascii="Times New Roman" w:hAnsi="Times New Roman" w:cs="Times New Roman"/>
          <w:sz w:val="22"/>
          <w:szCs w:val="22"/>
        </w:rPr>
        <w:t xml:space="preserve">3f </w:t>
      </w:r>
      <w:r w:rsidR="00062F9F" w:rsidRPr="00FD7F67">
        <w:rPr>
          <w:rFonts w:ascii="Times New Roman" w:hAnsi="Times New Roman" w:cs="Times New Roman"/>
          <w:sz w:val="22"/>
          <w:szCs w:val="22"/>
        </w:rPr>
        <w:t>ma na celu</w:t>
      </w:r>
      <w:r w:rsidRPr="00FD7F67">
        <w:rPr>
          <w:rFonts w:ascii="Times New Roman" w:hAnsi="Times New Roman" w:cs="Times New Roman"/>
          <w:sz w:val="22"/>
          <w:szCs w:val="22"/>
        </w:rPr>
        <w:t xml:space="preserve"> skuteczn</w:t>
      </w:r>
      <w:r w:rsidR="00062F9F" w:rsidRPr="00FD7F67">
        <w:rPr>
          <w:rFonts w:ascii="Times New Roman" w:hAnsi="Times New Roman" w:cs="Times New Roman"/>
          <w:sz w:val="22"/>
          <w:szCs w:val="22"/>
        </w:rPr>
        <w:t>e</w:t>
      </w:r>
      <w:r w:rsidRPr="00FD7F67">
        <w:rPr>
          <w:rFonts w:ascii="Times New Roman" w:hAnsi="Times New Roman" w:cs="Times New Roman"/>
          <w:sz w:val="22"/>
          <w:szCs w:val="22"/>
        </w:rPr>
        <w:t xml:space="preserve"> identyfikowani</w:t>
      </w:r>
      <w:r w:rsidR="00062F9F" w:rsidRPr="00FD7F67">
        <w:rPr>
          <w:rFonts w:ascii="Times New Roman" w:hAnsi="Times New Roman" w:cs="Times New Roman"/>
          <w:sz w:val="22"/>
          <w:szCs w:val="22"/>
        </w:rPr>
        <w:t>e</w:t>
      </w:r>
      <w:r w:rsidRPr="00FD7F67">
        <w:rPr>
          <w:rFonts w:ascii="Times New Roman" w:hAnsi="Times New Roman" w:cs="Times New Roman"/>
          <w:sz w:val="22"/>
          <w:szCs w:val="22"/>
        </w:rPr>
        <w:t xml:space="preserve"> przypadków potencjalnego braku prawa do świadczeń, o których mowa w art. w art. 26 ust. 1 ustawy, </w:t>
      </w:r>
      <w:r w:rsidR="00062F9F" w:rsidRPr="00FD7F67">
        <w:rPr>
          <w:rFonts w:ascii="Times New Roman" w:hAnsi="Times New Roman" w:cs="Times New Roman"/>
          <w:sz w:val="22"/>
          <w:szCs w:val="22"/>
        </w:rPr>
        <w:t xml:space="preserve"> dlatego </w:t>
      </w:r>
      <w:r w:rsidR="00BF3877" w:rsidRPr="00FD7F67">
        <w:rPr>
          <w:rFonts w:ascii="Times New Roman" w:hAnsi="Times New Roman" w:cs="Times New Roman"/>
          <w:sz w:val="22"/>
          <w:szCs w:val="22"/>
        </w:rPr>
        <w:t xml:space="preserve">zaproponowano </w:t>
      </w:r>
      <w:r w:rsidRPr="00FD7F67">
        <w:rPr>
          <w:rFonts w:ascii="Times New Roman" w:hAnsi="Times New Roman" w:cs="Times New Roman"/>
          <w:sz w:val="22"/>
          <w:szCs w:val="22"/>
        </w:rPr>
        <w:t>wprowadzenie przepisów pozwalających ZUS-owi oraz gminnym organom właściwym realizującym ww. świadczenia, wzywani</w:t>
      </w:r>
      <w:r w:rsidR="00062F9F" w:rsidRPr="00FD7F67">
        <w:rPr>
          <w:rFonts w:ascii="Times New Roman" w:hAnsi="Times New Roman" w:cs="Times New Roman"/>
          <w:sz w:val="22"/>
          <w:szCs w:val="22"/>
        </w:rPr>
        <w:t>e</w:t>
      </w:r>
      <w:r w:rsidRPr="00FD7F67">
        <w:rPr>
          <w:rFonts w:ascii="Times New Roman" w:hAnsi="Times New Roman" w:cs="Times New Roman"/>
          <w:sz w:val="22"/>
          <w:szCs w:val="22"/>
        </w:rPr>
        <w:t xml:space="preserve"> do osobistego stawiennictwa obywateli Ukrainy ubiegających się lub otrzymujących ww. świadczenia pod rygorem utraty prawa do świadczeń w przypadku niezastosowania się do wezwania w wyznaczonym terminie.</w:t>
      </w:r>
    </w:p>
    <w:p w14:paraId="023FCD46" w14:textId="77777777" w:rsidR="008A0ADB" w:rsidRPr="00FD7F67" w:rsidRDefault="003B03FA" w:rsidP="00FF2574">
      <w:pPr>
        <w:suppressAutoHyphens/>
        <w:autoSpaceDE w:val="0"/>
        <w:autoSpaceDN w:val="0"/>
        <w:adjustRightInd w:val="0"/>
        <w:spacing w:before="120" w:after="12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
          <w:bCs/>
          <w:lang w:eastAsia="pl-PL"/>
        </w:rPr>
        <w:t>1</w:t>
      </w:r>
      <w:r w:rsidR="00CD6B86" w:rsidRPr="00FD7F67">
        <w:rPr>
          <w:rFonts w:ascii="Times New Roman" w:eastAsia="Times New Roman" w:hAnsi="Times New Roman" w:cs="Times New Roman"/>
          <w:b/>
          <w:bCs/>
          <w:lang w:eastAsia="pl-PL"/>
        </w:rPr>
        <w:t>3</w:t>
      </w:r>
      <w:r w:rsidRPr="00FD7F67">
        <w:rPr>
          <w:rFonts w:ascii="Times New Roman" w:eastAsia="Times New Roman" w:hAnsi="Times New Roman" w:cs="Times New Roman"/>
          <w:b/>
          <w:bCs/>
          <w:lang w:eastAsia="pl-PL"/>
        </w:rPr>
        <w:t xml:space="preserve">. </w:t>
      </w:r>
      <w:r w:rsidR="007F30BB" w:rsidRPr="00FD7F67">
        <w:rPr>
          <w:rFonts w:ascii="Times New Roman" w:eastAsia="Times New Roman" w:hAnsi="Times New Roman" w:cs="Times New Roman"/>
          <w:b/>
          <w:bCs/>
          <w:lang w:eastAsia="pl-PL"/>
        </w:rPr>
        <w:t>Do</w:t>
      </w:r>
      <w:r w:rsidR="009E4F47" w:rsidRPr="00FD7F67">
        <w:rPr>
          <w:rFonts w:ascii="Times New Roman" w:eastAsia="Times New Roman" w:hAnsi="Times New Roman" w:cs="Times New Roman"/>
          <w:b/>
          <w:bCs/>
          <w:lang w:eastAsia="pl-PL"/>
        </w:rPr>
        <w:t>danie</w:t>
      </w:r>
      <w:r w:rsidR="009E4F47" w:rsidRPr="00FD7F67">
        <w:rPr>
          <w:rFonts w:ascii="Times New Roman" w:eastAsia="Times New Roman" w:hAnsi="Times New Roman" w:cs="Times New Roman"/>
          <w:bCs/>
          <w:lang w:eastAsia="pl-PL"/>
        </w:rPr>
        <w:t xml:space="preserve"> </w:t>
      </w:r>
      <w:r w:rsidR="007F30BB" w:rsidRPr="00FD7F67">
        <w:rPr>
          <w:rFonts w:ascii="Times New Roman" w:eastAsia="Times New Roman" w:hAnsi="Times New Roman" w:cs="Times New Roman"/>
          <w:b/>
          <w:bCs/>
          <w:lang w:eastAsia="pl-PL"/>
        </w:rPr>
        <w:t>art. 26a</w:t>
      </w:r>
      <w:r w:rsidR="007F30BB" w:rsidRPr="00FD7F67">
        <w:rPr>
          <w:rFonts w:ascii="Times New Roman" w:eastAsia="Times New Roman" w:hAnsi="Times New Roman" w:cs="Times New Roman"/>
          <w:bCs/>
          <w:lang w:eastAsia="pl-PL"/>
        </w:rPr>
        <w:t xml:space="preserve"> – zmiana umożliwi wyeliminowanie wątpliwości w zakresie finansowania kosztów wydawania orzeczeń dla obywateli Ukrainy ze środków, jakie przekazywane są z budżetu państwa w formie dotacji zespołom do spraw orzekania o niepełnosprawności. Jednocześnie przyczyni się do skorzystania z zasilenia w finansowaniu zespołów ze środków Funduszu Pomocy, które mogą być przeznaczone na finansowanie lub dofinansowanie realizacji zadań na rzecz pomocy Ukrainie, w</w:t>
      </w:r>
      <w:r w:rsidR="002556CF" w:rsidRPr="00FD7F67">
        <w:rPr>
          <w:rFonts w:ascii="Times New Roman" w:eastAsia="Times New Roman" w:hAnsi="Times New Roman" w:cs="Times New Roman"/>
          <w:bCs/>
          <w:lang w:eastAsia="pl-PL"/>
        </w:rPr>
        <w:t> </w:t>
      </w:r>
      <w:r w:rsidR="007F30BB" w:rsidRPr="00FD7F67">
        <w:rPr>
          <w:rFonts w:ascii="Times New Roman" w:eastAsia="Times New Roman" w:hAnsi="Times New Roman" w:cs="Times New Roman"/>
          <w:bCs/>
          <w:lang w:eastAsia="pl-PL"/>
        </w:rPr>
        <w:t>szczególności obywatelom Ukrainy dotkniętym konfliktem zbrojnym, jak również na zwrot wydatków lub kosztów poniesionych na realizacje tych zadań. Środki Funduszu mogą być bowiem przeznaczone na zadania, dla których ustawa lub przepisy odrębne przewidują finansowanie tego zadania z budżetu państwa, w tym w formie dotacji z budżetu państwa.</w:t>
      </w:r>
    </w:p>
    <w:p w14:paraId="6C0FD9F9" w14:textId="1AB8AF4D" w:rsidR="001E3518" w:rsidRPr="00FD7F67" w:rsidRDefault="001E3518" w:rsidP="001E3518">
      <w:pPr>
        <w:suppressAutoHyphens/>
        <w:autoSpaceDE w:val="0"/>
        <w:autoSpaceDN w:val="0"/>
        <w:adjustRightInd w:val="0"/>
        <w:spacing w:before="120" w:after="120" w:line="276" w:lineRule="auto"/>
        <w:jc w:val="both"/>
        <w:rPr>
          <w:rFonts w:ascii="Times New Roman" w:eastAsia="Times New Roman" w:hAnsi="Times New Roman" w:cs="Times New Roman"/>
          <w:b/>
          <w:bCs/>
          <w:lang w:eastAsia="pl-PL"/>
        </w:rPr>
      </w:pPr>
      <w:r w:rsidRPr="00FD7F67">
        <w:rPr>
          <w:rFonts w:ascii="Times New Roman" w:eastAsia="Times New Roman" w:hAnsi="Times New Roman" w:cs="Times New Roman"/>
          <w:b/>
          <w:bCs/>
          <w:lang w:eastAsia="pl-PL"/>
        </w:rPr>
        <w:t xml:space="preserve">14. dodanie w art. 28 ust. 6-9, </w:t>
      </w:r>
      <w:r w:rsidRPr="00FD7F67">
        <w:rPr>
          <w:rFonts w:ascii="Times New Roman" w:eastAsia="Times New Roman" w:hAnsi="Times New Roman" w:cs="Times New Roman"/>
          <w:bCs/>
          <w:lang w:eastAsia="pl-PL"/>
        </w:rPr>
        <w:t>zmiana otwiera możliwość objęcia wsparciem dzieci ukraińskich pomiędzy 3. a 5. rokiem życia w ramach czynności i zadań realizowanych przez dziennego opiekuna, uzupełniając w ten sposób istniejącą ofertę jednostek organizacyjnych systemu oświaty (przedszkola, oddziały przedszkolne i inne formy wychowania przedszkolnego). Powyższe rozwiązania pozostają w bezpośrednim związku z odnotowanym, ale i potencjalnym napływem na terytorium Rzeczypospolitej Polskiej ludności uchodźczej z Ukrainy. Podwyższenie limitu wieku dziecka, które może być objęte opieką przez dziennego opiekuna, pozwoli dostosować i zróżnicować sposób wsparcia edukacyjnego, w sytuacji w której doświadczenia wojenne wymagają często indywidualizowania procesu edukacyjnego. Przyjęcie zmiany w proponowanym zakresie pozwoli jednostkom samorządu terytorialnego racjonalizować i stabilizować sytuację organizacyjną w swoich jednostkach organizacyjnych (przedszkolach, szkołach), przez co bezpośrednio wpisuje się w ich postulaty i oczekiwania.</w:t>
      </w:r>
      <w:r w:rsidRPr="00FD7F67">
        <w:rPr>
          <w:rFonts w:ascii="Times New Roman" w:eastAsia="Times New Roman" w:hAnsi="Times New Roman" w:cs="Times New Roman"/>
          <w:b/>
          <w:bCs/>
          <w:lang w:eastAsia="pl-PL"/>
        </w:rPr>
        <w:t xml:space="preserve"> </w:t>
      </w:r>
      <w:r w:rsidRPr="00FD7F67">
        <w:rPr>
          <w:rFonts w:ascii="Times New Roman" w:eastAsia="Times New Roman" w:hAnsi="Times New Roman" w:cs="Times New Roman"/>
          <w:bCs/>
          <w:lang w:eastAsia="pl-PL"/>
        </w:rPr>
        <w:t xml:space="preserve">Zaproponowano, aby opiekę nad dziećmi w wieku pomiędzy 3. a 5. rokiem życia będącymi obywatelami Ukrainy przebywającymi na terytorium Rzeczypospolitej Polskie, których pobyt na ww. terytorium jest uznawany za legalny na podstawie art. 2 ust. 1 ustawy, sprawował dzienny opiekun będący obywatelem Ukrainy, przebywający na terytorium Rzeczypospolitej Polskiej, którego pobyt na ww. terytorium jest uznawany za legalny na podstawie art. 2 ust. 1 ustawy. Projektowane zmiany zakładają, że podmiot zatrudniający dziennego opiekuna oraz dzienny opiekun prowadzący działalność na własny rachunek będą mogli uwzględnić przy przyjmowaniu dzieci pod opiekę sprawowaną przez dziennego opiekuna przybyłego z Ukrainy preferencje dla rodzica, który jest zatrudniony lub wykonuje inną pracę zarobkową. </w:t>
      </w:r>
    </w:p>
    <w:p w14:paraId="1DA4735D" w14:textId="77777777" w:rsidR="001E3518" w:rsidRPr="00FD7F67" w:rsidRDefault="001E3518" w:rsidP="00FF2574">
      <w:pPr>
        <w:suppressAutoHyphens/>
        <w:autoSpaceDE w:val="0"/>
        <w:autoSpaceDN w:val="0"/>
        <w:adjustRightInd w:val="0"/>
        <w:spacing w:before="120" w:after="120" w:line="276" w:lineRule="auto"/>
        <w:jc w:val="both"/>
        <w:rPr>
          <w:rFonts w:ascii="Times New Roman" w:hAnsi="Times New Roman" w:cs="Times New Roman"/>
        </w:rPr>
      </w:pPr>
    </w:p>
    <w:p w14:paraId="64B2BAB0" w14:textId="7502D159" w:rsidR="00711343" w:rsidRPr="00FD7F67" w:rsidRDefault="003B03FA" w:rsidP="00FF2574">
      <w:pPr>
        <w:spacing w:after="120" w:line="276" w:lineRule="auto"/>
        <w:jc w:val="both"/>
        <w:rPr>
          <w:rFonts w:ascii="Times New Roman" w:eastAsia="Arial" w:hAnsi="Times New Roman" w:cs="Times New Roman"/>
          <w:shd w:val="clear" w:color="auto" w:fill="FFFFFF"/>
        </w:rPr>
      </w:pPr>
      <w:r w:rsidRPr="00FD7F67">
        <w:rPr>
          <w:rFonts w:ascii="Times New Roman" w:hAnsi="Times New Roman" w:cs="Times New Roman"/>
          <w:b/>
        </w:rPr>
        <w:lastRenderedPageBreak/>
        <w:t>1</w:t>
      </w:r>
      <w:r w:rsidR="001E3518" w:rsidRPr="00FD7F67">
        <w:rPr>
          <w:rFonts w:ascii="Times New Roman" w:hAnsi="Times New Roman" w:cs="Times New Roman"/>
          <w:b/>
        </w:rPr>
        <w:t>5</w:t>
      </w:r>
      <w:r w:rsidRPr="00FD7F67">
        <w:rPr>
          <w:rFonts w:ascii="Times New Roman" w:hAnsi="Times New Roman" w:cs="Times New Roman"/>
          <w:b/>
        </w:rPr>
        <w:t xml:space="preserve">. </w:t>
      </w:r>
      <w:r w:rsidR="00711343" w:rsidRPr="00FD7F67">
        <w:rPr>
          <w:rFonts w:ascii="Times New Roman" w:hAnsi="Times New Roman" w:cs="Times New Roman"/>
          <w:b/>
        </w:rPr>
        <w:t>Zamian</w:t>
      </w:r>
      <w:r w:rsidR="00A86ECC" w:rsidRPr="00FD7F67">
        <w:rPr>
          <w:rFonts w:ascii="Times New Roman" w:hAnsi="Times New Roman" w:cs="Times New Roman"/>
          <w:b/>
        </w:rPr>
        <w:t>ę</w:t>
      </w:r>
      <w:r w:rsidR="00711343" w:rsidRPr="00FD7F67">
        <w:rPr>
          <w:rFonts w:ascii="Times New Roman" w:hAnsi="Times New Roman" w:cs="Times New Roman"/>
        </w:rPr>
        <w:t xml:space="preserve"> </w:t>
      </w:r>
      <w:r w:rsidR="00711343" w:rsidRPr="00FD7F67">
        <w:rPr>
          <w:rFonts w:ascii="Times New Roman" w:hAnsi="Times New Roman" w:cs="Times New Roman"/>
          <w:b/>
        </w:rPr>
        <w:t>w art. 44</w:t>
      </w:r>
      <w:r w:rsidR="00711343" w:rsidRPr="00FD7F67">
        <w:rPr>
          <w:rFonts w:ascii="Times New Roman" w:hAnsi="Times New Roman" w:cs="Times New Roman"/>
        </w:rPr>
        <w:t xml:space="preserve"> </w:t>
      </w:r>
      <w:r w:rsidR="00A86ECC" w:rsidRPr="00FD7F67">
        <w:rPr>
          <w:rFonts w:ascii="Times New Roman" w:hAnsi="Times New Roman" w:cs="Times New Roman"/>
        </w:rPr>
        <w:t xml:space="preserve">– poprzez oznaczenie </w:t>
      </w:r>
      <w:r w:rsidR="00711343" w:rsidRPr="00FD7F67">
        <w:rPr>
          <w:rFonts w:ascii="Times New Roman" w:hAnsi="Times New Roman" w:cs="Times New Roman"/>
        </w:rPr>
        <w:t xml:space="preserve">dotychczasowej treści  jako ust. 1 oraz dodanie ust. 2 </w:t>
      </w:r>
      <w:r w:rsidR="00711343" w:rsidRPr="00FD7F67">
        <w:rPr>
          <w:rStyle w:val="Teksttreci"/>
          <w:rFonts w:ascii="Times New Roman" w:hAnsi="Times New Roman" w:cs="Times New Roman"/>
          <w:sz w:val="22"/>
          <w:szCs w:val="22"/>
        </w:rPr>
        <w:t>ma</w:t>
      </w:r>
      <w:r w:rsidR="002556CF" w:rsidRPr="00FD7F67">
        <w:rPr>
          <w:rStyle w:val="Teksttreci"/>
          <w:rFonts w:ascii="Times New Roman" w:hAnsi="Times New Roman" w:cs="Times New Roman"/>
          <w:sz w:val="22"/>
          <w:szCs w:val="22"/>
        </w:rPr>
        <w:t> </w:t>
      </w:r>
      <w:r w:rsidR="00711343" w:rsidRPr="00FD7F67">
        <w:rPr>
          <w:rStyle w:val="Teksttreci"/>
          <w:rFonts w:ascii="Times New Roman" w:hAnsi="Times New Roman" w:cs="Times New Roman"/>
          <w:sz w:val="22"/>
          <w:szCs w:val="22"/>
        </w:rPr>
        <w:t>na celu uregulowanie pobytu na terytorium Rzeczypospolitej Polskiej cudzoziemcom, którzy nie</w:t>
      </w:r>
      <w:r w:rsidR="002556CF" w:rsidRPr="00FD7F67">
        <w:rPr>
          <w:rStyle w:val="Teksttreci"/>
          <w:rFonts w:ascii="Times New Roman" w:hAnsi="Times New Roman" w:cs="Times New Roman"/>
          <w:sz w:val="22"/>
          <w:szCs w:val="22"/>
        </w:rPr>
        <w:t> </w:t>
      </w:r>
      <w:r w:rsidR="00711343" w:rsidRPr="00FD7F67">
        <w:rPr>
          <w:rStyle w:val="Teksttreci"/>
          <w:rFonts w:ascii="Times New Roman" w:hAnsi="Times New Roman" w:cs="Times New Roman"/>
          <w:sz w:val="22"/>
          <w:szCs w:val="22"/>
        </w:rPr>
        <w:t xml:space="preserve">posiadają obywatelstwa Ukrainy, a którym komendant placówki Straży Granicznej na odcinku granicy Rzeczypospolitej Polskiej z Ukrainą zezwolił na wjazd na terytorium Rzeczypospolitej Polskiej na podstawie art. 32 ust. 1 ustawy z dnia 12 grudnia 2013 r. o cudzoziemcach, tj. w przypadku, o którym mowa w art. 6 ust. 5 lit. c kodeksu granicznego Schengen </w:t>
      </w:r>
      <w:r w:rsidR="00B15EA7" w:rsidRPr="00FD7F67">
        <w:rPr>
          <w:rStyle w:val="Teksttreci"/>
          <w:rFonts w:ascii="Times New Roman" w:hAnsi="Times New Roman" w:cs="Times New Roman"/>
          <w:sz w:val="22"/>
          <w:szCs w:val="22"/>
        </w:rPr>
        <w:t>–</w:t>
      </w:r>
      <w:r w:rsidR="00711343" w:rsidRPr="00FD7F67">
        <w:rPr>
          <w:rStyle w:val="Teksttreci"/>
          <w:rFonts w:ascii="Times New Roman" w:hAnsi="Times New Roman" w:cs="Times New Roman"/>
          <w:sz w:val="22"/>
          <w:szCs w:val="22"/>
        </w:rPr>
        <w:t xml:space="preserve"> oznacza to zezwolenie na wjazd na</w:t>
      </w:r>
      <w:r w:rsidR="002556CF" w:rsidRPr="00FD7F67">
        <w:rPr>
          <w:rStyle w:val="Teksttreci"/>
          <w:rFonts w:ascii="Times New Roman" w:hAnsi="Times New Roman" w:cs="Times New Roman"/>
          <w:sz w:val="22"/>
          <w:szCs w:val="22"/>
        </w:rPr>
        <w:t> </w:t>
      </w:r>
      <w:r w:rsidR="00711343" w:rsidRPr="00FD7F67">
        <w:rPr>
          <w:rStyle w:val="Teksttreci"/>
          <w:rFonts w:ascii="Times New Roman" w:hAnsi="Times New Roman" w:cs="Times New Roman"/>
          <w:sz w:val="22"/>
          <w:szCs w:val="22"/>
        </w:rPr>
        <w:t>terytorium Rzeczypospolitej Polskiej ze względów humanitarnych, ze względu na interes narodowy lub zobowiązania międzynarodowe. W obecnej sytuacji będzie to zezwolenie na wjazd w związku z</w:t>
      </w:r>
      <w:r w:rsidR="002556CF" w:rsidRPr="00FD7F67">
        <w:rPr>
          <w:rStyle w:val="Teksttreci"/>
          <w:rFonts w:ascii="Times New Roman" w:hAnsi="Times New Roman" w:cs="Times New Roman"/>
          <w:sz w:val="22"/>
          <w:szCs w:val="22"/>
        </w:rPr>
        <w:t> </w:t>
      </w:r>
      <w:r w:rsidR="00711343" w:rsidRPr="00FD7F67">
        <w:rPr>
          <w:rStyle w:val="Teksttreci"/>
          <w:rFonts w:ascii="Times New Roman" w:hAnsi="Times New Roman" w:cs="Times New Roman"/>
          <w:sz w:val="22"/>
          <w:szCs w:val="22"/>
        </w:rPr>
        <w:t>konfliktem zbrojnym na terytorium Ukrainy. Słusznym wydaje się również wskaza</w:t>
      </w:r>
      <w:r w:rsidR="00B15EA7" w:rsidRPr="00FD7F67">
        <w:rPr>
          <w:rStyle w:val="Teksttreci"/>
          <w:rFonts w:ascii="Times New Roman" w:hAnsi="Times New Roman" w:cs="Times New Roman"/>
          <w:sz w:val="22"/>
          <w:szCs w:val="22"/>
        </w:rPr>
        <w:t>nie</w:t>
      </w:r>
      <w:r w:rsidR="00711343" w:rsidRPr="00FD7F67">
        <w:rPr>
          <w:rStyle w:val="Teksttreci"/>
          <w:rFonts w:ascii="Times New Roman" w:hAnsi="Times New Roman" w:cs="Times New Roman"/>
          <w:sz w:val="22"/>
          <w:szCs w:val="22"/>
        </w:rPr>
        <w:t>, iż Europejska Agencja Straży Granicznej i Przybrzeżnej FRONTEX uruchomiła tymczasowy program humanitarnych dobrowolnych powrotów (Humanitarian Voluntary Return - HVR), skierowany do obywateli państw trzecich nie będących obywatelami Ukrainy oraz obywateli Ukrainy, uznanych za członków rodziny obywateli państw trzecich, którzy zdecydują się towarzyszyć im w podróży do wybranego państwa trzeciego, o ile rodzina była już obecna i przebywała na Ukrainie przed dniem 24 lutego 2022 r. Z</w:t>
      </w:r>
      <w:r w:rsidRPr="00FD7F67">
        <w:rPr>
          <w:rStyle w:val="Teksttreci"/>
          <w:rFonts w:ascii="Times New Roman" w:hAnsi="Times New Roman" w:cs="Times New Roman"/>
          <w:sz w:val="22"/>
          <w:szCs w:val="22"/>
        </w:rPr>
        <w:t> </w:t>
      </w:r>
      <w:r w:rsidR="00711343" w:rsidRPr="00FD7F67">
        <w:rPr>
          <w:rStyle w:val="Teksttreci"/>
          <w:rFonts w:ascii="Times New Roman" w:hAnsi="Times New Roman" w:cs="Times New Roman"/>
          <w:sz w:val="22"/>
          <w:szCs w:val="22"/>
        </w:rPr>
        <w:t xml:space="preserve">projektu mogą skorzystać obywatele państw trzecich uciekających ze strefy działań wojennych, którzy przekroczyli granicę na kierunku wjazdowym z terytorium Ukrainy do </w:t>
      </w:r>
      <w:r w:rsidR="00B15EA7" w:rsidRPr="00FD7F67">
        <w:rPr>
          <w:rStyle w:val="Teksttreci"/>
          <w:rFonts w:ascii="Times New Roman" w:hAnsi="Times New Roman" w:cs="Times New Roman"/>
          <w:sz w:val="22"/>
          <w:szCs w:val="22"/>
        </w:rPr>
        <w:t xml:space="preserve">Rzeczypospolitej Polskiej </w:t>
      </w:r>
      <w:r w:rsidR="00711343" w:rsidRPr="00FD7F67">
        <w:rPr>
          <w:rStyle w:val="Teksttreci"/>
          <w:rFonts w:ascii="Times New Roman" w:hAnsi="Times New Roman" w:cs="Times New Roman"/>
          <w:sz w:val="22"/>
          <w:szCs w:val="22"/>
        </w:rPr>
        <w:t>na podstawie art. 32 ustawy z dnia 12 grudnia 2013 r. o cudzoziemcach umożliwiając</w:t>
      </w:r>
      <w:r w:rsidR="00B15EA7" w:rsidRPr="00FD7F67">
        <w:rPr>
          <w:rStyle w:val="Teksttreci"/>
          <w:rFonts w:ascii="Times New Roman" w:hAnsi="Times New Roman" w:cs="Times New Roman"/>
          <w:sz w:val="22"/>
          <w:szCs w:val="22"/>
        </w:rPr>
        <w:t>ego</w:t>
      </w:r>
      <w:r w:rsidR="00711343" w:rsidRPr="00FD7F67">
        <w:rPr>
          <w:rStyle w:val="Teksttreci"/>
          <w:rFonts w:ascii="Times New Roman" w:hAnsi="Times New Roman" w:cs="Times New Roman"/>
          <w:sz w:val="22"/>
          <w:szCs w:val="22"/>
        </w:rPr>
        <w:t xml:space="preserve"> im legalny pobyt na terytorium Polski w okresie 15 dni liczonych od daty wjazdu. Do chwili obecnej Straż Graniczna organizuje loty rejsowe (przy finansowaniu z FX) dla powyższej kategorii osób.</w:t>
      </w:r>
      <w:r w:rsidR="00C52BAC" w:rsidRPr="00FD7F67">
        <w:rPr>
          <w:rStyle w:val="Teksttreci"/>
          <w:rFonts w:ascii="Times New Roman" w:hAnsi="Times New Roman" w:cs="Times New Roman"/>
          <w:sz w:val="22"/>
          <w:szCs w:val="22"/>
        </w:rPr>
        <w:t xml:space="preserve"> </w:t>
      </w:r>
      <w:r w:rsidR="00711343" w:rsidRPr="00FD7F67">
        <w:rPr>
          <w:rStyle w:val="Teksttreci"/>
          <w:rFonts w:ascii="Times New Roman" w:hAnsi="Times New Roman" w:cs="Times New Roman"/>
          <w:sz w:val="22"/>
          <w:szCs w:val="22"/>
        </w:rPr>
        <w:t>Cudzoziemcy deklarujący chęć powrotu do kraju pochodzenia nie zawsze są świadomi swojego statusu prawnego na</w:t>
      </w:r>
      <w:r w:rsidRPr="00FD7F67">
        <w:rPr>
          <w:rStyle w:val="Teksttreci"/>
          <w:rFonts w:ascii="Times New Roman" w:hAnsi="Times New Roman" w:cs="Times New Roman"/>
          <w:sz w:val="22"/>
          <w:szCs w:val="22"/>
        </w:rPr>
        <w:t> </w:t>
      </w:r>
      <w:r w:rsidR="00711343" w:rsidRPr="00FD7F67">
        <w:rPr>
          <w:rStyle w:val="Teksttreci"/>
          <w:rFonts w:ascii="Times New Roman" w:hAnsi="Times New Roman" w:cs="Times New Roman"/>
          <w:sz w:val="22"/>
          <w:szCs w:val="22"/>
        </w:rPr>
        <w:t xml:space="preserve">terytorium RP, nie orientują się gdzie mogą szukać pomocy, więc wielokrotnie zgłaszają się do Straży Granicznej po upływie </w:t>
      </w:r>
      <w:r w:rsidR="00B15EA7" w:rsidRPr="00FD7F67">
        <w:rPr>
          <w:rStyle w:val="Teksttreci"/>
          <w:rFonts w:ascii="Times New Roman" w:hAnsi="Times New Roman" w:cs="Times New Roman"/>
          <w:sz w:val="22"/>
          <w:szCs w:val="22"/>
        </w:rPr>
        <w:t xml:space="preserve">15-dniowego </w:t>
      </w:r>
      <w:r w:rsidR="00711343" w:rsidRPr="00FD7F67">
        <w:rPr>
          <w:rStyle w:val="Teksttreci"/>
          <w:rFonts w:ascii="Times New Roman" w:hAnsi="Times New Roman" w:cs="Times New Roman"/>
          <w:sz w:val="22"/>
          <w:szCs w:val="22"/>
        </w:rPr>
        <w:t>terminu.</w:t>
      </w:r>
    </w:p>
    <w:p w14:paraId="37B0DDFD" w14:textId="3B47FB24" w:rsidR="00106602" w:rsidRPr="00FD7F67" w:rsidRDefault="003B03FA" w:rsidP="003B03FA">
      <w:pPr>
        <w:spacing w:line="276" w:lineRule="auto"/>
        <w:jc w:val="both"/>
        <w:rPr>
          <w:rFonts w:ascii="Times New Roman" w:hAnsi="Times New Roman" w:cs="Times New Roman"/>
        </w:rPr>
      </w:pPr>
      <w:r w:rsidRPr="00FD7F67">
        <w:rPr>
          <w:rFonts w:ascii="Times New Roman" w:hAnsi="Times New Roman" w:cs="Times New Roman"/>
          <w:b/>
        </w:rPr>
        <w:t>1</w:t>
      </w:r>
      <w:r w:rsidR="001E3518" w:rsidRPr="00FD7F67">
        <w:rPr>
          <w:rFonts w:ascii="Times New Roman" w:hAnsi="Times New Roman" w:cs="Times New Roman"/>
          <w:b/>
        </w:rPr>
        <w:t>6</w:t>
      </w:r>
      <w:r w:rsidRPr="00FD7F67">
        <w:rPr>
          <w:rFonts w:ascii="Times New Roman" w:hAnsi="Times New Roman" w:cs="Times New Roman"/>
          <w:b/>
        </w:rPr>
        <w:t xml:space="preserve">. </w:t>
      </w:r>
      <w:r w:rsidR="00A86ECC" w:rsidRPr="00FD7F67">
        <w:rPr>
          <w:rFonts w:ascii="Times New Roman" w:hAnsi="Times New Roman" w:cs="Times New Roman"/>
          <w:b/>
        </w:rPr>
        <w:t>Zmianę</w:t>
      </w:r>
      <w:r w:rsidR="00A86ECC" w:rsidRPr="00FD7F67">
        <w:rPr>
          <w:rFonts w:ascii="Times New Roman" w:hAnsi="Times New Roman" w:cs="Times New Roman"/>
        </w:rPr>
        <w:t xml:space="preserve"> </w:t>
      </w:r>
      <w:r w:rsidR="008A0ADB" w:rsidRPr="00FD7F67">
        <w:rPr>
          <w:rFonts w:ascii="Times New Roman" w:hAnsi="Times New Roman" w:cs="Times New Roman"/>
          <w:b/>
        </w:rPr>
        <w:t>art. 49</w:t>
      </w:r>
      <w:r w:rsidR="00A86ECC" w:rsidRPr="00FD7F67">
        <w:rPr>
          <w:rFonts w:ascii="Times New Roman" w:hAnsi="Times New Roman" w:cs="Times New Roman"/>
        </w:rPr>
        <w:t xml:space="preserve">, zgodnie z którym aktualnie </w:t>
      </w:r>
      <w:r w:rsidR="008A0ADB" w:rsidRPr="00FD7F67">
        <w:rPr>
          <w:rFonts w:ascii="Times New Roman" w:hAnsi="Times New Roman" w:cs="Times New Roman"/>
        </w:rPr>
        <w:t>uprawniony obywatel polski albo obywatel Ukrainy, może zostać zatrudniony w Centrum Łukasiewicz lub instytucie działającym w ramach Sieci Badawczej Łukasiewicz bez przeprowadzenia konkursu, wyłącznie w pionie badawczym. Z uwagi na to, że</w:t>
      </w:r>
      <w:r w:rsidR="002556CF" w:rsidRPr="00FD7F67">
        <w:rPr>
          <w:rFonts w:ascii="Times New Roman" w:hAnsi="Times New Roman" w:cs="Times New Roman"/>
        </w:rPr>
        <w:t> </w:t>
      </w:r>
      <w:r w:rsidR="008A0ADB" w:rsidRPr="00FD7F67">
        <w:rPr>
          <w:rFonts w:ascii="Times New Roman" w:hAnsi="Times New Roman" w:cs="Times New Roman"/>
        </w:rPr>
        <w:t>w</w:t>
      </w:r>
      <w:r w:rsidRPr="00FD7F67">
        <w:rPr>
          <w:rFonts w:ascii="Times New Roman" w:hAnsi="Times New Roman" w:cs="Times New Roman"/>
        </w:rPr>
        <w:t> </w:t>
      </w:r>
      <w:r w:rsidR="008A0ADB" w:rsidRPr="00FD7F67">
        <w:rPr>
          <w:rFonts w:ascii="Times New Roman" w:hAnsi="Times New Roman" w:cs="Times New Roman"/>
        </w:rPr>
        <w:t>Instytutach Łukasiewicza istnieją specjalistyczne stanowiska inżynierskie w pionie wsparcia, a</w:t>
      </w:r>
      <w:r w:rsidR="002556CF" w:rsidRPr="00FD7F67">
        <w:rPr>
          <w:rFonts w:ascii="Times New Roman" w:hAnsi="Times New Roman" w:cs="Times New Roman"/>
        </w:rPr>
        <w:t> </w:t>
      </w:r>
      <w:r w:rsidR="008A0ADB" w:rsidRPr="00FD7F67">
        <w:rPr>
          <w:rFonts w:ascii="Times New Roman" w:hAnsi="Times New Roman" w:cs="Times New Roman"/>
        </w:rPr>
        <w:t xml:space="preserve">także inne specjalistyczne stanowiska, </w:t>
      </w:r>
      <w:r w:rsidR="00A86ECC" w:rsidRPr="00FD7F67">
        <w:rPr>
          <w:rFonts w:ascii="Times New Roman" w:hAnsi="Times New Roman" w:cs="Times New Roman"/>
        </w:rPr>
        <w:t>zaproponowana</w:t>
      </w:r>
      <w:r w:rsidR="008A0ADB" w:rsidRPr="00FD7F67">
        <w:rPr>
          <w:rFonts w:ascii="Times New Roman" w:hAnsi="Times New Roman" w:cs="Times New Roman"/>
        </w:rPr>
        <w:t xml:space="preserve"> zmiana ma na celu zwolnienie z obowiązku przeprowadzania konkursu, poprzedzającego zatrudnienie uprawnionego obywatela polskiego albo obywatela Ukrainy, zarówno w pionie badawczym, jak i w pionie wsparcia.</w:t>
      </w:r>
    </w:p>
    <w:p w14:paraId="1740FA8B" w14:textId="1914565A" w:rsidR="00E36D28" w:rsidRPr="00FD7F67" w:rsidRDefault="00E36D28" w:rsidP="00B25FC0">
      <w:pPr>
        <w:spacing w:after="0" w:line="276" w:lineRule="auto"/>
        <w:jc w:val="both"/>
        <w:rPr>
          <w:rFonts w:ascii="Times New Roman" w:hAnsi="Times New Roman" w:cs="Times New Roman"/>
        </w:rPr>
      </w:pPr>
      <w:r w:rsidRPr="00FD7F67">
        <w:rPr>
          <w:rFonts w:ascii="Times New Roman" w:hAnsi="Times New Roman" w:cs="Times New Roman"/>
          <w:b/>
        </w:rPr>
        <w:t>1</w:t>
      </w:r>
      <w:r w:rsidR="001E3518" w:rsidRPr="00FD7F67">
        <w:rPr>
          <w:rFonts w:ascii="Times New Roman" w:hAnsi="Times New Roman" w:cs="Times New Roman"/>
          <w:b/>
        </w:rPr>
        <w:t>7</w:t>
      </w:r>
      <w:r w:rsidRPr="00FD7F67">
        <w:rPr>
          <w:rFonts w:ascii="Times New Roman" w:hAnsi="Times New Roman" w:cs="Times New Roman"/>
          <w:b/>
        </w:rPr>
        <w:t>. Dodanie art. 55b</w:t>
      </w:r>
      <w:r w:rsidRPr="00FD7F67">
        <w:rPr>
          <w:rFonts w:ascii="Times New Roman" w:hAnsi="Times New Roman" w:cs="Times New Roman"/>
        </w:rPr>
        <w:t xml:space="preserve"> –</w:t>
      </w:r>
      <w:r w:rsidR="00C02121" w:rsidRPr="00FD7F67">
        <w:rPr>
          <w:rFonts w:ascii="Times New Roman" w:hAnsi="Times New Roman" w:cs="Times New Roman"/>
        </w:rPr>
        <w:t xml:space="preserve"> c</w:t>
      </w:r>
      <w:r w:rsidRPr="00FD7F67">
        <w:rPr>
          <w:rFonts w:ascii="Times New Roman" w:hAnsi="Times New Roman" w:cs="Times New Roman"/>
        </w:rPr>
        <w:t xml:space="preserve">elem projektowanych zmian jest ułatwienie organizowania nauki osób przybyłych z Ukrainy oraz zapewnienie równego dostępu do wsparcia w postaci dodatkowej nauki języka polskiego dla osób będących oraz niebędących obywatelami polskimi, </w:t>
      </w:r>
      <w:r w:rsidR="00C02121" w:rsidRPr="00FD7F67">
        <w:rPr>
          <w:rFonts w:ascii="Times New Roman" w:hAnsi="Times New Roman" w:cs="Times New Roman"/>
        </w:rPr>
        <w:t xml:space="preserve">które kształciły się za granicą. </w:t>
      </w:r>
      <w:r w:rsidRPr="00FD7F67">
        <w:rPr>
          <w:rFonts w:ascii="Times New Roman" w:hAnsi="Times New Roman" w:cs="Times New Roman"/>
        </w:rPr>
        <w:t>Zmiana polegająca na umożliwieniu organizowania oddziałów przygotowawczych w kolejnych latach szkolnych umożliwi kontynuowanie nauki uczniów będących obywatelami Ukrainy w oddziałach przygotowawczych zorganizowanych w roku szkolnym 2021/2022 w szkołach sportowych i szkołach mistrzostwa sportowego. W związku z obserwowaną w ostatnich latach tendencją dotyczącą wzrostu liczby uczniów przybywających z zagranicy do szkół w Polsce zaproponowano, aby zmiana miała charakter systemowy, tj. aby możliwe było zorganizowanie oddziałów przygotowawczych w szkołach sportowych i szkołach mistrzostwa sportowego (obecnie przepisy ustawy z dnia 14 grudnia 2016 r. – Prawo oświatowe wykluczają taką możliwość).</w:t>
      </w:r>
      <w:r w:rsidR="00C02121" w:rsidRPr="00FD7F67">
        <w:rPr>
          <w:rFonts w:ascii="Times New Roman" w:hAnsi="Times New Roman" w:cs="Times New Roman"/>
        </w:rPr>
        <w:t xml:space="preserve"> </w:t>
      </w:r>
      <w:r w:rsidRPr="00FD7F67">
        <w:rPr>
          <w:rFonts w:ascii="Times New Roman" w:hAnsi="Times New Roman" w:cs="Times New Roman"/>
        </w:rPr>
        <w:t>Kolejną z projektowanych zmian jest umożliwienie w</w:t>
      </w:r>
      <w:r w:rsidR="00C02121" w:rsidRPr="00FD7F67">
        <w:rPr>
          <w:rFonts w:ascii="Times New Roman" w:hAnsi="Times New Roman" w:cs="Times New Roman"/>
        </w:rPr>
        <w:t> </w:t>
      </w:r>
      <w:r w:rsidRPr="00FD7F67">
        <w:rPr>
          <w:rFonts w:ascii="Times New Roman" w:hAnsi="Times New Roman" w:cs="Times New Roman"/>
        </w:rPr>
        <w:t>roku szkolnym 2022/2023 organizowania dodatkowej nauki języka polskiego, o której mowa w</w:t>
      </w:r>
      <w:r w:rsidR="00C02121" w:rsidRPr="00FD7F67">
        <w:rPr>
          <w:rFonts w:ascii="Times New Roman" w:hAnsi="Times New Roman" w:cs="Times New Roman"/>
        </w:rPr>
        <w:t> </w:t>
      </w:r>
      <w:r w:rsidRPr="00FD7F67">
        <w:rPr>
          <w:rFonts w:ascii="Times New Roman" w:hAnsi="Times New Roman" w:cs="Times New Roman"/>
        </w:rPr>
        <w:t>art.</w:t>
      </w:r>
      <w:r w:rsidR="00C02121" w:rsidRPr="00FD7F67">
        <w:rPr>
          <w:rFonts w:ascii="Times New Roman" w:hAnsi="Times New Roman" w:cs="Times New Roman"/>
        </w:rPr>
        <w:t> </w:t>
      </w:r>
      <w:r w:rsidRPr="00FD7F67">
        <w:rPr>
          <w:rFonts w:ascii="Times New Roman" w:hAnsi="Times New Roman" w:cs="Times New Roman"/>
        </w:rPr>
        <w:t>165 ust. 7 ustawy z dnia 14 grudnia 2016 r. – Prawo oświatowe, dla uczniów przybyłych do Polski w grupach międzyszkolnych. Ze względu na konieczność zapewnienia odpowiednich nauczycieli do</w:t>
      </w:r>
      <w:r w:rsidR="00C02121" w:rsidRPr="00FD7F67">
        <w:rPr>
          <w:rFonts w:ascii="Times New Roman" w:hAnsi="Times New Roman" w:cs="Times New Roman"/>
        </w:rPr>
        <w:t> </w:t>
      </w:r>
      <w:r w:rsidRPr="00FD7F67">
        <w:rPr>
          <w:rFonts w:ascii="Times New Roman" w:hAnsi="Times New Roman" w:cs="Times New Roman"/>
        </w:rPr>
        <w:t>prowadzenia ww. zajęć, umożliwienie organizowania tych zajęć w grupach międzyszkolnych ułatwi organom prowadzącym organizację pracy szkół.</w:t>
      </w:r>
    </w:p>
    <w:p w14:paraId="32D872D9" w14:textId="77777777" w:rsidR="00B25FC0" w:rsidRPr="00FD7F67" w:rsidRDefault="00B25FC0" w:rsidP="00B25FC0">
      <w:pPr>
        <w:spacing w:after="0" w:line="276" w:lineRule="auto"/>
        <w:jc w:val="both"/>
        <w:rPr>
          <w:rFonts w:ascii="Times New Roman" w:hAnsi="Times New Roman" w:cs="Times New Roman"/>
        </w:rPr>
      </w:pPr>
      <w:r w:rsidRPr="00FD7F67">
        <w:rPr>
          <w:rFonts w:ascii="Times New Roman" w:hAnsi="Times New Roman" w:cs="Times New Roman"/>
        </w:rPr>
        <w:t>Zaproponowano, aby projektowane rozwiązania weszły w życie z początkiem roku szkolnego 2022/2023 tj. od dnia 1 września 2022 r.</w:t>
      </w:r>
    </w:p>
    <w:p w14:paraId="3C41688D" w14:textId="77777777" w:rsidR="001E3518" w:rsidRPr="00FD7F67" w:rsidRDefault="001E3518" w:rsidP="00B25FC0">
      <w:pPr>
        <w:spacing w:after="0" w:line="276" w:lineRule="auto"/>
        <w:jc w:val="both"/>
        <w:rPr>
          <w:rFonts w:ascii="Times New Roman" w:hAnsi="Times New Roman" w:cs="Times New Roman"/>
        </w:rPr>
      </w:pPr>
    </w:p>
    <w:p w14:paraId="3454C95B" w14:textId="77777777" w:rsidR="001E3518" w:rsidRPr="00FD7F67" w:rsidRDefault="001E3518" w:rsidP="00B25FC0">
      <w:pPr>
        <w:spacing w:after="0" w:line="276" w:lineRule="auto"/>
        <w:jc w:val="both"/>
        <w:rPr>
          <w:rFonts w:ascii="Times New Roman" w:hAnsi="Times New Roman" w:cs="Times New Roman"/>
        </w:rPr>
      </w:pPr>
    </w:p>
    <w:p w14:paraId="34BACC32" w14:textId="77777777" w:rsidR="00B25FC0" w:rsidRPr="00FD7F67" w:rsidRDefault="00B25FC0" w:rsidP="00B25FC0">
      <w:pPr>
        <w:spacing w:after="0" w:line="276" w:lineRule="auto"/>
        <w:jc w:val="both"/>
        <w:rPr>
          <w:rFonts w:ascii="Times New Roman" w:hAnsi="Times New Roman" w:cs="Times New Roman"/>
        </w:rPr>
      </w:pPr>
    </w:p>
    <w:p w14:paraId="7D385A13" w14:textId="77777777" w:rsidR="00433477" w:rsidRPr="00FD7F67" w:rsidRDefault="007D519D" w:rsidP="003B03FA">
      <w:pPr>
        <w:spacing w:after="120" w:line="276" w:lineRule="auto"/>
        <w:jc w:val="both"/>
        <w:rPr>
          <w:rFonts w:ascii="Times New Roman" w:hAnsi="Times New Roman" w:cs="Times New Roman"/>
          <w:b/>
          <w:color w:val="000000" w:themeColor="text1"/>
        </w:rPr>
      </w:pPr>
      <w:r w:rsidRPr="00FD7F67">
        <w:rPr>
          <w:rFonts w:ascii="Times New Roman" w:hAnsi="Times New Roman" w:cs="Times New Roman"/>
          <w:b/>
          <w:color w:val="000000" w:themeColor="text1"/>
        </w:rPr>
        <w:lastRenderedPageBreak/>
        <w:t>Dodatkowo przedmiotowy projekt wprowadza zmiany do następujących ustaw:</w:t>
      </w:r>
    </w:p>
    <w:p w14:paraId="75E488C7" w14:textId="77777777" w:rsidR="00106602" w:rsidRPr="00FD7F67" w:rsidRDefault="00433477" w:rsidP="002556CF">
      <w:pPr>
        <w:pStyle w:val="Akapitzlist"/>
        <w:spacing w:after="120" w:line="276" w:lineRule="auto"/>
        <w:ind w:left="0"/>
        <w:jc w:val="both"/>
        <w:rPr>
          <w:rFonts w:ascii="Times New Roman" w:hAnsi="Times New Roman" w:cs="Times New Roman"/>
        </w:rPr>
      </w:pPr>
      <w:r w:rsidRPr="00FD7F67">
        <w:rPr>
          <w:rFonts w:ascii="Times New Roman" w:hAnsi="Times New Roman" w:cs="Times New Roman"/>
          <w:b/>
        </w:rPr>
        <w:t>1. ustaw</w:t>
      </w:r>
      <w:r w:rsidR="007D519D" w:rsidRPr="00FD7F67">
        <w:rPr>
          <w:rFonts w:ascii="Times New Roman" w:hAnsi="Times New Roman" w:cs="Times New Roman"/>
          <w:b/>
        </w:rPr>
        <w:t>y</w:t>
      </w:r>
      <w:r w:rsidRPr="00FD7F67">
        <w:rPr>
          <w:rFonts w:ascii="Times New Roman" w:hAnsi="Times New Roman" w:cs="Times New Roman"/>
          <w:b/>
        </w:rPr>
        <w:t xml:space="preserve"> z dnia 13 czerwca 2003 r. o udzielaniu cudzoziemcom ochrony na terytorium Rzeczypospolitej Polskiej (Dz. U. z 2021 r. poz. 1108, z późn. zm.) </w:t>
      </w:r>
    </w:p>
    <w:p w14:paraId="5B60407D" w14:textId="77777777" w:rsidR="00106602" w:rsidRPr="00FD7F67" w:rsidRDefault="00106602" w:rsidP="002556CF">
      <w:pPr>
        <w:spacing w:after="0" w:line="276" w:lineRule="auto"/>
        <w:jc w:val="both"/>
        <w:rPr>
          <w:rFonts w:ascii="Times New Roman" w:hAnsi="Times New Roman" w:cs="Times New Roman"/>
        </w:rPr>
      </w:pPr>
      <w:r w:rsidRPr="00FD7F67">
        <w:rPr>
          <w:rFonts w:ascii="Times New Roman" w:hAnsi="Times New Roman" w:cs="Times New Roman"/>
        </w:rPr>
        <w:t>Zmiany w przepisach ustawy z dnia 13 czerwca 2003 r. o udzielaniu cudzoziemcom ochrony na</w:t>
      </w:r>
      <w:r w:rsidR="002556CF" w:rsidRPr="00FD7F67">
        <w:rPr>
          <w:rFonts w:ascii="Times New Roman" w:hAnsi="Times New Roman" w:cs="Times New Roman"/>
        </w:rPr>
        <w:t> </w:t>
      </w:r>
      <w:r w:rsidRPr="00FD7F67">
        <w:rPr>
          <w:rFonts w:ascii="Times New Roman" w:hAnsi="Times New Roman" w:cs="Times New Roman"/>
        </w:rPr>
        <w:t>terytorium Rzeczypospolitej Polskiej</w:t>
      </w:r>
      <w:r w:rsidR="00BD08D0" w:rsidRPr="00FD7F67">
        <w:rPr>
          <w:rFonts w:ascii="Times New Roman" w:hAnsi="Times New Roman" w:cs="Times New Roman"/>
        </w:rPr>
        <w:t xml:space="preserve"> wynikają z konieczności wykorzystania systemu teleinformatycznego SI „Pobyt”</w:t>
      </w:r>
      <w:r w:rsidR="00F93643" w:rsidRPr="00FD7F67">
        <w:rPr>
          <w:rFonts w:ascii="Times New Roman" w:hAnsi="Times New Roman" w:cs="Times New Roman"/>
        </w:rPr>
        <w:t xml:space="preserve"> v.3</w:t>
      </w:r>
      <w:r w:rsidR="00BD08D0" w:rsidRPr="00FD7F67">
        <w:rPr>
          <w:rFonts w:ascii="Times New Roman" w:hAnsi="Times New Roman" w:cs="Times New Roman"/>
        </w:rPr>
        <w:t>, prowadzonego przez Szefa Urzędu do Spraw Cudzoziemców, do</w:t>
      </w:r>
      <w:r w:rsidR="002556CF" w:rsidRPr="00FD7F67">
        <w:rPr>
          <w:rFonts w:ascii="Times New Roman" w:hAnsi="Times New Roman" w:cs="Times New Roman"/>
        </w:rPr>
        <w:t> </w:t>
      </w:r>
      <w:r w:rsidR="00BD08D0" w:rsidRPr="00FD7F67">
        <w:rPr>
          <w:rFonts w:ascii="Times New Roman" w:hAnsi="Times New Roman" w:cs="Times New Roman"/>
        </w:rPr>
        <w:t>realizacji przez organy Straży Granicznej, Szefa Urzędu do Spraw Cudzoziemców oraz Radę do Spraw Uchodźców zadań wynikających z przepisów rozporządzenia Parlamentu Europejskiego i Rady (UE) nr 603/2013 z dnia 26 czerwca 2013 r. w sprawie ustanowienia systemu Eurodac do porównywania odcisków palców w celu skutecznego stosowania rozporządzenia (UE) nr 604/2013 w sprawie ustanowienia kryteriów i mechanizmów ustalania państwa członkowskiego odpowiedzialnego za</w:t>
      </w:r>
      <w:r w:rsidR="002556CF" w:rsidRPr="00FD7F67">
        <w:rPr>
          <w:rFonts w:ascii="Times New Roman" w:hAnsi="Times New Roman" w:cs="Times New Roman"/>
        </w:rPr>
        <w:t> </w:t>
      </w:r>
      <w:r w:rsidR="00BD08D0" w:rsidRPr="00FD7F67">
        <w:rPr>
          <w:rFonts w:ascii="Times New Roman" w:hAnsi="Times New Roman" w:cs="Times New Roman"/>
        </w:rPr>
        <w:t>rozpatrzenie wniosku o udzielenie ochrony międzynarodowej złożonego w jednym z państw członkowskich przez obywatela państwa trzeciego lub bezpaństwowca oraz w sprawie występowania o</w:t>
      </w:r>
      <w:r w:rsidR="002556CF" w:rsidRPr="00FD7F67">
        <w:rPr>
          <w:rFonts w:ascii="Times New Roman" w:hAnsi="Times New Roman" w:cs="Times New Roman"/>
        </w:rPr>
        <w:t> </w:t>
      </w:r>
      <w:r w:rsidR="00BD08D0" w:rsidRPr="00FD7F67">
        <w:rPr>
          <w:rFonts w:ascii="Times New Roman" w:hAnsi="Times New Roman" w:cs="Times New Roman"/>
        </w:rPr>
        <w:t>porównanie z danymi Eurodac przez organy ścigania państw członkowskich i Europol na potrzeby ochrony porządku publicznego, oraz zmieniającego rozporządzenie (UE) nr 1077/2011 ustanawiające Europejską Agencję ds. Zarządzania Operacyjnego Wielkoskalowymi Systemami Informatycznymi w</w:t>
      </w:r>
      <w:r w:rsidR="002556CF" w:rsidRPr="00FD7F67">
        <w:rPr>
          <w:rFonts w:ascii="Times New Roman" w:hAnsi="Times New Roman" w:cs="Times New Roman"/>
        </w:rPr>
        <w:t> </w:t>
      </w:r>
      <w:r w:rsidR="00BD08D0" w:rsidRPr="00FD7F67">
        <w:rPr>
          <w:rFonts w:ascii="Times New Roman" w:hAnsi="Times New Roman" w:cs="Times New Roman"/>
        </w:rPr>
        <w:t>Przestrzeni Wolności, Bezpieczeństwa i Sprawiedliwości (wersja przekształcona) (Dz. Urz. UE L 180 z 29.06.2013, str. 1). To wykorzystanie systemu teleinformatycznego w obecnych uwarunkowaniach, przejawiających się w zwiększonej liczbie wniosków o udzielenie ochrony międzynarodowej składanych na marginesie większego zjawiska w postaci masowego napływu cudzoziemców z</w:t>
      </w:r>
      <w:r w:rsidR="002556CF" w:rsidRPr="00FD7F67">
        <w:rPr>
          <w:rFonts w:ascii="Times New Roman" w:hAnsi="Times New Roman" w:cs="Times New Roman"/>
        </w:rPr>
        <w:t> </w:t>
      </w:r>
      <w:r w:rsidR="00BD08D0" w:rsidRPr="00FD7F67">
        <w:rPr>
          <w:rFonts w:ascii="Times New Roman" w:hAnsi="Times New Roman" w:cs="Times New Roman"/>
        </w:rPr>
        <w:t>terytorium Ukrainy.</w:t>
      </w:r>
    </w:p>
    <w:p w14:paraId="62054DFF" w14:textId="4B622914" w:rsidR="005E0256" w:rsidRPr="00FD7F67" w:rsidRDefault="005E0256" w:rsidP="005E0256">
      <w:pPr>
        <w:spacing w:line="276" w:lineRule="auto"/>
        <w:jc w:val="both"/>
        <w:rPr>
          <w:rFonts w:ascii="Times New Roman" w:hAnsi="Times New Roman" w:cs="Times New Roman"/>
        </w:rPr>
      </w:pPr>
      <w:r w:rsidRPr="00FD7F67">
        <w:rPr>
          <w:rFonts w:ascii="Times New Roman" w:hAnsi="Times New Roman" w:cs="Times New Roman"/>
        </w:rPr>
        <w:t>W ustawie z dnia 12 marca 2022 r. o pomocy obywatelom Ukrainy w związku z konfliktem zbrojnym na terytorium tego państwa zaproponowano dodanie art. 3a, który ureguluje właściwość Komendanta Głównego Straży Granicznej jako organu pełniącego funkcję krajowego punktu kontaktowego do celów wymiany z właściwymi organami innych państw członkowskich Unii Europejskiej informacji dotyczących osób korzystających z ochrony czasowej w rozumieniu art. 106 ust. 1 ustawy z dnia 13 czerwca 2003 r. o udzielaniu cudzoziemcom ochrony na terytorium Rzeczypospolitej Polskiej. Obywatele Ukrainy, których pobyt na terytorium Rzeczypospolitej Polskiej jest uznawany za legalny na podstawie art. 2 ust. 1 ustawy z dnia 12 marca 2022 r. o pomocy obywatelom Ukrainy w związku z</w:t>
      </w:r>
      <w:r w:rsidR="001E3518" w:rsidRPr="00FD7F67">
        <w:rPr>
          <w:rFonts w:ascii="Times New Roman" w:hAnsi="Times New Roman" w:cs="Times New Roman"/>
        </w:rPr>
        <w:t> </w:t>
      </w:r>
      <w:r w:rsidRPr="00FD7F67">
        <w:rPr>
          <w:rFonts w:ascii="Times New Roman" w:hAnsi="Times New Roman" w:cs="Times New Roman"/>
        </w:rPr>
        <w:t>konfliktem zbrojnym na terytorium tego państwa, są zgodnie z art. 2 ust. 6 tej ustawy uważani za osoby korzystające z ochrony czasowej. W związku z inwazją rosyjską na terytorium Ukrainy oraz wywołanym nią masowym napływem cudzoziemców (w szczególności obywateli Ukrainy) na terytorium państw członkowskich Unii Europejskiej została na mocy decyzji wykonawczej Rady (UE) 2022/382 z dnia 4 marca 2022 r. stwierdzającej istnienie masowego napływu wysiedleńców z Ukrainy w rozumieniu art. 5 dyrektywy 2001/55/WE i skutkującej wprowadzeniem tymczasowej ochrony (Dz.</w:t>
      </w:r>
      <w:r w:rsidR="001E3518" w:rsidRPr="00FD7F67">
        <w:rPr>
          <w:rFonts w:ascii="Times New Roman" w:hAnsi="Times New Roman" w:cs="Times New Roman"/>
        </w:rPr>
        <w:t> </w:t>
      </w:r>
      <w:r w:rsidRPr="00FD7F67">
        <w:rPr>
          <w:rFonts w:ascii="Times New Roman" w:hAnsi="Times New Roman" w:cs="Times New Roman"/>
        </w:rPr>
        <w:t>Urz. UE L 71, z 4.3.2022, str. 1–6) uruchomiona instytucja ochrony czasowej, o której mowa w</w:t>
      </w:r>
      <w:r w:rsidR="001E3518" w:rsidRPr="00FD7F67">
        <w:rPr>
          <w:rFonts w:ascii="Times New Roman" w:hAnsi="Times New Roman" w:cs="Times New Roman"/>
        </w:rPr>
        <w:t> </w:t>
      </w:r>
      <w:r w:rsidRPr="00FD7F67">
        <w:rPr>
          <w:rFonts w:ascii="Times New Roman" w:hAnsi="Times New Roman" w:cs="Times New Roman"/>
        </w:rPr>
        <w:t>dyrektywie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(Dz. Urz. WE L 212 z 07.08.2001). Ochrona czasowa w polskim porządku prawnym, w odniesieniu do sytuacji napływu cudzoziemców z terytorium Ukrainy, została wdrożona dwutorowo. Zdecydowana większość cudzoziemców objętych zakresem obligatoryjnym art.</w:t>
      </w:r>
      <w:r w:rsidR="001E3518" w:rsidRPr="00FD7F67">
        <w:rPr>
          <w:rFonts w:ascii="Times New Roman" w:hAnsi="Times New Roman" w:cs="Times New Roman"/>
        </w:rPr>
        <w:t> </w:t>
      </w:r>
      <w:r w:rsidRPr="00FD7F67">
        <w:rPr>
          <w:rFonts w:ascii="Times New Roman" w:hAnsi="Times New Roman" w:cs="Times New Roman"/>
        </w:rPr>
        <w:t>2 ust. 1 i 2 decyzji wykonawczej objęta jest zakresem ustawy z dnia 12 marca 2022 r. o pomocy obywatelom Ukrainy w związku z konfliktem zbrojnym na terytorium tego państwa, która przewiduje w art. 2 ust. 1 uprawnienie do pobytu wynoszącego 18 miesięcy (pobyt uznawany za legalny) oraz towarzyszące mu uprawnienia. Art. 27 ust. 1 dyrektywy 2001/55/WE ustanawia obowiązek ustanowienia krajowego punktu kontaktowego w każdym państwie członkowskim. Zaproponowano zatem, aby Komendant Główny Straży Granicznej, który zgodnie z art. 3 ust. 3 ustawy, prowadzi w</w:t>
      </w:r>
      <w:r w:rsidR="001E3518" w:rsidRPr="00FD7F67">
        <w:rPr>
          <w:rFonts w:ascii="Times New Roman" w:hAnsi="Times New Roman" w:cs="Times New Roman"/>
        </w:rPr>
        <w:t> </w:t>
      </w:r>
      <w:r w:rsidRPr="00FD7F67">
        <w:rPr>
          <w:rFonts w:ascii="Times New Roman" w:hAnsi="Times New Roman" w:cs="Times New Roman"/>
        </w:rPr>
        <w:t>systemie teleinformatycznym Straży Granicznej rejestr obywateli Ukrainy, którzy przybyli na</w:t>
      </w:r>
      <w:r w:rsidR="001E3518" w:rsidRPr="00FD7F67">
        <w:rPr>
          <w:rFonts w:ascii="Times New Roman" w:hAnsi="Times New Roman" w:cs="Times New Roman"/>
        </w:rPr>
        <w:t> </w:t>
      </w:r>
      <w:r w:rsidRPr="00FD7F67">
        <w:rPr>
          <w:rFonts w:ascii="Times New Roman" w:hAnsi="Times New Roman" w:cs="Times New Roman"/>
        </w:rPr>
        <w:t xml:space="preserve">terytorium Rzeczypospolitej Polskiej z terytorium Ukrainy w związku z działaniami wojennymi </w:t>
      </w:r>
      <w:r w:rsidRPr="00FD7F67">
        <w:rPr>
          <w:rFonts w:ascii="Times New Roman" w:hAnsi="Times New Roman" w:cs="Times New Roman"/>
        </w:rPr>
        <w:lastRenderedPageBreak/>
        <w:t>prowadzonymi na terytorium Ukrainy oraz którzy złożyli wniosek o nadanie numeru PESEL zgodnie z</w:t>
      </w:r>
      <w:r w:rsidR="001E3518" w:rsidRPr="00FD7F67">
        <w:rPr>
          <w:rFonts w:ascii="Times New Roman" w:hAnsi="Times New Roman" w:cs="Times New Roman"/>
        </w:rPr>
        <w:t> </w:t>
      </w:r>
      <w:r w:rsidRPr="00FD7F67">
        <w:rPr>
          <w:rFonts w:ascii="Times New Roman" w:hAnsi="Times New Roman" w:cs="Times New Roman"/>
        </w:rPr>
        <w:t xml:space="preserve">art. 4 ust. 1 tej ustawy, został organem pierwszym z organów pełniących funkcję krajowego punktu kontaktowego. Jednocześnie drugim organem, który będzie pełnił funkcję krajowego punktu kontaktowego będzie, zgodnie z projektowanym przepisem </w:t>
      </w:r>
      <w:r w:rsidRPr="00FD7F67">
        <w:rPr>
          <w:rFonts w:ascii="Times New Roman" w:hAnsi="Times New Roman" w:cs="Times New Roman"/>
          <w:b/>
        </w:rPr>
        <w:t>art. 118a</w:t>
      </w:r>
      <w:r w:rsidRPr="00FD7F67">
        <w:rPr>
          <w:rFonts w:ascii="Times New Roman" w:hAnsi="Times New Roman" w:cs="Times New Roman"/>
        </w:rPr>
        <w:t xml:space="preserve"> </w:t>
      </w:r>
      <w:r w:rsidR="001E3518" w:rsidRPr="00FD7F67">
        <w:rPr>
          <w:rFonts w:ascii="Times New Roman" w:hAnsi="Times New Roman" w:cs="Times New Roman"/>
        </w:rPr>
        <w:t xml:space="preserve">do </w:t>
      </w:r>
      <w:r w:rsidRPr="00FD7F67">
        <w:rPr>
          <w:rFonts w:ascii="Times New Roman" w:hAnsi="Times New Roman" w:cs="Times New Roman"/>
        </w:rPr>
        <w:t>ustawy z dnia 13 czerwca 2003 r. o udzielaniu cudzoziemcom ochrony na terytorium Rzeczypospolitej Polskiej, Szef Urzędu do Spraw Cudzoziemców, który w krajowym zbiorze rejestrów, ewidencji i wykazu w sprawach cudzoziemców prowadzi rejestr spraw o udzielenie ochrony czasowej (art. 119 ust. 1 pkt 5). W tym rejestrze znajdują się dane innych cudzoziemców objętych zakresem art. 2 ust. 1 i 2 decyzji wykonawczej, a do których nie mają zastosowania przepisy ustawy z dnia 12 marca 2022 r. o pomocy obywatelom Ukrainy w</w:t>
      </w:r>
      <w:r w:rsidR="001E3518" w:rsidRPr="00FD7F67">
        <w:rPr>
          <w:rFonts w:ascii="Times New Roman" w:hAnsi="Times New Roman" w:cs="Times New Roman"/>
        </w:rPr>
        <w:t> </w:t>
      </w:r>
      <w:r w:rsidRPr="00FD7F67">
        <w:rPr>
          <w:rFonts w:ascii="Times New Roman" w:hAnsi="Times New Roman" w:cs="Times New Roman"/>
        </w:rPr>
        <w:t xml:space="preserve">związku z konfliktem zbrojnym na terytorium tego państwa. </w:t>
      </w:r>
      <w:r w:rsidR="001E3518" w:rsidRPr="00FD7F67">
        <w:rPr>
          <w:rFonts w:ascii="Times New Roman" w:hAnsi="Times New Roman" w:cs="Times New Roman"/>
        </w:rPr>
        <w:t>W odniesieniu do</w:t>
      </w:r>
      <w:r w:rsidRPr="00FD7F67">
        <w:rPr>
          <w:rFonts w:ascii="Times New Roman" w:hAnsi="Times New Roman" w:cs="Times New Roman"/>
        </w:rPr>
        <w:t xml:space="preserve"> podział</w:t>
      </w:r>
      <w:r w:rsidR="001E3518" w:rsidRPr="00FD7F67">
        <w:rPr>
          <w:rFonts w:ascii="Times New Roman" w:hAnsi="Times New Roman" w:cs="Times New Roman"/>
        </w:rPr>
        <w:t>u</w:t>
      </w:r>
      <w:r w:rsidRPr="00FD7F67">
        <w:rPr>
          <w:rFonts w:ascii="Times New Roman" w:hAnsi="Times New Roman" w:cs="Times New Roman"/>
        </w:rPr>
        <w:t xml:space="preserve"> obowiązków pomiędzy oboma organami, to w zakresie właściwości Komendanta Głównego Straży Granicznej pozostawać będzie przekazywanie organom innych państw członkowskich Unii Europejskiej informacji dotyczących obywateli Ukrainy, o których mowa w art. 2 ust. 1 ustawy, zaś w zakresie właściwości Szefa Urzędu do Spraw Cudzoziemców będzie pozostawać przekazywanie informacji o tych cudzoziemcach, którzy korzystają z ochrony czasowej, do których mają zastosowanie przepisy Rozdziału 3 Działu III ustawy o udzielaniu cudzoziemcom ochrony na terytorium Rzeczypospolitej Polskiej. </w:t>
      </w:r>
    </w:p>
    <w:p w14:paraId="355734B7" w14:textId="77777777" w:rsidR="007D519D" w:rsidRPr="00FD7F67" w:rsidRDefault="007D519D" w:rsidP="002556CF">
      <w:pPr>
        <w:pStyle w:val="Akapitzlist"/>
        <w:spacing w:after="120" w:line="276" w:lineRule="auto"/>
        <w:ind w:left="0"/>
        <w:jc w:val="both"/>
        <w:rPr>
          <w:rFonts w:ascii="Times New Roman" w:hAnsi="Times New Roman" w:cs="Times New Roman"/>
          <w:b/>
          <w:strike/>
        </w:rPr>
      </w:pPr>
      <w:r w:rsidRPr="00FD7F67">
        <w:rPr>
          <w:rFonts w:ascii="Times New Roman" w:hAnsi="Times New Roman" w:cs="Times New Roman"/>
          <w:b/>
        </w:rPr>
        <w:t>2. ustawy z dnia 12 grudnia 2013 r. o cudzoziemcach (Dz. U. z 2021 r. poz. 2354</w:t>
      </w:r>
      <w:r w:rsidR="002556CF" w:rsidRPr="00FD7F67">
        <w:rPr>
          <w:rFonts w:ascii="Times New Roman" w:hAnsi="Times New Roman" w:cs="Times New Roman"/>
          <w:b/>
        </w:rPr>
        <w:t>, z późn. zm.</w:t>
      </w:r>
      <w:r w:rsidRPr="00FD7F67">
        <w:rPr>
          <w:rFonts w:ascii="Times New Roman" w:hAnsi="Times New Roman" w:cs="Times New Roman"/>
          <w:b/>
        </w:rPr>
        <w:t>)</w:t>
      </w:r>
    </w:p>
    <w:p w14:paraId="6D8E1231" w14:textId="77777777" w:rsidR="00E77B1E" w:rsidRPr="00FD7F67" w:rsidRDefault="00E77B1E" w:rsidP="002556CF">
      <w:pPr>
        <w:pStyle w:val="wordsection1"/>
        <w:spacing w:line="276" w:lineRule="auto"/>
        <w:jc w:val="both"/>
        <w:rPr>
          <w:rFonts w:ascii="Times New Roman" w:hAnsi="Times New Roman" w:cs="Times New Roman"/>
          <w:lang w:eastAsia="pl-PL"/>
        </w:rPr>
      </w:pPr>
      <w:r w:rsidRPr="00FD7F67">
        <w:rPr>
          <w:rFonts w:ascii="Times New Roman" w:hAnsi="Times New Roman" w:cs="Times New Roman"/>
          <w:lang w:eastAsia="pl-PL"/>
        </w:rPr>
        <w:t xml:space="preserve">Przepis </w:t>
      </w:r>
      <w:r w:rsidRPr="00FD7F67">
        <w:rPr>
          <w:rFonts w:ascii="Times New Roman" w:hAnsi="Times New Roman" w:cs="Times New Roman"/>
          <w:b/>
          <w:lang w:eastAsia="pl-PL"/>
        </w:rPr>
        <w:t>art. 77 ust. 11</w:t>
      </w:r>
      <w:r w:rsidRPr="00FD7F67">
        <w:rPr>
          <w:rFonts w:ascii="Times New Roman" w:hAnsi="Times New Roman" w:cs="Times New Roman"/>
          <w:lang w:eastAsia="pl-PL"/>
        </w:rPr>
        <w:t xml:space="preserve"> ustawy w obecnym brzmieniu uwzględnia możliwość wskazania przez Ministra Spraw Zagranicznych państw a w dalszej kolejności także zawodów, rodzajów umów lub rodzajów działalności podmiotu powierzającego wykonywanie pracy cudzoziemcowi, do których zastosowanie miałaby procedura priorytetowego przyjmowania i rozpoznawania wniosków o wydanie wiz</w:t>
      </w:r>
      <w:r w:rsidR="002556CF" w:rsidRPr="00FD7F67">
        <w:rPr>
          <w:rFonts w:ascii="Times New Roman" w:hAnsi="Times New Roman" w:cs="Times New Roman"/>
          <w:lang w:eastAsia="pl-PL"/>
        </w:rPr>
        <w:t> </w:t>
      </w:r>
      <w:r w:rsidRPr="00FD7F67">
        <w:rPr>
          <w:rFonts w:ascii="Times New Roman" w:hAnsi="Times New Roman" w:cs="Times New Roman"/>
          <w:lang w:eastAsia="pl-PL"/>
        </w:rPr>
        <w:t>pracowniczych. Przeprowadzane przez Ministerstwo Spraw Zagranicznych analizy wskazują, że</w:t>
      </w:r>
      <w:r w:rsidR="002556CF" w:rsidRPr="00FD7F67">
        <w:rPr>
          <w:rFonts w:ascii="Times New Roman" w:hAnsi="Times New Roman" w:cs="Times New Roman"/>
          <w:lang w:eastAsia="pl-PL"/>
        </w:rPr>
        <w:t> </w:t>
      </w:r>
      <w:r w:rsidRPr="00FD7F67">
        <w:rPr>
          <w:rFonts w:ascii="Times New Roman" w:hAnsi="Times New Roman" w:cs="Times New Roman"/>
          <w:lang w:eastAsia="pl-PL"/>
        </w:rPr>
        <w:t>wyliczenie</w:t>
      </w:r>
      <w:r w:rsidRPr="00FD7F67">
        <w:rPr>
          <w:rFonts w:ascii="Times New Roman" w:hAnsi="Times New Roman" w:cs="Times New Roman"/>
          <w:shd w:val="clear" w:color="auto" w:fill="FFFFFF"/>
        </w:rPr>
        <w:t xml:space="preserve"> państw powinno mieć charakter fakultatywny, zaś obowiązkowe powinno być wyliczenie zawodów czy rodzajów działalności. Istnieje bowiem obecnie (szczególnie w kontekście działań wojennych na Ukrainie i zaprzestania funkcjonowania tam polskich urzędów konsularnych) potrzeba odmiennego </w:t>
      </w:r>
      <w:r w:rsidRPr="00FD7F67">
        <w:rPr>
          <w:rFonts w:ascii="Times New Roman" w:hAnsi="Times New Roman" w:cs="Times New Roman"/>
        </w:rPr>
        <w:t>wypracowania rozwiązań w zakresie usprawniania podejmowania zatrudnienia w Polsce przez obcokrajowców o kwalifikacjach pożądanych dla polskiej gospodarki, niezależnie od kraju pochodzenia cudzoziemca,  w szczególności określenie grup zawodów, w których w najbliższym czasie prognozowane są na polskim rynku pracy szczególne braki. W związku z czym kryterium zawodu powinno stanowić podstawę do priorytetowego traktowania wniosków wizowych, a określenie państwa pochodzenia cudzoziemca powinno mieć walor subsydiarny.</w:t>
      </w:r>
    </w:p>
    <w:p w14:paraId="7E5CC71A" w14:textId="77777777" w:rsidR="00E77B1E" w:rsidRPr="00FD7F67" w:rsidRDefault="002556CF" w:rsidP="002556CF">
      <w:pPr>
        <w:spacing w:after="0" w:line="276" w:lineRule="auto"/>
        <w:jc w:val="both"/>
        <w:rPr>
          <w:rFonts w:ascii="Times New Roman" w:hAnsi="Times New Roman" w:cs="Times New Roman"/>
        </w:rPr>
      </w:pPr>
      <w:r w:rsidRPr="00FD7F67">
        <w:rPr>
          <w:rFonts w:ascii="Times New Roman" w:hAnsi="Times New Roman" w:cs="Times New Roman"/>
          <w:shd w:val="clear" w:color="auto" w:fill="FFFFFF"/>
        </w:rPr>
        <w:t>Aktualne</w:t>
      </w:r>
      <w:r w:rsidR="00E77B1E" w:rsidRPr="00FD7F67">
        <w:rPr>
          <w:rFonts w:ascii="Times New Roman" w:hAnsi="Times New Roman" w:cs="Times New Roman"/>
          <w:shd w:val="clear" w:color="auto" w:fill="FFFFFF"/>
        </w:rPr>
        <w:t xml:space="preserve"> brzmienie </w:t>
      </w:r>
      <w:r w:rsidR="00E77B1E" w:rsidRPr="00FD7F67">
        <w:rPr>
          <w:rFonts w:ascii="Times New Roman" w:hAnsi="Times New Roman" w:cs="Times New Roman"/>
          <w:b/>
        </w:rPr>
        <w:t>art. 79a</w:t>
      </w:r>
      <w:r w:rsidR="003B03FA" w:rsidRPr="00FD7F67">
        <w:rPr>
          <w:rFonts w:ascii="Times New Roman" w:hAnsi="Times New Roman" w:cs="Times New Roman"/>
          <w:b/>
        </w:rPr>
        <w:t xml:space="preserve"> ust. 2</w:t>
      </w:r>
      <w:r w:rsidR="00E77B1E" w:rsidRPr="00FD7F67">
        <w:rPr>
          <w:rFonts w:ascii="Times New Roman" w:hAnsi="Times New Roman" w:cs="Times New Roman"/>
        </w:rPr>
        <w:t xml:space="preserve"> </w:t>
      </w:r>
      <w:r w:rsidR="00E77B1E" w:rsidRPr="00FD7F67">
        <w:rPr>
          <w:rFonts w:ascii="Times New Roman" w:hAnsi="Times New Roman" w:cs="Times New Roman"/>
          <w:shd w:val="clear" w:color="auto" w:fill="FFFFFF"/>
        </w:rPr>
        <w:t>wskazuje, że przy wyborze przedsiębiorcy, z którego pomocy będzie korzystał Minister Spraw Zagranicznych, należy się kierować rozeznaniem, czy przedmiotem działalności danego przedsiębiorcy jest prowadzenie działalności obejmującej czynności, których dokonują usługodawcy zewnętrzni, o których mowa w art. 43 Wspólnotowego Kodeksu Wizowego, co ewentualnie może ograniczać krąg podmiotów poprzez wyłączenie takich przedsiębiorców, którzy co prawda mają potencjał logistyczny do świadczenia usług, ale nie jest to ich przedmiotem statutowej działalności. Proponowana zmiana brzmienia tego przepisu ma na celu objęcie nim również podmiotów, nie posiadające w swojej działalności statutowej prowadzenia tzw. „outsourcingu wizowego”, z uwagi na ograniczoną podaż takich podmiotów, lecz mogące podjąć się takiej działalności. Poprzez rozbudowaną na terenie całego kraju infrastrukturę oraz doświadczenie w świadczeniu usług dla ludności będą one z pewnością w stanie skutecznie wesprzeć proces wydawania wiz przez Ministra Spraw Zagranicznych.</w:t>
      </w:r>
    </w:p>
    <w:p w14:paraId="484F2077" w14:textId="77777777" w:rsidR="00E77B1E" w:rsidRPr="00FD7F67" w:rsidRDefault="00E77B1E" w:rsidP="003B03FA">
      <w:pPr>
        <w:spacing w:after="0" w:line="276" w:lineRule="auto"/>
        <w:jc w:val="both"/>
        <w:rPr>
          <w:rFonts w:ascii="Times New Roman" w:hAnsi="Times New Roman" w:cs="Times New Roman"/>
          <w:i/>
          <w:iCs/>
        </w:rPr>
      </w:pPr>
      <w:r w:rsidRPr="00FD7F67">
        <w:rPr>
          <w:rFonts w:ascii="Times New Roman" w:hAnsi="Times New Roman" w:cs="Times New Roman"/>
        </w:rPr>
        <w:t xml:space="preserve">Ponadto zaproponowano rozszerzenie zakresu przepisu </w:t>
      </w:r>
      <w:r w:rsidRPr="00FD7F67">
        <w:rPr>
          <w:rFonts w:ascii="Times New Roman" w:hAnsi="Times New Roman" w:cs="Times New Roman"/>
          <w:b/>
        </w:rPr>
        <w:t>art. 79a ust. 3</w:t>
      </w:r>
      <w:r w:rsidRPr="00FD7F67">
        <w:rPr>
          <w:rFonts w:ascii="Times New Roman" w:hAnsi="Times New Roman" w:cs="Times New Roman"/>
        </w:rPr>
        <w:t xml:space="preserve">, poprzez wyłączenie również przepisów ustawy z dnia 21 października 2016 r. o </w:t>
      </w:r>
      <w:r w:rsidR="001B04A3" w:rsidRPr="00FD7F67">
        <w:rPr>
          <w:rFonts w:ascii="Times New Roman" w:hAnsi="Times New Roman" w:cs="Times New Roman"/>
        </w:rPr>
        <w:t xml:space="preserve">umowie </w:t>
      </w:r>
      <w:r w:rsidRPr="00FD7F67">
        <w:rPr>
          <w:rFonts w:ascii="Times New Roman" w:hAnsi="Times New Roman" w:cs="Times New Roman"/>
        </w:rPr>
        <w:t>koncesji na roboty budowalne lub usługi (Dz.</w:t>
      </w:r>
      <w:r w:rsidR="003B03FA" w:rsidRPr="00FD7F67">
        <w:rPr>
          <w:rFonts w:ascii="Times New Roman" w:hAnsi="Times New Roman" w:cs="Times New Roman"/>
        </w:rPr>
        <w:t> </w:t>
      </w:r>
      <w:r w:rsidRPr="00FD7F67">
        <w:rPr>
          <w:rFonts w:ascii="Times New Roman" w:hAnsi="Times New Roman" w:cs="Times New Roman"/>
        </w:rPr>
        <w:t>U.</w:t>
      </w:r>
      <w:r w:rsidR="003B03FA" w:rsidRPr="00FD7F67">
        <w:rPr>
          <w:rFonts w:ascii="Times New Roman" w:hAnsi="Times New Roman" w:cs="Times New Roman"/>
        </w:rPr>
        <w:t> </w:t>
      </w:r>
      <w:r w:rsidRPr="00FD7F67">
        <w:rPr>
          <w:rFonts w:ascii="Times New Roman" w:hAnsi="Times New Roman" w:cs="Times New Roman"/>
        </w:rPr>
        <w:t>z</w:t>
      </w:r>
      <w:r w:rsidR="003B03FA" w:rsidRPr="00FD7F67">
        <w:rPr>
          <w:rFonts w:ascii="Times New Roman" w:hAnsi="Times New Roman" w:cs="Times New Roman"/>
        </w:rPr>
        <w:t> </w:t>
      </w:r>
      <w:r w:rsidRPr="00FD7F67">
        <w:rPr>
          <w:rFonts w:ascii="Times New Roman" w:hAnsi="Times New Roman" w:cs="Times New Roman"/>
        </w:rPr>
        <w:t>2021 r. poz. 541).</w:t>
      </w:r>
    </w:p>
    <w:p w14:paraId="1E9D3DFD" w14:textId="77777777" w:rsidR="00E77B1E" w:rsidRPr="00FD7F67" w:rsidRDefault="00E77B1E" w:rsidP="00F124FB">
      <w:pPr>
        <w:spacing w:after="0" w:line="276" w:lineRule="auto"/>
        <w:jc w:val="both"/>
        <w:rPr>
          <w:rFonts w:ascii="Times New Roman" w:hAnsi="Times New Roman" w:cs="Times New Roman"/>
          <w:shd w:val="clear" w:color="auto" w:fill="FFFFFF"/>
        </w:rPr>
      </w:pPr>
      <w:r w:rsidRPr="00FD7F67">
        <w:rPr>
          <w:rFonts w:ascii="Times New Roman" w:hAnsi="Times New Roman" w:cs="Times New Roman"/>
        </w:rPr>
        <w:t>Art. 43 ust. 1 Wspólnotowego Kodeksu Wizowego stanowi, iż p</w:t>
      </w:r>
      <w:r w:rsidRPr="00FD7F67">
        <w:rPr>
          <w:rFonts w:ascii="Times New Roman" w:hAnsi="Times New Roman" w:cs="Times New Roman"/>
          <w:shd w:val="clear" w:color="auto" w:fill="FFFFFF"/>
        </w:rPr>
        <w:t xml:space="preserve">aństwa członkowskie dążą do tego, aby współpraca z usługodawcą zewnętrznym obejmowała co najmniej jeszcze jedno państwo członkowskie, bez uszczerbku dla przepisów o zamówieniach publicznych i zasad konkurencji. W świetle regulacji </w:t>
      </w:r>
      <w:r w:rsidRPr="00FD7F67">
        <w:rPr>
          <w:rFonts w:ascii="Times New Roman" w:hAnsi="Times New Roman" w:cs="Times New Roman"/>
          <w:shd w:val="clear" w:color="auto" w:fill="FFFFFF"/>
        </w:rPr>
        <w:lastRenderedPageBreak/>
        <w:t xml:space="preserve">Unii Europejskiej nabywanie przez sektor publiczny robót budowlanych, dostaw lub usług, odbywa się z wykorzystaniem zamówień publicznych lub koncesji i tym samym są to dwie pokrewne instytucje mogące mieć zastosowanie do wyboru usługodawcy zewnętrznego. Praktyka w tym zakresie jest różna w zależności od państwa zobowiązanego do stosowania przepisów Wspólnotowego Kodeksu Wizowego. O ile podmioty polskie dotychczas opierały się na przepisach o zamówieniach publicznych, to znane są również przypadki innych państw unijnych, które stosowały raczej przepisy </w:t>
      </w:r>
      <w:r w:rsidRPr="00FD7F67">
        <w:rPr>
          <w:rFonts w:ascii="Times New Roman" w:hAnsi="Times New Roman" w:cs="Times New Roman"/>
          <w:shd w:val="clear" w:color="auto" w:fill="FFFFFF"/>
        </w:rPr>
        <w:br/>
        <w:t>o koncesjach. Tym samym, dla uniknięcia wątpliwości, co do intencji ustawodawcy, zasadne byłoby konsekwentne wyłączenie przepisów ustawy o</w:t>
      </w:r>
      <w:r w:rsidR="001B04A3" w:rsidRPr="00FD7F67">
        <w:rPr>
          <w:rFonts w:ascii="Times New Roman" w:hAnsi="Times New Roman" w:cs="Times New Roman"/>
          <w:shd w:val="clear" w:color="auto" w:fill="FFFFFF"/>
        </w:rPr>
        <w:t xml:space="preserve"> umowie</w:t>
      </w:r>
      <w:r w:rsidRPr="00FD7F67">
        <w:rPr>
          <w:rFonts w:ascii="Times New Roman" w:hAnsi="Times New Roman" w:cs="Times New Roman"/>
          <w:shd w:val="clear" w:color="auto" w:fill="FFFFFF"/>
        </w:rPr>
        <w:t xml:space="preserve"> koncesji na roboty budowalne i usługi na równi z przepisami o zamówieniach publicznych, przy zachowaniu jednak obowiązku zapewnienie konkurencyjności.</w:t>
      </w:r>
    </w:p>
    <w:p w14:paraId="115FD4B3" w14:textId="77777777" w:rsidR="00E77B1E" w:rsidRPr="00FD7F67" w:rsidRDefault="00E77B1E" w:rsidP="00F124FB">
      <w:pPr>
        <w:spacing w:after="0" w:line="276" w:lineRule="auto"/>
        <w:jc w:val="both"/>
        <w:rPr>
          <w:rFonts w:ascii="Times New Roman" w:hAnsi="Times New Roman" w:cs="Times New Roman"/>
        </w:rPr>
      </w:pPr>
      <w:r w:rsidRPr="00FD7F67">
        <w:rPr>
          <w:rFonts w:ascii="Times New Roman" w:hAnsi="Times New Roman" w:cs="Times New Roman"/>
        </w:rPr>
        <w:t>Jednocześnie, w związku z wprowadzeniem do ust</w:t>
      </w:r>
      <w:r w:rsidR="003B03FA" w:rsidRPr="00FD7F67">
        <w:rPr>
          <w:rFonts w:ascii="Times New Roman" w:hAnsi="Times New Roman" w:cs="Times New Roman"/>
        </w:rPr>
        <w:t>awy art. 79a, zachodzi potrzeba</w:t>
      </w:r>
      <w:r w:rsidRPr="00FD7F67">
        <w:rPr>
          <w:rFonts w:ascii="Times New Roman" w:hAnsi="Times New Roman" w:cs="Times New Roman"/>
        </w:rPr>
        <w:t xml:space="preserve"> uwzględnienia nowych regulacji w przedmiocie opłat pobieranych za wydanie wizy.</w:t>
      </w:r>
      <w:r w:rsidR="002556CF" w:rsidRPr="00FD7F67">
        <w:rPr>
          <w:rFonts w:ascii="Times New Roman" w:hAnsi="Times New Roman" w:cs="Times New Roman"/>
        </w:rPr>
        <w:t>, dlatego</w:t>
      </w:r>
      <w:r w:rsidRPr="00FD7F67">
        <w:rPr>
          <w:rFonts w:ascii="Times New Roman" w:hAnsi="Times New Roman" w:cs="Times New Roman"/>
        </w:rPr>
        <w:t xml:space="preserve"> </w:t>
      </w:r>
      <w:r w:rsidR="002556CF" w:rsidRPr="00FD7F67">
        <w:rPr>
          <w:rFonts w:ascii="Times New Roman" w:hAnsi="Times New Roman" w:cs="Times New Roman"/>
        </w:rPr>
        <w:t>z</w:t>
      </w:r>
      <w:r w:rsidR="003B03FA" w:rsidRPr="00FD7F67">
        <w:rPr>
          <w:rFonts w:ascii="Times New Roman" w:hAnsi="Times New Roman" w:cs="Times New Roman"/>
        </w:rPr>
        <w:t>aproponowano</w:t>
      </w:r>
      <w:r w:rsidRPr="00FD7F67">
        <w:rPr>
          <w:rFonts w:ascii="Times New Roman" w:hAnsi="Times New Roman" w:cs="Times New Roman"/>
        </w:rPr>
        <w:t xml:space="preserve"> nowe brzmienie </w:t>
      </w:r>
      <w:r w:rsidRPr="00FD7F67">
        <w:rPr>
          <w:rFonts w:ascii="Times New Roman" w:hAnsi="Times New Roman" w:cs="Times New Roman"/>
          <w:b/>
        </w:rPr>
        <w:t>w art.77b</w:t>
      </w:r>
      <w:r w:rsidR="003B03FA" w:rsidRPr="00FD7F67">
        <w:rPr>
          <w:rFonts w:ascii="Times New Roman" w:hAnsi="Times New Roman" w:cs="Times New Roman"/>
        </w:rPr>
        <w:t xml:space="preserve"> </w:t>
      </w:r>
      <w:r w:rsidR="003B03FA" w:rsidRPr="00FD7F67">
        <w:rPr>
          <w:rFonts w:ascii="Times New Roman" w:hAnsi="Times New Roman" w:cs="Times New Roman"/>
          <w:b/>
        </w:rPr>
        <w:t>ust. 3.</w:t>
      </w:r>
    </w:p>
    <w:p w14:paraId="246F9CF0" w14:textId="77777777" w:rsidR="00E77B1E" w:rsidRPr="00FD7F67" w:rsidRDefault="00E77B1E" w:rsidP="003B03FA">
      <w:pPr>
        <w:spacing w:after="0" w:line="276" w:lineRule="auto"/>
        <w:jc w:val="both"/>
        <w:rPr>
          <w:rFonts w:ascii="Times New Roman" w:hAnsi="Times New Roman" w:cs="Times New Roman"/>
        </w:rPr>
      </w:pPr>
      <w:r w:rsidRPr="00FD7F67">
        <w:rPr>
          <w:rFonts w:ascii="Times New Roman" w:hAnsi="Times New Roman" w:cs="Times New Roman"/>
        </w:rPr>
        <w:t xml:space="preserve">Dodatkowo w </w:t>
      </w:r>
      <w:r w:rsidRPr="00FD7F67">
        <w:rPr>
          <w:rFonts w:ascii="Times New Roman" w:hAnsi="Times New Roman" w:cs="Times New Roman"/>
          <w:b/>
        </w:rPr>
        <w:t>art. 299 ust. 8</w:t>
      </w:r>
      <w:r w:rsidRPr="00FD7F67">
        <w:rPr>
          <w:rFonts w:ascii="Times New Roman" w:hAnsi="Times New Roman" w:cs="Times New Roman"/>
        </w:rPr>
        <w:t xml:space="preserve"> i </w:t>
      </w:r>
      <w:r w:rsidRPr="00FD7F67">
        <w:rPr>
          <w:rFonts w:ascii="Times New Roman" w:hAnsi="Times New Roman" w:cs="Times New Roman"/>
          <w:b/>
        </w:rPr>
        <w:t>art. 302 ust. 3</w:t>
      </w:r>
      <w:r w:rsidRPr="00FD7F67">
        <w:rPr>
          <w:rFonts w:ascii="Times New Roman" w:hAnsi="Times New Roman" w:cs="Times New Roman"/>
        </w:rPr>
        <w:t xml:space="preserve"> </w:t>
      </w:r>
      <w:r w:rsidR="003B03FA" w:rsidRPr="00FD7F67">
        <w:rPr>
          <w:rFonts w:ascii="Times New Roman" w:hAnsi="Times New Roman" w:cs="Times New Roman"/>
        </w:rPr>
        <w:t>zaproponowano</w:t>
      </w:r>
      <w:r w:rsidRPr="00FD7F67">
        <w:rPr>
          <w:rFonts w:ascii="Times New Roman" w:hAnsi="Times New Roman" w:cs="Times New Roman"/>
        </w:rPr>
        <w:t xml:space="preserve"> dodanie słów „lub z innych ustaw”, albowiem ustawa o cudzoziemcach nie jest już obecnie jedyną ustawą, która w swoich przepisach przewiduje podstawę pobytu cudzoziemca na terytorium Rzeczypospolitej Polskiej uznawanego za</w:t>
      </w:r>
      <w:r w:rsidR="003B03FA" w:rsidRPr="00FD7F67">
        <w:rPr>
          <w:rFonts w:ascii="Times New Roman" w:hAnsi="Times New Roman" w:cs="Times New Roman"/>
        </w:rPr>
        <w:t> </w:t>
      </w:r>
      <w:r w:rsidRPr="00FD7F67">
        <w:rPr>
          <w:rFonts w:ascii="Times New Roman" w:hAnsi="Times New Roman" w:cs="Times New Roman"/>
        </w:rPr>
        <w:t>legalny. Oprócz ustawy o cudzoziemcach taką ustawą jest obecnie również ustawa z dnia 2 marca 2020 r. o szczególnych rozwiązaniach związanych z zapobieganiem, przeciwdziałaniem i zwalczaniem COVID-19, innych chorób zakaźnych oraz wywołanych nimi sytuacji kryzysowych (np. art. 15z</w:t>
      </w:r>
      <w:r w:rsidRPr="00FD7F67">
        <w:rPr>
          <w:rFonts w:ascii="Times New Roman" w:hAnsi="Times New Roman" w:cs="Times New Roman"/>
          <w:vertAlign w:val="superscript"/>
        </w:rPr>
        <w:t>1</w:t>
      </w:r>
      <w:r w:rsidRPr="00FD7F67">
        <w:rPr>
          <w:rFonts w:ascii="Times New Roman" w:hAnsi="Times New Roman" w:cs="Times New Roman"/>
        </w:rPr>
        <w:t xml:space="preserve"> ust.</w:t>
      </w:r>
      <w:r w:rsidR="003B03FA" w:rsidRPr="00FD7F67">
        <w:rPr>
          <w:rFonts w:ascii="Times New Roman" w:hAnsi="Times New Roman" w:cs="Times New Roman"/>
        </w:rPr>
        <w:t> </w:t>
      </w:r>
      <w:r w:rsidRPr="00FD7F67">
        <w:rPr>
          <w:rFonts w:ascii="Times New Roman" w:hAnsi="Times New Roman" w:cs="Times New Roman"/>
        </w:rPr>
        <w:t xml:space="preserve">1) oraz ustawa z dnia 12 marca 2022 r. o pomocy obywatelom Ukrainy w związku z konfliktem zbrojnym na terytorium tego państwa (np. art. 2 ust. 1). </w:t>
      </w:r>
    </w:p>
    <w:p w14:paraId="68E468B8" w14:textId="77777777" w:rsidR="007D519D" w:rsidRPr="00FD7F67" w:rsidRDefault="007D519D" w:rsidP="003B03FA">
      <w:pPr>
        <w:spacing w:after="0" w:line="276" w:lineRule="auto"/>
        <w:jc w:val="both"/>
        <w:rPr>
          <w:rFonts w:ascii="Times New Roman" w:hAnsi="Times New Roman" w:cs="Times New Roman"/>
        </w:rPr>
      </w:pPr>
      <w:r w:rsidRPr="00FD7F67">
        <w:rPr>
          <w:rFonts w:ascii="Times New Roman" w:hAnsi="Times New Roman" w:cs="Times New Roman"/>
        </w:rPr>
        <w:t xml:space="preserve">Zmiany przewidują </w:t>
      </w:r>
      <w:r w:rsidR="00E77B1E" w:rsidRPr="00FD7F67">
        <w:rPr>
          <w:rFonts w:ascii="Times New Roman" w:hAnsi="Times New Roman" w:cs="Times New Roman"/>
        </w:rPr>
        <w:t xml:space="preserve">również </w:t>
      </w:r>
      <w:r w:rsidRPr="00FD7F67">
        <w:rPr>
          <w:rFonts w:ascii="Times New Roman" w:hAnsi="Times New Roman" w:cs="Times New Roman"/>
        </w:rPr>
        <w:t xml:space="preserve"> włączenie rejestru odcisków linii papilarnych, o którym mowa w </w:t>
      </w:r>
      <w:r w:rsidRPr="00FD7F67">
        <w:rPr>
          <w:rFonts w:ascii="Times New Roman" w:hAnsi="Times New Roman" w:cs="Times New Roman"/>
          <w:b/>
        </w:rPr>
        <w:t>art. 119 ust. 1 pkt 6</w:t>
      </w:r>
      <w:r w:rsidRPr="00FD7F67">
        <w:rPr>
          <w:rFonts w:ascii="Times New Roman" w:hAnsi="Times New Roman" w:cs="Times New Roman"/>
        </w:rPr>
        <w:t xml:space="preserve"> do krajowego zbioru rejestrów ewidencji i wykazu w sprawach cudzoziemców (art</w:t>
      </w:r>
      <w:r w:rsidR="00FF2574" w:rsidRPr="00FD7F67">
        <w:rPr>
          <w:rFonts w:ascii="Times New Roman" w:hAnsi="Times New Roman" w:cs="Times New Roman"/>
        </w:rPr>
        <w:t>. </w:t>
      </w:r>
      <w:r w:rsidRPr="00FD7F67">
        <w:rPr>
          <w:rFonts w:ascii="Times New Roman" w:hAnsi="Times New Roman" w:cs="Times New Roman"/>
        </w:rPr>
        <w:t>449</w:t>
      </w:r>
      <w:r w:rsidR="003B03FA" w:rsidRPr="00FD7F67">
        <w:rPr>
          <w:rFonts w:ascii="Times New Roman" w:hAnsi="Times New Roman" w:cs="Times New Roman"/>
        </w:rPr>
        <w:t> </w:t>
      </w:r>
      <w:r w:rsidRPr="00FD7F67">
        <w:rPr>
          <w:rFonts w:ascii="Times New Roman" w:hAnsi="Times New Roman" w:cs="Times New Roman"/>
        </w:rPr>
        <w:t>ust.</w:t>
      </w:r>
      <w:r w:rsidR="003B03FA" w:rsidRPr="00FD7F67">
        <w:rPr>
          <w:rFonts w:ascii="Times New Roman" w:hAnsi="Times New Roman" w:cs="Times New Roman"/>
        </w:rPr>
        <w:t> </w:t>
      </w:r>
      <w:r w:rsidRPr="00FD7F67">
        <w:rPr>
          <w:rFonts w:ascii="Times New Roman" w:hAnsi="Times New Roman" w:cs="Times New Roman"/>
        </w:rPr>
        <w:t xml:space="preserve">2 pkt 7a ustawy o cudzoziemcach) oraz jego wyodrębnienie w zakresie trybu udostępniania informacji z niego (zmiany w art. 450 – art. 452 ustawy o cudzoziemcach). </w:t>
      </w:r>
    </w:p>
    <w:p w14:paraId="1D924A44" w14:textId="77777777" w:rsidR="003B03FA" w:rsidRPr="00FD7F67" w:rsidRDefault="003B03FA" w:rsidP="003B03FA">
      <w:pPr>
        <w:spacing w:after="0" w:line="276" w:lineRule="auto"/>
        <w:jc w:val="both"/>
        <w:rPr>
          <w:rFonts w:ascii="Times New Roman" w:hAnsi="Times New Roman" w:cs="Times New Roman"/>
        </w:rPr>
      </w:pPr>
    </w:p>
    <w:p w14:paraId="1037CA01" w14:textId="77777777" w:rsidR="00803A31" w:rsidRPr="00FD7F67" w:rsidRDefault="007D519D" w:rsidP="003B03FA">
      <w:pPr>
        <w:spacing w:after="120" w:line="276" w:lineRule="auto"/>
        <w:jc w:val="both"/>
        <w:rPr>
          <w:rFonts w:ascii="Times New Roman" w:hAnsi="Times New Roman" w:cs="Times New Roman"/>
          <w:b/>
        </w:rPr>
      </w:pPr>
      <w:r w:rsidRPr="00FD7F67">
        <w:rPr>
          <w:rFonts w:ascii="Times New Roman" w:hAnsi="Times New Roman" w:cs="Times New Roman"/>
          <w:b/>
        </w:rPr>
        <w:t>3.</w:t>
      </w:r>
      <w:r w:rsidR="00803A31" w:rsidRPr="00FD7F67">
        <w:rPr>
          <w:rFonts w:ascii="Times New Roman" w:hAnsi="Times New Roman" w:cs="Times New Roman"/>
          <w:b/>
        </w:rPr>
        <w:t xml:space="preserve"> </w:t>
      </w:r>
      <w:r w:rsidRPr="00FD7F67">
        <w:rPr>
          <w:rFonts w:ascii="Times New Roman" w:hAnsi="Times New Roman" w:cs="Times New Roman"/>
          <w:b/>
        </w:rPr>
        <w:t>ustawy</w:t>
      </w:r>
      <w:r w:rsidR="00E77B1E" w:rsidRPr="00FD7F67">
        <w:rPr>
          <w:rFonts w:ascii="Times New Roman" w:hAnsi="Times New Roman" w:cs="Times New Roman"/>
          <w:b/>
        </w:rPr>
        <w:t xml:space="preserve"> </w:t>
      </w:r>
      <w:r w:rsidR="00803A31" w:rsidRPr="00FD7F67">
        <w:rPr>
          <w:rFonts w:ascii="Times New Roman" w:hAnsi="Times New Roman" w:cs="Times New Roman"/>
          <w:b/>
        </w:rPr>
        <w:t>z dnia 20 kwietnia 2004 r. o promocji zatrudnienia i instytucjach rynku pracy (Dz.</w:t>
      </w:r>
      <w:r w:rsidR="002556CF" w:rsidRPr="00FD7F67">
        <w:rPr>
          <w:rFonts w:ascii="Times New Roman" w:hAnsi="Times New Roman" w:cs="Times New Roman"/>
          <w:b/>
        </w:rPr>
        <w:t> </w:t>
      </w:r>
      <w:r w:rsidR="00803A31" w:rsidRPr="00FD7F67">
        <w:rPr>
          <w:rFonts w:ascii="Times New Roman" w:hAnsi="Times New Roman" w:cs="Times New Roman"/>
          <w:b/>
        </w:rPr>
        <w:t>U.</w:t>
      </w:r>
      <w:r w:rsidR="002556CF" w:rsidRPr="00FD7F67">
        <w:rPr>
          <w:rFonts w:ascii="Times New Roman" w:hAnsi="Times New Roman" w:cs="Times New Roman"/>
          <w:b/>
        </w:rPr>
        <w:t> </w:t>
      </w:r>
      <w:r w:rsidR="00803A31" w:rsidRPr="00FD7F67">
        <w:rPr>
          <w:rFonts w:ascii="Times New Roman" w:hAnsi="Times New Roman" w:cs="Times New Roman"/>
          <w:b/>
        </w:rPr>
        <w:t>z</w:t>
      </w:r>
      <w:r w:rsidR="003B03FA" w:rsidRPr="00FD7F67">
        <w:rPr>
          <w:rFonts w:ascii="Times New Roman" w:hAnsi="Times New Roman" w:cs="Times New Roman"/>
          <w:b/>
        </w:rPr>
        <w:t> </w:t>
      </w:r>
      <w:r w:rsidR="00803A31" w:rsidRPr="00FD7F67">
        <w:rPr>
          <w:rFonts w:ascii="Times New Roman" w:hAnsi="Times New Roman" w:cs="Times New Roman"/>
          <w:b/>
        </w:rPr>
        <w:t>2022 r. poz. 690 i 830)</w:t>
      </w:r>
    </w:p>
    <w:p w14:paraId="474D3DC9" w14:textId="77777777" w:rsidR="00803A31" w:rsidRPr="00FD7F67" w:rsidRDefault="007D519D" w:rsidP="002556CF">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P</w:t>
      </w:r>
      <w:r w:rsidR="00803A31" w:rsidRPr="00FD7F67">
        <w:rPr>
          <w:rFonts w:ascii="Times New Roman" w:eastAsia="Times New Roman" w:hAnsi="Times New Roman" w:cs="Times New Roman"/>
          <w:bCs/>
          <w:lang w:eastAsia="pl-PL"/>
        </w:rPr>
        <w:t xml:space="preserve">rzepisy ustawy z dnia 27 sierpnia 1997 r. o rehabilitacji zawodowej i społecznej oraz zatrudnianiu osób niepełnosprawnych (Dz. U. z 2021 r. poz. 573, z późn. zm.) i rozporządzenia Ministra Gospodarki, Pracy i Polityki Społecznej z dnia 15 lipca 2003 r. w sprawie orzekania o niepełnosprawności i stopniu niepełnosprawności (Dz. U. z 2021 r. poz. 857, z późn. zm.) nie wykluczają możliwości wystąpienia obywateli Ukrainy do powiatowego zespołu do spraw orzekania o niepełnosprawności o wydanie orzeczenia potwierdzającego niepełnosprawność. Zgodnie z art. 6 ust. 2 ustawy </w:t>
      </w:r>
      <w:r w:rsidR="003B03FA" w:rsidRPr="00FD7F67">
        <w:rPr>
          <w:rFonts w:ascii="Times New Roman" w:eastAsia="Times New Roman" w:hAnsi="Times New Roman" w:cs="Times New Roman"/>
          <w:bCs/>
          <w:lang w:eastAsia="pl-PL"/>
        </w:rPr>
        <w:t>z dnia 27 sierpnia 1997</w:t>
      </w:r>
      <w:r w:rsidR="002556CF" w:rsidRPr="00FD7F67">
        <w:rPr>
          <w:rFonts w:ascii="Times New Roman" w:eastAsia="Times New Roman" w:hAnsi="Times New Roman" w:cs="Times New Roman"/>
          <w:bCs/>
          <w:lang w:eastAsia="pl-PL"/>
        </w:rPr>
        <w:t> </w:t>
      </w:r>
      <w:r w:rsidR="003B03FA" w:rsidRPr="00FD7F67">
        <w:rPr>
          <w:rFonts w:ascii="Times New Roman" w:eastAsia="Times New Roman" w:hAnsi="Times New Roman" w:cs="Times New Roman"/>
          <w:bCs/>
          <w:lang w:eastAsia="pl-PL"/>
        </w:rPr>
        <w:t xml:space="preserve">r. </w:t>
      </w:r>
      <w:r w:rsidR="00803A31" w:rsidRPr="00FD7F67">
        <w:rPr>
          <w:rFonts w:ascii="Times New Roman" w:eastAsia="Times New Roman" w:hAnsi="Times New Roman" w:cs="Times New Roman"/>
          <w:bCs/>
          <w:lang w:eastAsia="pl-PL"/>
        </w:rPr>
        <w:t>o rehabilitacji zawodowej i społecznej oraz</w:t>
      </w:r>
      <w:r w:rsidR="003B03FA" w:rsidRPr="00FD7F67">
        <w:rPr>
          <w:rFonts w:ascii="Times New Roman" w:eastAsia="Times New Roman" w:hAnsi="Times New Roman" w:cs="Times New Roman"/>
          <w:bCs/>
          <w:lang w:eastAsia="pl-PL"/>
        </w:rPr>
        <w:t> </w:t>
      </w:r>
      <w:r w:rsidR="00803A31" w:rsidRPr="00FD7F67">
        <w:rPr>
          <w:rFonts w:ascii="Times New Roman" w:eastAsia="Times New Roman" w:hAnsi="Times New Roman" w:cs="Times New Roman"/>
          <w:bCs/>
          <w:lang w:eastAsia="pl-PL"/>
        </w:rPr>
        <w:t>zatrudnianiu osób niepełnosprawnych właściwość miejscową zespołu do spraw orzekania o</w:t>
      </w:r>
      <w:r w:rsidR="003B03FA" w:rsidRPr="00FD7F67">
        <w:rPr>
          <w:rFonts w:ascii="Times New Roman" w:hAnsi="Times New Roman" w:cs="Times New Roman"/>
        </w:rPr>
        <w:t> </w:t>
      </w:r>
      <w:r w:rsidR="00803A31" w:rsidRPr="00FD7F67">
        <w:rPr>
          <w:rFonts w:ascii="Times New Roman" w:eastAsia="Times New Roman" w:hAnsi="Times New Roman" w:cs="Times New Roman"/>
          <w:bCs/>
          <w:lang w:eastAsia="pl-PL"/>
        </w:rPr>
        <w:t>niepełnosprawności ustala się według miejsca stałeg</w:t>
      </w:r>
      <w:r w:rsidR="002556CF" w:rsidRPr="00FD7F67">
        <w:rPr>
          <w:rFonts w:ascii="Times New Roman" w:eastAsia="Times New Roman" w:hAnsi="Times New Roman" w:cs="Times New Roman"/>
          <w:bCs/>
          <w:lang w:eastAsia="pl-PL"/>
        </w:rPr>
        <w:t>o pobytu w rozumieniu przepisów ustawy z dnia 24 września 2010 r. o ewidencji ludności (Dz. U. z 2021 r. poz. 510, z późn. zm.)</w:t>
      </w:r>
      <w:r w:rsidR="00803A31" w:rsidRPr="00FD7F67">
        <w:rPr>
          <w:rFonts w:ascii="Times New Roman" w:eastAsia="Times New Roman" w:hAnsi="Times New Roman" w:cs="Times New Roman"/>
          <w:bCs/>
          <w:lang w:eastAsia="pl-PL"/>
        </w:rPr>
        <w:t xml:space="preserve">. Pobytem stałym jest zamieszkanie w określonej miejscowości pod oznaczonym adresem z zamiarem stałego przebywania – wynika to z art. 25 ust. 1 ustawy z dnia 24 września 2010 r. o ewidencji ludności. Natomiast </w:t>
      </w:r>
      <w:r w:rsidR="002556CF" w:rsidRPr="00FD7F67">
        <w:rPr>
          <w:rFonts w:ascii="Times New Roman" w:eastAsia="Times New Roman" w:hAnsi="Times New Roman" w:cs="Times New Roman"/>
          <w:bCs/>
          <w:lang w:eastAsia="pl-PL"/>
        </w:rPr>
        <w:t xml:space="preserve">art. 25 </w:t>
      </w:r>
      <w:r w:rsidR="00803A31" w:rsidRPr="00FD7F67">
        <w:rPr>
          <w:rFonts w:ascii="Times New Roman" w:eastAsia="Times New Roman" w:hAnsi="Times New Roman" w:cs="Times New Roman"/>
          <w:bCs/>
          <w:lang w:eastAsia="pl-PL"/>
        </w:rPr>
        <w:t xml:space="preserve">ust. 3 stanowi, że w przypadku osób bezdomnych, przebywających poza miejscem stałego pobytu ponad dwa miesiące ze względów zdrowotnych lub rodzinnych, przebywających w zakładach karnych i poprawczych, czy przebywających w domach pomocy społecznej i ośrodkach wsparcia w rozumieniu przepisów o pomocy społecznej właściwość miejscową ustala się według miejsca pobytu. Wskazane przepisy nie pozwalają na jednoznaczne określenie zespołu właściwego do wydania orzeczenia obywatelowi Ukrainy, natomiast wprowadzenie zapisu o orzekaniu według miejsca pobytu jest wyeliminowaniem wątpliwości w kwestii właściwości zespołu właściwego do wydania orzeczenia o niepełnosprawności albo stopniu niepełnosprawności dla obywatela Ukrainy. Projektowane zmiany wprowadzają rozwiązania umożliwiające realizację przez zespoły do spraw orzekania o niepełnosprawności zadań związanych z wydawaniem orzeczeń, a tym </w:t>
      </w:r>
      <w:r w:rsidR="00803A31" w:rsidRPr="00FD7F67">
        <w:rPr>
          <w:rFonts w:ascii="Times New Roman" w:eastAsia="Times New Roman" w:hAnsi="Times New Roman" w:cs="Times New Roman"/>
          <w:bCs/>
          <w:lang w:eastAsia="pl-PL"/>
        </w:rPr>
        <w:lastRenderedPageBreak/>
        <w:t>samym stwarzają możliwości ubiegania się osób, które uzyskają status osoby niepełnosprawnej, o</w:t>
      </w:r>
      <w:r w:rsidR="002556CF" w:rsidRPr="00FD7F67">
        <w:rPr>
          <w:rFonts w:ascii="Times New Roman" w:eastAsia="Times New Roman" w:hAnsi="Times New Roman" w:cs="Times New Roman"/>
          <w:bCs/>
          <w:lang w:eastAsia="pl-PL"/>
        </w:rPr>
        <w:t> </w:t>
      </w:r>
      <w:r w:rsidR="00803A31" w:rsidRPr="00FD7F67">
        <w:rPr>
          <w:rFonts w:ascii="Times New Roman" w:eastAsia="Times New Roman" w:hAnsi="Times New Roman" w:cs="Times New Roman"/>
          <w:bCs/>
          <w:lang w:eastAsia="pl-PL"/>
        </w:rPr>
        <w:t xml:space="preserve">wsparcie wynikające z posiadanego orzeczenia. </w:t>
      </w:r>
    </w:p>
    <w:p w14:paraId="79483569" w14:textId="77777777" w:rsidR="00803A31" w:rsidRPr="00FD7F67" w:rsidRDefault="00803A31" w:rsidP="007A0655">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iCs/>
          <w:lang w:eastAsia="pl-PL"/>
        </w:rPr>
        <w:t xml:space="preserve">Należy wskazać, że w polskim porządku prawnym zaliczenie osoby zainteresowanej do określonego stopnia niepełnosprawności (osoby powyżej 16. roku życia) czy niepełnosprawności (osoby poniżej 16. roku życia) w polskim systemie orzeczniczym następuje po przeprowadzeniu postępowania orzeczniczego, związanego ze przeprowadzeniem przez skład orzekający badania lekarskiego, oraz wydaniem opinii specjalistycznych (psycholog, pedagog, pracownik socjalny, doradca zawodowy), których celem jest ustalenie faktycznych ograniczeń zawodowych i funkcjonalnych, a następnie przyrównanie ich do definicji stopni niepełnosprawności wyrażonych w ustawie o rehabilitacji zawodowej i społecznej oraz zatrudnianiu osób niepełnosprawnych. </w:t>
      </w:r>
      <w:r w:rsidRPr="00FD7F67">
        <w:rPr>
          <w:rFonts w:ascii="Times New Roman" w:eastAsia="Times New Roman" w:hAnsi="Times New Roman" w:cs="Times New Roman"/>
          <w:bCs/>
          <w:lang w:eastAsia="pl-PL"/>
        </w:rPr>
        <w:t xml:space="preserve">Każda osoba zainteresowana uzyskaniem orzeczenia zobowiązana jest do złożenia wniosku o wydanie orzeczenia do właściwego powiatowego zespołu do spraw orzekania o niepełnosprawności. Do wniosku dołącza się dokumentację medyczną, w tym zaświadczenie lekarskie wydane nie wcześniej niż na 30 dni przed dniem złożenia wniosku, oraz inne dokumenty mogące mieć wpływ na ustalenie </w:t>
      </w:r>
      <w:bookmarkStart w:id="1" w:name="highlightHit_31"/>
      <w:bookmarkEnd w:id="1"/>
      <w:r w:rsidRPr="00FD7F67">
        <w:rPr>
          <w:rFonts w:ascii="Times New Roman" w:eastAsia="Times New Roman" w:hAnsi="Times New Roman" w:cs="Times New Roman"/>
          <w:bCs/>
          <w:lang w:eastAsia="pl-PL"/>
        </w:rPr>
        <w:t xml:space="preserve">stopnia </w:t>
      </w:r>
      <w:bookmarkStart w:id="2" w:name="highlightHit_32"/>
      <w:bookmarkEnd w:id="2"/>
      <w:r w:rsidRPr="00FD7F67">
        <w:rPr>
          <w:rFonts w:ascii="Times New Roman" w:eastAsia="Times New Roman" w:hAnsi="Times New Roman" w:cs="Times New Roman"/>
          <w:bCs/>
          <w:lang w:eastAsia="pl-PL"/>
        </w:rPr>
        <w:t xml:space="preserve">niepełnosprawności. </w:t>
      </w:r>
    </w:p>
    <w:p w14:paraId="623604D7" w14:textId="77777777" w:rsidR="00803A31" w:rsidRPr="00FD7F67" w:rsidRDefault="00803A31" w:rsidP="007A0655">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 xml:space="preserve">Należy wskazać, że w przypadku orzekania obywateli Ukrainy należy wziąć pod uwagę przewidywaną konieczność poniesienia przez zespoły wydatków związanych z obowiązkiem przeprowadzenia przez organ w toku postępowania specjalistycznego wywiadu przez lekarza, psychologa, pedagoga, doradcę zawodowego, czy pracownika socjalnego z osobą zainteresowaną lub przedstawicielem ustawowym dziecka czy dzieckiem z udziałem tłumacza języka ukraińskiego. </w:t>
      </w:r>
    </w:p>
    <w:p w14:paraId="4D648425" w14:textId="77777777" w:rsidR="00803A31" w:rsidRPr="00FD7F67" w:rsidRDefault="00803A31"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 xml:space="preserve">W projektowanym przepisie </w:t>
      </w:r>
      <w:r w:rsidRPr="00FD7F67">
        <w:rPr>
          <w:rFonts w:ascii="Times New Roman" w:eastAsia="Times New Roman" w:hAnsi="Times New Roman" w:cs="Times New Roman"/>
          <w:b/>
          <w:bCs/>
          <w:lang w:eastAsia="pl-PL"/>
        </w:rPr>
        <w:t>art. 40 ust. 4</w:t>
      </w:r>
      <w:r w:rsidRPr="00FD7F67">
        <w:rPr>
          <w:rFonts w:ascii="Times New Roman" w:eastAsia="Times New Roman" w:hAnsi="Times New Roman" w:cs="Times New Roman"/>
          <w:bCs/>
          <w:lang w:eastAsia="pl-PL"/>
        </w:rPr>
        <w:t xml:space="preserve"> ustawy z dnia 20 kwietnia 2004 r. o promocji zatrudnienia i</w:t>
      </w:r>
      <w:r w:rsidR="002556CF"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instytucjach rynku pracy (Dz. U. z 2022 r. poz. 690 i 830)  przewiduje się rezygnację z zasady mówiącej o tym, że szkolenie finansowane przez starostę z Funduszu Pracy dla osób bezrobotnych i</w:t>
      </w:r>
      <w:r w:rsidR="002556CF"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poszukujących pracy obejmuje przeciętnie nie mniej niż 25 godzin zegarowych w tygodniu. Wymóg</w:t>
      </w:r>
      <w:r w:rsidR="002556CF"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ten w zakresie intensywności szkoleń jest niefunkcjonalny i nie przystaje do aktualnych wyzwań na rynku pracy. W szczególności przepis w obecnym brzmieniu utrudnia organizację szkoleń z języka polskiego dla obywateli Ukrainy, którzy chcą łączyć wykonywanie pracy z nauką języka polskiego. Z uwagi na rosnącą potrzebę wspierania obywateli Ukrainy w nauce języka polskiego konieczne jest niezwłoczne wprowadzenie proponowanego rozwiązania oraz umożliwienie realizacji zawartych już umów według nowych zasad.</w:t>
      </w:r>
    </w:p>
    <w:p w14:paraId="242E69B1" w14:textId="77777777" w:rsidR="00803A31" w:rsidRPr="00FD7F67" w:rsidRDefault="00E46DF7"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Z</w:t>
      </w:r>
      <w:r w:rsidR="00803A31" w:rsidRPr="00FD7F67">
        <w:rPr>
          <w:rFonts w:ascii="Times New Roman" w:eastAsia="Times New Roman" w:hAnsi="Times New Roman" w:cs="Times New Roman"/>
          <w:bCs/>
          <w:lang w:eastAsia="pl-PL"/>
        </w:rPr>
        <w:t xml:space="preserve">miana w </w:t>
      </w:r>
      <w:r w:rsidR="00803A31" w:rsidRPr="00FD7F67">
        <w:rPr>
          <w:rFonts w:ascii="Times New Roman" w:eastAsia="Times New Roman" w:hAnsi="Times New Roman" w:cs="Times New Roman"/>
          <w:b/>
          <w:bCs/>
          <w:lang w:eastAsia="pl-PL"/>
        </w:rPr>
        <w:t>art. 40a w ust. 3 w pkt 1</w:t>
      </w:r>
      <w:r w:rsidR="00803A31" w:rsidRPr="00FD7F67">
        <w:rPr>
          <w:rFonts w:ascii="Times New Roman" w:eastAsia="Times New Roman" w:hAnsi="Times New Roman" w:cs="Times New Roman"/>
          <w:bCs/>
          <w:lang w:eastAsia="pl-PL"/>
        </w:rPr>
        <w:t xml:space="preserve"> polega na zastąpieniu wyrazów „numer konta” wyrazami „numer rachunku bankowego”. Ma ona na celu ujednolicenie terminologii stosowanej w art. 40a ust. 3 pkt 3 i</w:t>
      </w:r>
      <w:r w:rsidR="003A2998" w:rsidRPr="00FD7F67">
        <w:rPr>
          <w:rFonts w:ascii="Times New Roman" w:eastAsia="Times New Roman" w:hAnsi="Times New Roman" w:cs="Times New Roman"/>
          <w:bCs/>
          <w:lang w:eastAsia="pl-PL"/>
        </w:rPr>
        <w:t> </w:t>
      </w:r>
      <w:r w:rsidR="00803A31" w:rsidRPr="00FD7F67">
        <w:rPr>
          <w:rFonts w:ascii="Times New Roman" w:eastAsia="Times New Roman" w:hAnsi="Times New Roman" w:cs="Times New Roman"/>
          <w:bCs/>
          <w:lang w:eastAsia="pl-PL"/>
        </w:rPr>
        <w:t>ust. 4 ustawy z dnia 20 kwietnia 2004 r. o promocji zatrudnienia i instytucjach rynku pracy.</w:t>
      </w:r>
    </w:p>
    <w:p w14:paraId="23997482" w14:textId="77777777" w:rsidR="00803A31" w:rsidRPr="00FD7F67" w:rsidRDefault="00E46DF7"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 xml:space="preserve">Zmiana </w:t>
      </w:r>
      <w:r w:rsidRPr="00FD7F67">
        <w:rPr>
          <w:rFonts w:ascii="Times New Roman" w:eastAsia="Times New Roman" w:hAnsi="Times New Roman" w:cs="Times New Roman"/>
          <w:b/>
          <w:bCs/>
          <w:lang w:eastAsia="pl-PL"/>
        </w:rPr>
        <w:t xml:space="preserve">art. 40b </w:t>
      </w:r>
      <w:r w:rsidRPr="00FD7F67">
        <w:rPr>
          <w:rFonts w:ascii="Times New Roman" w:eastAsia="Times New Roman" w:hAnsi="Times New Roman" w:cs="Times New Roman"/>
          <w:bCs/>
          <w:lang w:eastAsia="pl-PL"/>
        </w:rPr>
        <w:t>ma na celu ułatwienie</w:t>
      </w:r>
      <w:r w:rsidR="00803A31" w:rsidRPr="00FD7F67">
        <w:rPr>
          <w:rFonts w:ascii="Times New Roman" w:eastAsia="Times New Roman" w:hAnsi="Times New Roman" w:cs="Times New Roman"/>
          <w:bCs/>
          <w:lang w:eastAsia="pl-PL"/>
        </w:rPr>
        <w:t xml:space="preserve"> podejmowania pracy przez cudzoziemców w ustawie przewiduje się wprowadzenie uproszczonego procesu organizacji przez powiatowe urzędy pracy szkoleń grupowych z języka polskiego dla bezrobotnych i poszukujących pracy cudzoziemców.</w:t>
      </w:r>
    </w:p>
    <w:p w14:paraId="51176476" w14:textId="77777777" w:rsidR="00803A31" w:rsidRPr="00FD7F67" w:rsidRDefault="00803A31"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W ustawie przewiduje się uproszczenie sposobu  dokonywania wyboru instytucji szkoleniowej, której zostanie zlecone lub powierzone przeprowadzenie szkolenia z języka polskiego dla cudzoziemców. W</w:t>
      </w:r>
      <w:r w:rsidR="00E46DF7"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projekcie  określa się limit środków przeznaczonych na szkolenie jednej osoby, który będzie  wynosił 2 tys. zł na jednego cudzoziemca. W ustawie określono również  elementy skierowania bezrobotnego lub poszukującego pracy na szkolenie oraz niezbędne  elementy umowy z instytucją szkoleniową, której zostanie zlecone lub powierzone przeprowadzenie szkolenia. W projekcie określono przesłanki zwrotu kosztów szkolenia przez uczestnika w sytuacji nieukończenia przez niego tego szkolenia.</w:t>
      </w:r>
    </w:p>
    <w:p w14:paraId="0975D66A" w14:textId="77777777" w:rsidR="00803A31" w:rsidRPr="00FD7F67" w:rsidRDefault="00803A31"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 xml:space="preserve">Projektowany </w:t>
      </w:r>
      <w:r w:rsidRPr="00FD7F67">
        <w:rPr>
          <w:rFonts w:ascii="Times New Roman" w:eastAsia="Times New Roman" w:hAnsi="Times New Roman" w:cs="Times New Roman"/>
          <w:b/>
          <w:bCs/>
          <w:lang w:eastAsia="pl-PL"/>
        </w:rPr>
        <w:t>art. 57a</w:t>
      </w:r>
      <w:r w:rsidR="003A2998" w:rsidRPr="00FD7F67">
        <w:rPr>
          <w:rFonts w:ascii="Times New Roman" w:eastAsia="Times New Roman" w:hAnsi="Times New Roman" w:cs="Times New Roman"/>
          <w:bCs/>
          <w:lang w:eastAsia="pl-PL"/>
        </w:rPr>
        <w:t xml:space="preserve"> –</w:t>
      </w:r>
      <w:r w:rsidRPr="00FD7F67">
        <w:rPr>
          <w:rFonts w:ascii="Times New Roman" w:eastAsia="Times New Roman" w:hAnsi="Times New Roman" w:cs="Times New Roman"/>
          <w:bCs/>
          <w:lang w:eastAsia="pl-PL"/>
        </w:rPr>
        <w:t xml:space="preserve"> </w:t>
      </w:r>
      <w:r w:rsidR="003A2998" w:rsidRPr="00FD7F67">
        <w:rPr>
          <w:rFonts w:ascii="Times New Roman" w:eastAsia="Times New Roman" w:hAnsi="Times New Roman" w:cs="Times New Roman"/>
          <w:bCs/>
          <w:lang w:eastAsia="pl-PL"/>
        </w:rPr>
        <w:t>t</w:t>
      </w:r>
      <w:r w:rsidRPr="00FD7F67">
        <w:rPr>
          <w:rFonts w:ascii="Times New Roman" w:eastAsia="Times New Roman" w:hAnsi="Times New Roman" w:cs="Times New Roman"/>
          <w:bCs/>
          <w:lang w:eastAsia="pl-PL"/>
        </w:rPr>
        <w:t>rudna sytuacja domów pomocy społecznej powoduje, że zadaniem koniecznym i uzasadnionym jest podejmowanie nowych inicjatyw, które w sposób istotny mogą przyczynić się do ułatwienia i zachęty do zatrudnienia nowych pracowników w tych placówkach.</w:t>
      </w:r>
    </w:p>
    <w:p w14:paraId="08AF684B" w14:textId="77777777" w:rsidR="00803A31" w:rsidRPr="00FD7F67" w:rsidRDefault="00803A31"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Nowy instrument, którego wprowadzenie zostało zaproponowane polega na wprowadzeniu możliwości refundacji podmiotowi prowadzącemu dom pomocy społecznej, o którym mowa w art. 57 ust. 1 ustawy z dnia 12 marca 2004 r. o pomocy społecznej (Dz. U. z 2021 r. poz. 2268, z późn.zm.), części albo</w:t>
      </w:r>
      <w:r w:rsidR="003A2998"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całości kosztów wynagrodzenia i składek na ubezpieczenia społeczne przez okres 12 miesięcy za</w:t>
      </w:r>
      <w:r w:rsidR="003A2998"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 xml:space="preserve">zatrudnienie w pełnym lub częściowym wymiarze czasu pracy skierowanych bezrobotnych </w:t>
      </w:r>
      <w:r w:rsidRPr="00FD7F67">
        <w:rPr>
          <w:rFonts w:ascii="Times New Roman" w:eastAsia="Times New Roman" w:hAnsi="Times New Roman" w:cs="Times New Roman"/>
          <w:bCs/>
          <w:lang w:eastAsia="pl-PL"/>
        </w:rPr>
        <w:lastRenderedPageBreak/>
        <w:t>lub</w:t>
      </w:r>
      <w:r w:rsidR="003A2998"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poszukujących pracy. Celem tego rozwiązania jest zachęcenie do zatrudniania bezrobotnych lub</w:t>
      </w:r>
      <w:r w:rsidR="003A2998"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 xml:space="preserve">poszukujących pracy w domach pomocy społecznej i tym samym ich wzmocnienie kadrowe.  </w:t>
      </w:r>
    </w:p>
    <w:p w14:paraId="4C40B92C" w14:textId="77777777" w:rsidR="00E46DF7" w:rsidRPr="00FD7F67" w:rsidRDefault="00803A31" w:rsidP="00E46DF7">
      <w:pPr>
        <w:spacing w:after="0" w:line="276" w:lineRule="auto"/>
        <w:jc w:val="both"/>
        <w:rPr>
          <w:rFonts w:ascii="Times New Roman" w:hAnsi="Times New Roman" w:cs="Times New Roman"/>
          <w:u w:val="single"/>
        </w:rPr>
      </w:pPr>
      <w:r w:rsidRPr="00FD7F67">
        <w:rPr>
          <w:rFonts w:ascii="Times New Roman" w:eastAsia="Times New Roman" w:hAnsi="Times New Roman" w:cs="Times New Roman"/>
          <w:bCs/>
          <w:lang w:eastAsia="pl-PL"/>
        </w:rPr>
        <w:t xml:space="preserve">Refundacja kosztów pracy z tytułu zatrudnienia bezrobotnych lub poszukujących pracy obowiązywała będzie przez 12 miesięcy.  </w:t>
      </w:r>
    </w:p>
    <w:p w14:paraId="6A0CA21A" w14:textId="77777777" w:rsidR="003A2998" w:rsidRPr="00FD7F67" w:rsidRDefault="003A2998" w:rsidP="00E46DF7">
      <w:pPr>
        <w:spacing w:after="0" w:line="276" w:lineRule="auto"/>
        <w:jc w:val="both"/>
        <w:rPr>
          <w:rFonts w:ascii="Times New Roman" w:hAnsi="Times New Roman" w:cs="Times New Roman"/>
          <w:u w:val="single"/>
        </w:rPr>
      </w:pPr>
    </w:p>
    <w:p w14:paraId="01B3A67A" w14:textId="77777777" w:rsidR="00803A31" w:rsidRPr="00FD7F67" w:rsidRDefault="007D519D" w:rsidP="003A2998">
      <w:pPr>
        <w:spacing w:after="120" w:line="276" w:lineRule="auto"/>
        <w:jc w:val="both"/>
        <w:rPr>
          <w:rFonts w:ascii="Times New Roman" w:hAnsi="Times New Roman" w:cs="Times New Roman"/>
          <w:b/>
        </w:rPr>
      </w:pPr>
      <w:r w:rsidRPr="00FD7F67">
        <w:rPr>
          <w:rFonts w:ascii="Times New Roman" w:hAnsi="Times New Roman" w:cs="Times New Roman"/>
          <w:b/>
        </w:rPr>
        <w:t xml:space="preserve">4.  ustawy </w:t>
      </w:r>
      <w:r w:rsidR="00803A31" w:rsidRPr="00FD7F67">
        <w:rPr>
          <w:rFonts w:ascii="Times New Roman" w:hAnsi="Times New Roman" w:cs="Times New Roman"/>
          <w:b/>
        </w:rPr>
        <w:t xml:space="preserve">z dnia 4 lutego 2011 r. o opiece nad dziećmi w wieku do </w:t>
      </w:r>
      <w:r w:rsidR="003A2998" w:rsidRPr="00FD7F67">
        <w:rPr>
          <w:rFonts w:ascii="Times New Roman" w:hAnsi="Times New Roman" w:cs="Times New Roman"/>
          <w:b/>
        </w:rPr>
        <w:t>lat 3 (Dz. U. z 2021 r. poz. 75, z póżn. zm.</w:t>
      </w:r>
      <w:r w:rsidR="00803A31" w:rsidRPr="00FD7F67">
        <w:rPr>
          <w:rFonts w:ascii="Times New Roman" w:hAnsi="Times New Roman" w:cs="Times New Roman"/>
          <w:b/>
        </w:rPr>
        <w:t>)</w:t>
      </w:r>
    </w:p>
    <w:p w14:paraId="36127CB7" w14:textId="77777777" w:rsidR="00B342EE" w:rsidRPr="00FD7F67" w:rsidRDefault="00E46DF7"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Zaproponowano</w:t>
      </w:r>
      <w:r w:rsidR="00A03E6B" w:rsidRPr="00FD7F67">
        <w:rPr>
          <w:rFonts w:ascii="Times New Roman" w:eastAsia="Times New Roman" w:hAnsi="Times New Roman" w:cs="Times New Roman"/>
          <w:bCs/>
          <w:lang w:eastAsia="pl-PL"/>
        </w:rPr>
        <w:t xml:space="preserve"> – w </w:t>
      </w:r>
      <w:r w:rsidR="00A03E6B" w:rsidRPr="00FD7F67">
        <w:rPr>
          <w:rFonts w:ascii="Times New Roman" w:eastAsia="Times New Roman" w:hAnsi="Times New Roman" w:cs="Times New Roman"/>
          <w:b/>
          <w:bCs/>
          <w:lang w:eastAsia="pl-PL"/>
        </w:rPr>
        <w:t>art. 3a</w:t>
      </w:r>
      <w:r w:rsidR="00A03E6B" w:rsidRPr="00FD7F67">
        <w:rPr>
          <w:rFonts w:ascii="Times New Roman" w:eastAsia="Times New Roman" w:hAnsi="Times New Roman" w:cs="Times New Roman"/>
          <w:bCs/>
          <w:lang w:eastAsia="pl-PL"/>
        </w:rPr>
        <w:t xml:space="preserve"> – </w:t>
      </w:r>
      <w:r w:rsidR="00B342EE" w:rsidRPr="00FD7F67">
        <w:rPr>
          <w:rFonts w:ascii="Times New Roman" w:eastAsia="Times New Roman" w:hAnsi="Times New Roman" w:cs="Times New Roman"/>
          <w:bCs/>
          <w:lang w:eastAsia="pl-PL"/>
        </w:rPr>
        <w:t xml:space="preserve">rozszerzenie katalogu danych osobowych dzieci uczęszczających do instytucji opieki dla dzieci do lat 3 oraz ich rodziców o dane dotyczące obywatelstwa. Na podstawie obecnie obowiązujących przepisów ustawy z dnia 4 lutego 2011 r. o opiece nad dziećmi w wieku do lat 3 rodzic ubiegający się o objęcie dziecka opieką w żłobku, klubie dziecięcym lub u dziennego opiekuna przedstawia podmiotowi prowadzącemu instytucję opieki m.in.: </w:t>
      </w:r>
    </w:p>
    <w:p w14:paraId="7E475B88" w14:textId="77777777" w:rsidR="00B342EE" w:rsidRPr="00FD7F67" w:rsidRDefault="00B342EE"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 imię, nazwisko, datę urodzenia oraz numer PESEL dziecka, a w przypadku gdy nie nadano numeru PESEL – numer i serię dokumentu potwierdzającego tożsamość,</w:t>
      </w:r>
    </w:p>
    <w:p w14:paraId="128F758F" w14:textId="77777777" w:rsidR="00B342EE" w:rsidRPr="00FD7F67" w:rsidRDefault="00B342EE"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 imiona, nazwiska, daty urodzenia oraz numery PESEL rodziców, a w przypadku gdy nie nadano numeru PESEL – numer i serię dokumentu potwierdzającego tożsamość.</w:t>
      </w:r>
    </w:p>
    <w:p w14:paraId="249D99E3" w14:textId="77777777" w:rsidR="00B342EE" w:rsidRPr="00FD7F67" w:rsidRDefault="00B342EE" w:rsidP="00E46DF7">
      <w:pPr>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Wśród danych osobowych dzieci i rodziców przekazywanych podmiotowi prowadzącemu instytucję opieki nie znajdują się dane dotyczące obywatelstwa. Mając na uwadze, że do instytucji opieki dla dzieci do lat 3 mogą uczęszczać dzieci o różnym obywatelstwie – ustawa z dnia 4 lutego 2011 r. o opiece nad dziećmi w wieku do lat 3 nie wskazuje możliwości przyjmowania do instytucji opieki wyłącznie dzieci z obywatelstwem polskim  – zasadne jest pozyskiwanie przez podmiot prowadzący instytucję opieki danych dotyczących obywatelstwa dzieci i ich rodziców. Dane te mogłyby posłużyć do celów statystycznych – przeprowadzania analiz zbiorowości dzieci uczęszczających do instytucji opieki oraz ich rodziców. Do poszerzenia katalogu danych osobowych skłania również fakt przyjmowania do</w:t>
      </w:r>
      <w:r w:rsidR="003A2998"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instytucji opieki dzieci przybyłych z Ukrainy w związku z działaniami wojennymi na terytorium tego państwa. Dane dotyczące obywatelstwa posłużą oszacowaniu liczby dzieci z obywatelstwem ukraińskim uczęszczających do instytucji opieki na terenie Polski.</w:t>
      </w:r>
    </w:p>
    <w:p w14:paraId="4D255003" w14:textId="77777777" w:rsidR="00803A31" w:rsidRPr="00FD7F67" w:rsidRDefault="00B342EE" w:rsidP="0019205D">
      <w:pPr>
        <w:suppressAutoHyphens/>
        <w:autoSpaceDE w:val="0"/>
        <w:autoSpaceDN w:val="0"/>
        <w:adjustRightInd w:val="0"/>
        <w:spacing w:after="120" w:line="276" w:lineRule="auto"/>
        <w:jc w:val="both"/>
        <w:rPr>
          <w:rFonts w:ascii="Times New Roman" w:eastAsia="Times New Roman" w:hAnsi="Times New Roman" w:cs="Times New Roman"/>
          <w:bCs/>
          <w:lang w:eastAsia="pl-PL"/>
        </w:rPr>
      </w:pPr>
      <w:r w:rsidRPr="00FD7F67">
        <w:rPr>
          <w:rFonts w:ascii="Times New Roman" w:eastAsia="Times New Roman" w:hAnsi="Times New Roman" w:cs="Times New Roman"/>
          <w:bCs/>
          <w:lang w:eastAsia="pl-PL"/>
        </w:rPr>
        <w:t>Powyższa zmiana wymaga rozszerzenia katalogu danych dotyczących dziecka i ich rodziców, jakie pozyskuje podmiot prowadzący instytucję od rodzica ubiegającego się o przyjęcie dziecka do instytucji. Rozwiązanie to będzie także wymagało rozszerzenia obecnie obowiązujących przepisów dotyczących rejestru żłobków i klubów dziecięcych oraz wykazu dziennych opiekunów w zakresie katalogu danych zawartych w ww. rejestrze/wykazie. Katalog ten zostanie poszerzony o dane dotyczące obywatelstwa dzieci uczęszczających do instytucji opieki i ich rodziców. Dane te nie będą podlegały upublicznieniu. Podmiot prowadzący instytucję będzie przekazywać do rejestru/wykazu dane rozszerzone o</w:t>
      </w:r>
      <w:r w:rsidR="003A2998" w:rsidRPr="00FD7F67">
        <w:rPr>
          <w:rFonts w:ascii="Times New Roman" w:eastAsia="Times New Roman" w:hAnsi="Times New Roman" w:cs="Times New Roman"/>
          <w:bCs/>
          <w:lang w:eastAsia="pl-PL"/>
        </w:rPr>
        <w:t> </w:t>
      </w:r>
      <w:r w:rsidRPr="00FD7F67">
        <w:rPr>
          <w:rFonts w:ascii="Times New Roman" w:eastAsia="Times New Roman" w:hAnsi="Times New Roman" w:cs="Times New Roman"/>
          <w:bCs/>
          <w:lang w:eastAsia="pl-PL"/>
        </w:rPr>
        <w:t>obywatelstwo dzieci i ich rodziców.</w:t>
      </w:r>
    </w:p>
    <w:p w14:paraId="2B7B65EC" w14:textId="77777777" w:rsidR="0019205D" w:rsidRPr="00FD7F67" w:rsidRDefault="0019205D" w:rsidP="0019205D">
      <w:pPr>
        <w:suppressAutoHyphens/>
        <w:autoSpaceDE w:val="0"/>
        <w:autoSpaceDN w:val="0"/>
        <w:adjustRightInd w:val="0"/>
        <w:spacing w:after="120" w:line="276" w:lineRule="auto"/>
        <w:jc w:val="both"/>
        <w:rPr>
          <w:rFonts w:ascii="Times New Roman" w:eastAsia="Times New Roman" w:hAnsi="Times New Roman" w:cs="Times New Roman"/>
          <w:b/>
          <w:bCs/>
          <w:lang w:eastAsia="pl-PL"/>
        </w:rPr>
      </w:pPr>
      <w:r w:rsidRPr="00FD7F67">
        <w:rPr>
          <w:rFonts w:ascii="Times New Roman" w:eastAsia="Times New Roman" w:hAnsi="Times New Roman" w:cs="Times New Roman"/>
          <w:b/>
          <w:bCs/>
          <w:lang w:eastAsia="pl-PL"/>
        </w:rPr>
        <w:t xml:space="preserve">5.  </w:t>
      </w:r>
      <w:r w:rsidRPr="00FD7F67">
        <w:rPr>
          <w:rFonts w:ascii="Times New Roman" w:hAnsi="Times New Roman" w:cs="Times New Roman"/>
          <w:b/>
        </w:rPr>
        <w:t>ustawy z dnia 14 grudnia 2016 r. – Prawo oświatowe (Dz. U. z 2021 r. poz. 1082, z późn. zm.)</w:t>
      </w:r>
    </w:p>
    <w:p w14:paraId="39DFDC9F" w14:textId="6A35011E" w:rsidR="00422E1A" w:rsidRPr="00FD7F67" w:rsidRDefault="0019205D" w:rsidP="00F124FB">
      <w:pPr>
        <w:spacing w:after="120" w:line="276" w:lineRule="auto"/>
        <w:jc w:val="both"/>
        <w:rPr>
          <w:rFonts w:ascii="Times New Roman" w:hAnsi="Times New Roman" w:cs="Times New Roman"/>
        </w:rPr>
      </w:pPr>
      <w:r w:rsidRPr="00FD7F67">
        <w:rPr>
          <w:rFonts w:ascii="Times New Roman" w:hAnsi="Times New Roman" w:cs="Times New Roman"/>
        </w:rPr>
        <w:t xml:space="preserve">Zmiana przepisów </w:t>
      </w:r>
      <w:r w:rsidRPr="00FD7F67">
        <w:rPr>
          <w:rFonts w:ascii="Times New Roman" w:hAnsi="Times New Roman" w:cs="Times New Roman"/>
          <w:b/>
        </w:rPr>
        <w:t>art. 165 ust. 7 i 9</w:t>
      </w:r>
      <w:r w:rsidRPr="00FD7F67">
        <w:rPr>
          <w:rFonts w:ascii="Times New Roman" w:hAnsi="Times New Roman" w:cs="Times New Roman"/>
        </w:rPr>
        <w:t xml:space="preserve"> ma charakter systemowy i jest podejmowania w celu zapewnienia równego dostępu do prawa do dodatkowej nauki języka polskiego dla uczniów przybywających z</w:t>
      </w:r>
      <w:r w:rsidR="00F124FB" w:rsidRPr="00FD7F67">
        <w:rPr>
          <w:rFonts w:ascii="Times New Roman" w:hAnsi="Times New Roman" w:cs="Times New Roman"/>
        </w:rPr>
        <w:t> </w:t>
      </w:r>
      <w:r w:rsidRPr="00FD7F67">
        <w:rPr>
          <w:rFonts w:ascii="Times New Roman" w:hAnsi="Times New Roman" w:cs="Times New Roman"/>
        </w:rPr>
        <w:t>zagranicy. Obecne przepisy defaworyzują uczniów będących obywatelami polskimi, którzy przybywają z zagranicy i których stopień znajomości języka polskiego utrudnia lub uniemożliwia efektywną naukę w szkole. Uczniowie niebędący obywatelami polskimi, którzy kształcili się za granicą i nie znają języka polskiego w stopniu wystarczającym do nauki w szkole, mają prawo do dodatkowej nauki języka polskiego bez określenia maksymalnego okresu realizacji tego uprawnienia, podczas gdy uczniowie będący obywatelami polskimi mogą korzystać z tego uprawnienia maksymalnie przez okres 12 miesięcy. Do Polski coraz częściej przybywają osoby posiadające polskie obywatelstwo, a</w:t>
      </w:r>
      <w:r w:rsidR="00F124FB" w:rsidRPr="00FD7F67">
        <w:rPr>
          <w:rFonts w:ascii="Times New Roman" w:hAnsi="Times New Roman" w:cs="Times New Roman"/>
        </w:rPr>
        <w:t> </w:t>
      </w:r>
      <w:r w:rsidRPr="00FD7F67">
        <w:rPr>
          <w:rFonts w:ascii="Times New Roman" w:hAnsi="Times New Roman" w:cs="Times New Roman"/>
        </w:rPr>
        <w:t>które</w:t>
      </w:r>
      <w:r w:rsidR="00F124FB" w:rsidRPr="00FD7F67">
        <w:rPr>
          <w:rFonts w:ascii="Times New Roman" w:hAnsi="Times New Roman" w:cs="Times New Roman"/>
        </w:rPr>
        <w:t> </w:t>
      </w:r>
      <w:r w:rsidRPr="00FD7F67">
        <w:rPr>
          <w:rFonts w:ascii="Times New Roman" w:hAnsi="Times New Roman" w:cs="Times New Roman"/>
        </w:rPr>
        <w:t>są</w:t>
      </w:r>
      <w:r w:rsidR="00F124FB" w:rsidRPr="00FD7F67">
        <w:rPr>
          <w:rFonts w:ascii="Times New Roman" w:hAnsi="Times New Roman" w:cs="Times New Roman"/>
        </w:rPr>
        <w:t> </w:t>
      </w:r>
      <w:r w:rsidRPr="00FD7F67">
        <w:rPr>
          <w:rFonts w:ascii="Times New Roman" w:hAnsi="Times New Roman" w:cs="Times New Roman"/>
        </w:rPr>
        <w:t xml:space="preserve">urodzone za granicą i wychowywane w środowisku posługującym się językiem kraju zamieszkania. Wsparcie w postaci dodatkowej nauki języka polskiego przez okres 12 miesięcy często jest niewystarczające. Mając na uwadze powyższe proponuje się zrównanie prawa do dodatkowej nauki języka polskiego zarówno dla obywateli będących i niebędących obywatelami polskimi i przesądzenie, </w:t>
      </w:r>
      <w:r w:rsidRPr="00FD7F67">
        <w:rPr>
          <w:rFonts w:ascii="Times New Roman" w:hAnsi="Times New Roman" w:cs="Times New Roman"/>
        </w:rPr>
        <w:lastRenderedPageBreak/>
        <w:t>że z uprawnienia tego będą mogli korzystać przez okres 24 miesięcy.</w:t>
      </w:r>
      <w:r w:rsidR="00422E1A" w:rsidRPr="00FD7F67">
        <w:rPr>
          <w:rFonts w:ascii="Times New Roman" w:hAnsi="Times New Roman" w:cs="Times New Roman"/>
        </w:rPr>
        <w:t xml:space="preserve"> Zaproponowano, aby projektowane rozwiązania weszły w życie z początkiem roku szkolnego 2022/2023 tj. od dnia 1 września 2022 r.</w:t>
      </w:r>
    </w:p>
    <w:p w14:paraId="5C1F9494" w14:textId="77777777" w:rsidR="0019205D" w:rsidRPr="00FD7F67" w:rsidRDefault="00E77B1E" w:rsidP="0019205D">
      <w:pPr>
        <w:suppressAutoHyphens/>
        <w:autoSpaceDE w:val="0"/>
        <w:autoSpaceDN w:val="0"/>
        <w:adjustRightInd w:val="0"/>
        <w:spacing w:after="120" w:line="276" w:lineRule="auto"/>
        <w:jc w:val="both"/>
        <w:rPr>
          <w:rFonts w:ascii="Times New Roman" w:hAnsi="Times New Roman" w:cs="Times New Roman"/>
          <w:b/>
          <w:color w:val="000000" w:themeColor="text1"/>
        </w:rPr>
      </w:pPr>
      <w:r w:rsidRPr="00FD7F67">
        <w:rPr>
          <w:rFonts w:ascii="Times New Roman" w:hAnsi="Times New Roman" w:cs="Times New Roman"/>
          <w:b/>
          <w:color w:val="000000" w:themeColor="text1"/>
        </w:rPr>
        <w:t>Projekt przewiduje również w szczególności:</w:t>
      </w:r>
    </w:p>
    <w:p w14:paraId="4293E348" w14:textId="77777777" w:rsidR="00402D97" w:rsidRPr="00FD7F67" w:rsidRDefault="00FF2574" w:rsidP="0019205D">
      <w:pPr>
        <w:suppressAutoHyphens/>
        <w:autoSpaceDE w:val="0"/>
        <w:autoSpaceDN w:val="0"/>
        <w:adjustRightInd w:val="0"/>
        <w:spacing w:after="0" w:line="276" w:lineRule="auto"/>
        <w:jc w:val="both"/>
        <w:rPr>
          <w:rFonts w:ascii="Times New Roman" w:hAnsi="Times New Roman" w:cs="Times New Roman"/>
        </w:rPr>
      </w:pPr>
      <w:r w:rsidRPr="00FD7F67">
        <w:rPr>
          <w:rFonts w:ascii="Times New Roman" w:eastAsia="Times New Roman" w:hAnsi="Times New Roman" w:cs="Times New Roman"/>
          <w:b/>
          <w:lang w:eastAsia="pl-PL"/>
        </w:rPr>
        <w:t xml:space="preserve">1. </w:t>
      </w:r>
      <w:r w:rsidR="00B04458" w:rsidRPr="00FD7F67">
        <w:rPr>
          <w:rFonts w:ascii="Times New Roman" w:eastAsia="Times New Roman" w:hAnsi="Times New Roman" w:cs="Times New Roman"/>
          <w:lang w:eastAsia="pl-PL"/>
        </w:rPr>
        <w:t>Przepis art.6, który stanowi, iż – w okresie 14 dni od dnia wejścia w życie ustawy –</w:t>
      </w:r>
      <w:r w:rsidR="00B04458" w:rsidRPr="00FD7F67">
        <w:rPr>
          <w:rFonts w:ascii="Times New Roman" w:eastAsia="Times New Roman" w:hAnsi="Times New Roman" w:cs="Times New Roman"/>
          <w:b/>
          <w:lang w:eastAsia="pl-PL"/>
        </w:rPr>
        <w:t xml:space="preserve">  </w:t>
      </w:r>
      <w:r w:rsidRPr="00FD7F67">
        <w:rPr>
          <w:rFonts w:ascii="Times New Roman" w:hAnsi="Times New Roman" w:cs="Times New Roman"/>
        </w:rPr>
        <w:t xml:space="preserve">podmioty, które zapewniały zakwaterowanie i wyżywienie obywatelom Ukrainy, </w:t>
      </w:r>
      <w:r w:rsidRPr="00FD7F67">
        <w:rPr>
          <w:rFonts w:ascii="Times New Roman" w:hAnsi="Times New Roman" w:cs="Times New Roman"/>
          <w:b/>
        </w:rPr>
        <w:t>nieposiadającym numeru PESEL</w:t>
      </w:r>
      <w:r w:rsidRPr="00FD7F67">
        <w:rPr>
          <w:rFonts w:ascii="Times New Roman" w:hAnsi="Times New Roman" w:cs="Times New Roman"/>
        </w:rPr>
        <w:t xml:space="preserve">, mogą składać wnioski o świadczenie </w:t>
      </w:r>
      <w:r w:rsidR="00B04458" w:rsidRPr="00FD7F67">
        <w:rPr>
          <w:rFonts w:ascii="Times New Roman" w:hAnsi="Times New Roman" w:cs="Times New Roman"/>
        </w:rPr>
        <w:t xml:space="preserve">pieniężne </w:t>
      </w:r>
      <w:r w:rsidRPr="00FD7F67">
        <w:rPr>
          <w:rFonts w:ascii="Times New Roman" w:hAnsi="Times New Roman" w:cs="Times New Roman"/>
        </w:rPr>
        <w:t>obejmujące okres do dnia 29 kwietnia 2022 r. Wnioski składa się na formularzu według wzoru wniosku o świadczenie pieniężne za zapewnienie zakwaterowania i wyżywienia obywatelom Ukrainy przybywającym na terytorium Rzeczypospolitej Polskiej w związku z działaniami wojennymi, obowiązującego do dnia 29 kwietnia 2022 r.</w:t>
      </w:r>
      <w:r w:rsidR="00B04458" w:rsidRPr="00FD7F67">
        <w:rPr>
          <w:rFonts w:ascii="Times New Roman" w:hAnsi="Times New Roman" w:cs="Times New Roman"/>
        </w:rPr>
        <w:t xml:space="preserve"> </w:t>
      </w:r>
    </w:p>
    <w:p w14:paraId="3E83221D" w14:textId="77777777" w:rsidR="00402D97" w:rsidRPr="00FD7F67" w:rsidRDefault="00B04458" w:rsidP="0019205D">
      <w:pPr>
        <w:suppressAutoHyphens/>
        <w:autoSpaceDE w:val="0"/>
        <w:autoSpaceDN w:val="0"/>
        <w:adjustRightInd w:val="0"/>
        <w:spacing w:after="0" w:line="276" w:lineRule="auto"/>
        <w:jc w:val="both"/>
        <w:rPr>
          <w:rFonts w:ascii="Times New Roman" w:hAnsi="Times New Roman" w:cs="Times New Roman"/>
        </w:rPr>
      </w:pPr>
      <w:r w:rsidRPr="00FD7F67">
        <w:rPr>
          <w:rFonts w:ascii="Times New Roman" w:hAnsi="Times New Roman" w:cs="Times New Roman"/>
        </w:rPr>
        <w:t>Natomiast w</w:t>
      </w:r>
      <w:r w:rsidR="00FF2574" w:rsidRPr="00FD7F67">
        <w:rPr>
          <w:rFonts w:ascii="Times New Roman" w:hAnsi="Times New Roman" w:cs="Times New Roman"/>
        </w:rPr>
        <w:t>niosek o</w:t>
      </w:r>
      <w:r w:rsidRPr="00FD7F67">
        <w:rPr>
          <w:rFonts w:ascii="Times New Roman" w:hAnsi="Times New Roman" w:cs="Times New Roman"/>
        </w:rPr>
        <w:t> </w:t>
      </w:r>
      <w:r w:rsidR="00FF2574" w:rsidRPr="00FD7F67">
        <w:rPr>
          <w:rFonts w:ascii="Times New Roman" w:hAnsi="Times New Roman" w:cs="Times New Roman"/>
        </w:rPr>
        <w:t xml:space="preserve">świadczenie pieniężne </w:t>
      </w:r>
      <w:r w:rsidRPr="00FD7F67">
        <w:rPr>
          <w:rFonts w:ascii="Times New Roman" w:hAnsi="Times New Roman" w:cs="Times New Roman"/>
        </w:rPr>
        <w:t>obejmujący okres</w:t>
      </w:r>
      <w:r w:rsidR="00FF2574" w:rsidRPr="00FD7F67">
        <w:rPr>
          <w:rFonts w:ascii="Times New Roman" w:hAnsi="Times New Roman" w:cs="Times New Roman"/>
        </w:rPr>
        <w:t xml:space="preserve"> w którym zapewniano zakwaterowanie i</w:t>
      </w:r>
      <w:r w:rsidRPr="00FD7F67">
        <w:rPr>
          <w:rFonts w:ascii="Times New Roman" w:hAnsi="Times New Roman" w:cs="Times New Roman"/>
        </w:rPr>
        <w:t> </w:t>
      </w:r>
      <w:r w:rsidR="00FF2574" w:rsidRPr="00FD7F67">
        <w:rPr>
          <w:rFonts w:ascii="Times New Roman" w:hAnsi="Times New Roman" w:cs="Times New Roman"/>
        </w:rPr>
        <w:t xml:space="preserve">wyżywienie obywatelowi Ukrainy </w:t>
      </w:r>
      <w:r w:rsidRPr="00FD7F67">
        <w:rPr>
          <w:rFonts w:ascii="Times New Roman" w:hAnsi="Times New Roman" w:cs="Times New Roman"/>
          <w:b/>
        </w:rPr>
        <w:t>do dnia wejścia w życie ustawy</w:t>
      </w:r>
      <w:r w:rsidRPr="00FD7F67">
        <w:rPr>
          <w:rFonts w:ascii="Times New Roman" w:hAnsi="Times New Roman" w:cs="Times New Roman"/>
        </w:rPr>
        <w:t xml:space="preserve"> </w:t>
      </w:r>
      <w:r w:rsidR="00FF2574" w:rsidRPr="00FD7F67">
        <w:rPr>
          <w:rFonts w:ascii="Times New Roman" w:hAnsi="Times New Roman" w:cs="Times New Roman"/>
        </w:rPr>
        <w:t>składa się w terminie do dnia 31</w:t>
      </w:r>
      <w:r w:rsidR="00402D97" w:rsidRPr="00FD7F67">
        <w:rPr>
          <w:rFonts w:ascii="Times New Roman" w:hAnsi="Times New Roman" w:cs="Times New Roman"/>
        </w:rPr>
        <w:t> </w:t>
      </w:r>
      <w:r w:rsidR="00FF2574" w:rsidRPr="00FD7F67">
        <w:rPr>
          <w:rFonts w:ascii="Times New Roman" w:hAnsi="Times New Roman" w:cs="Times New Roman"/>
        </w:rPr>
        <w:t>lipca 2022 r.</w:t>
      </w:r>
      <w:r w:rsidRPr="00FD7F67">
        <w:rPr>
          <w:rFonts w:ascii="Times New Roman" w:hAnsi="Times New Roman" w:cs="Times New Roman"/>
        </w:rPr>
        <w:t xml:space="preserve"> </w:t>
      </w:r>
    </w:p>
    <w:p w14:paraId="47C08E06" w14:textId="77777777" w:rsidR="00FF2574" w:rsidRPr="00FD7F67" w:rsidRDefault="00402D97" w:rsidP="0019205D">
      <w:pPr>
        <w:suppressAutoHyphens/>
        <w:autoSpaceDE w:val="0"/>
        <w:autoSpaceDN w:val="0"/>
        <w:adjustRightInd w:val="0"/>
        <w:spacing w:after="120" w:line="276" w:lineRule="auto"/>
        <w:jc w:val="both"/>
        <w:rPr>
          <w:rFonts w:ascii="Times New Roman" w:hAnsi="Times New Roman" w:cs="Times New Roman"/>
        </w:rPr>
      </w:pPr>
      <w:r w:rsidRPr="00FD7F67">
        <w:rPr>
          <w:rFonts w:ascii="Times New Roman" w:hAnsi="Times New Roman" w:cs="Times New Roman"/>
        </w:rPr>
        <w:t>A w</w:t>
      </w:r>
      <w:r w:rsidR="00FF2574" w:rsidRPr="00FD7F67">
        <w:rPr>
          <w:rFonts w:ascii="Times New Roman" w:hAnsi="Times New Roman" w:cs="Times New Roman"/>
        </w:rPr>
        <w:t>niosek o świadczenie pieniężne obejmujący okres w którym zapewniano zakwaterowanie i</w:t>
      </w:r>
      <w:r w:rsidRPr="00FD7F67">
        <w:rPr>
          <w:rFonts w:ascii="Times New Roman" w:hAnsi="Times New Roman" w:cs="Times New Roman"/>
        </w:rPr>
        <w:t> </w:t>
      </w:r>
      <w:r w:rsidR="00FF2574" w:rsidRPr="00FD7F67">
        <w:rPr>
          <w:rFonts w:ascii="Times New Roman" w:hAnsi="Times New Roman" w:cs="Times New Roman"/>
        </w:rPr>
        <w:t xml:space="preserve">wyżywienie obywatelowi Ukrainy </w:t>
      </w:r>
      <w:r w:rsidR="00FF2574" w:rsidRPr="00FD7F67">
        <w:rPr>
          <w:rFonts w:ascii="Times New Roman" w:hAnsi="Times New Roman" w:cs="Times New Roman"/>
          <w:b/>
        </w:rPr>
        <w:t>po dniu wejścia w życie ustawy</w:t>
      </w:r>
      <w:r w:rsidR="00FF2574" w:rsidRPr="00FD7F67">
        <w:rPr>
          <w:rFonts w:ascii="Times New Roman" w:hAnsi="Times New Roman" w:cs="Times New Roman"/>
        </w:rPr>
        <w:t>, składa się w</w:t>
      </w:r>
      <w:r w:rsidR="00B04458" w:rsidRPr="00FD7F67">
        <w:rPr>
          <w:rFonts w:ascii="Times New Roman" w:hAnsi="Times New Roman" w:cs="Times New Roman"/>
        </w:rPr>
        <w:t> </w:t>
      </w:r>
      <w:r w:rsidR="00FF2574" w:rsidRPr="00FD7F67">
        <w:rPr>
          <w:rFonts w:ascii="Times New Roman" w:hAnsi="Times New Roman" w:cs="Times New Roman"/>
        </w:rPr>
        <w:t>terminie miesiąca od</w:t>
      </w:r>
      <w:r w:rsidRPr="00FD7F67">
        <w:rPr>
          <w:rFonts w:ascii="Times New Roman" w:hAnsi="Times New Roman" w:cs="Times New Roman"/>
        </w:rPr>
        <w:t> </w:t>
      </w:r>
      <w:r w:rsidR="00FF2574" w:rsidRPr="00FD7F67">
        <w:rPr>
          <w:rFonts w:ascii="Times New Roman" w:hAnsi="Times New Roman" w:cs="Times New Roman"/>
        </w:rPr>
        <w:t>ostatniego dnia okresu objętego wnioskiem.</w:t>
      </w:r>
      <w:r w:rsidR="00B04458" w:rsidRPr="00FD7F67">
        <w:rPr>
          <w:rFonts w:ascii="Times New Roman" w:hAnsi="Times New Roman" w:cs="Times New Roman"/>
        </w:rPr>
        <w:t xml:space="preserve"> </w:t>
      </w:r>
      <w:r w:rsidR="00FF2574" w:rsidRPr="00FD7F67">
        <w:rPr>
          <w:rFonts w:ascii="Times New Roman" w:hAnsi="Times New Roman" w:cs="Times New Roman"/>
        </w:rPr>
        <w:t>Wnioski złożone z uchybieniem terminów, o których mowa w ust. 2 i 3 pozostawia się bez rozpoznania.</w:t>
      </w:r>
    </w:p>
    <w:p w14:paraId="41154DB4" w14:textId="77777777" w:rsidR="00B342EE" w:rsidRPr="00FD7F67" w:rsidRDefault="00B04458" w:rsidP="0019205D">
      <w:pPr>
        <w:suppressAutoHyphens/>
        <w:autoSpaceDE w:val="0"/>
        <w:autoSpaceDN w:val="0"/>
        <w:adjustRightInd w:val="0"/>
        <w:spacing w:after="120" w:line="276" w:lineRule="auto"/>
        <w:jc w:val="both"/>
        <w:rPr>
          <w:rFonts w:ascii="Times New Roman" w:eastAsia="Times New Roman" w:hAnsi="Times New Roman" w:cs="Times New Roman"/>
          <w:b/>
          <w:lang w:eastAsia="pl-PL"/>
        </w:rPr>
      </w:pPr>
      <w:r w:rsidRPr="00FD7F67">
        <w:rPr>
          <w:rFonts w:ascii="Times New Roman" w:eastAsia="Times New Roman" w:hAnsi="Times New Roman" w:cs="Times New Roman"/>
          <w:b/>
          <w:lang w:eastAsia="pl-PL"/>
        </w:rPr>
        <w:t xml:space="preserve">2. Przepis </w:t>
      </w:r>
      <w:r w:rsidR="00B342EE" w:rsidRPr="00FD7F67">
        <w:rPr>
          <w:rFonts w:ascii="Times New Roman" w:eastAsia="Times New Roman" w:hAnsi="Times New Roman" w:cs="Times New Roman"/>
          <w:lang w:eastAsia="pl-PL"/>
        </w:rPr>
        <w:t xml:space="preserve"> </w:t>
      </w:r>
      <w:r w:rsidR="00B342EE" w:rsidRPr="00FD7F67">
        <w:rPr>
          <w:rFonts w:ascii="Times New Roman" w:eastAsia="Times New Roman" w:hAnsi="Times New Roman" w:cs="Times New Roman"/>
          <w:b/>
          <w:lang w:eastAsia="pl-PL"/>
        </w:rPr>
        <w:t xml:space="preserve">art. </w:t>
      </w:r>
      <w:r w:rsidR="00560F33" w:rsidRPr="00FD7F67">
        <w:rPr>
          <w:rFonts w:ascii="Times New Roman" w:eastAsia="Times New Roman" w:hAnsi="Times New Roman" w:cs="Times New Roman"/>
          <w:b/>
          <w:lang w:eastAsia="pl-PL"/>
        </w:rPr>
        <w:t>7</w:t>
      </w:r>
      <w:r w:rsidR="00FF2574" w:rsidRPr="00FD7F67">
        <w:rPr>
          <w:rFonts w:ascii="Times New Roman" w:eastAsia="Times New Roman" w:hAnsi="Times New Roman" w:cs="Times New Roman"/>
          <w:lang w:eastAsia="pl-PL"/>
        </w:rPr>
        <w:t>, który stanowi</w:t>
      </w:r>
      <w:r w:rsidR="00B342EE" w:rsidRPr="00FD7F67">
        <w:rPr>
          <w:rFonts w:ascii="Times New Roman" w:eastAsia="Times New Roman" w:hAnsi="Times New Roman" w:cs="Times New Roman"/>
          <w:lang w:eastAsia="pl-PL"/>
        </w:rPr>
        <w:t>, iż do powiadomień, o których mowa w art. 22 ust. 1 ustawy w</w:t>
      </w:r>
      <w:r w:rsidRPr="00FD7F67">
        <w:rPr>
          <w:rFonts w:ascii="Times New Roman" w:eastAsia="Times New Roman" w:hAnsi="Times New Roman" w:cs="Times New Roman"/>
          <w:lang w:eastAsia="pl-PL"/>
        </w:rPr>
        <w:t> </w:t>
      </w:r>
      <w:r w:rsidR="00B342EE" w:rsidRPr="00FD7F67">
        <w:rPr>
          <w:rFonts w:ascii="Times New Roman" w:eastAsia="Times New Roman" w:hAnsi="Times New Roman" w:cs="Times New Roman"/>
          <w:lang w:eastAsia="pl-PL"/>
        </w:rPr>
        <w:t>brzmieniu nadanym niniejszą ustawą, złożonych przed dniem wejścia w życie niniejszej ustawy, stosuje się przepisy dotychczasowe.</w:t>
      </w:r>
    </w:p>
    <w:p w14:paraId="6952BDD7" w14:textId="77777777" w:rsidR="00B342EE" w:rsidRPr="00FD7F67" w:rsidRDefault="00B04458" w:rsidP="0019205D">
      <w:pPr>
        <w:pStyle w:val="ARTartustawynprozporzdzenia"/>
        <w:spacing w:before="0" w:after="120" w:line="276" w:lineRule="auto"/>
        <w:ind w:firstLine="0"/>
        <w:rPr>
          <w:rStyle w:val="Ppogrubienie"/>
          <w:rFonts w:ascii="Times New Roman" w:hAnsi="Times New Roman" w:cs="Times New Roman"/>
          <w:b w:val="0"/>
          <w:sz w:val="22"/>
          <w:szCs w:val="22"/>
        </w:rPr>
      </w:pPr>
      <w:r w:rsidRPr="00FD7F67">
        <w:rPr>
          <w:rStyle w:val="Ppogrubienie"/>
          <w:rFonts w:ascii="Times New Roman" w:hAnsi="Times New Roman" w:cs="Times New Roman"/>
          <w:sz w:val="22"/>
          <w:szCs w:val="22"/>
        </w:rPr>
        <w:t>3.</w:t>
      </w:r>
      <w:r w:rsidRPr="00FD7F67">
        <w:rPr>
          <w:rStyle w:val="Ppogrubienie"/>
          <w:rFonts w:ascii="Times New Roman" w:hAnsi="Times New Roman" w:cs="Times New Roman"/>
          <w:b w:val="0"/>
          <w:sz w:val="22"/>
          <w:szCs w:val="22"/>
        </w:rPr>
        <w:t xml:space="preserve"> </w:t>
      </w:r>
      <w:r w:rsidR="00B342EE" w:rsidRPr="00FD7F67">
        <w:rPr>
          <w:rStyle w:val="Ppogrubienie"/>
          <w:rFonts w:ascii="Times New Roman" w:hAnsi="Times New Roman" w:cs="Times New Roman"/>
          <w:b w:val="0"/>
          <w:sz w:val="22"/>
          <w:szCs w:val="22"/>
        </w:rPr>
        <w:t xml:space="preserve">Przepis </w:t>
      </w:r>
      <w:r w:rsidR="00B342EE" w:rsidRPr="00FD7F67">
        <w:rPr>
          <w:rStyle w:val="Ppogrubienie"/>
          <w:rFonts w:ascii="Times New Roman" w:hAnsi="Times New Roman" w:cs="Times New Roman"/>
          <w:sz w:val="22"/>
          <w:szCs w:val="22"/>
        </w:rPr>
        <w:t xml:space="preserve">art. </w:t>
      </w:r>
      <w:r w:rsidR="00560F33" w:rsidRPr="00FD7F67">
        <w:rPr>
          <w:rStyle w:val="Ppogrubienie"/>
          <w:rFonts w:ascii="Times New Roman" w:hAnsi="Times New Roman" w:cs="Times New Roman"/>
          <w:sz w:val="22"/>
          <w:szCs w:val="22"/>
        </w:rPr>
        <w:t>8</w:t>
      </w:r>
      <w:r w:rsidR="00FF2574" w:rsidRPr="00FD7F67">
        <w:rPr>
          <w:rStyle w:val="Ppogrubienie"/>
          <w:rFonts w:ascii="Times New Roman" w:hAnsi="Times New Roman" w:cs="Times New Roman"/>
          <w:b w:val="0"/>
          <w:sz w:val="22"/>
          <w:szCs w:val="22"/>
        </w:rPr>
        <w:t>, który stanowi</w:t>
      </w:r>
      <w:r w:rsidR="00B342EE" w:rsidRPr="00FD7F67">
        <w:rPr>
          <w:rStyle w:val="Ppogrubienie"/>
          <w:rFonts w:ascii="Times New Roman" w:hAnsi="Times New Roman" w:cs="Times New Roman"/>
          <w:b w:val="0"/>
          <w:sz w:val="22"/>
          <w:szCs w:val="22"/>
        </w:rPr>
        <w:t xml:space="preserve">, że  okręgowa izba lekarska albo okręgowa izba pielęgniarek i położnych będzie mogła złożyć wniosek o dofinansowanie kosztu szkolenia, które rozpoczęło się po dniu </w:t>
      </w:r>
      <w:r w:rsidR="00433477" w:rsidRPr="00FD7F67">
        <w:rPr>
          <w:rStyle w:val="Ppogrubienie"/>
          <w:rFonts w:ascii="Times New Roman" w:hAnsi="Times New Roman" w:cs="Times New Roman"/>
          <w:b w:val="0"/>
          <w:sz w:val="22"/>
          <w:szCs w:val="22"/>
        </w:rPr>
        <w:t xml:space="preserve">23 </w:t>
      </w:r>
      <w:r w:rsidR="00B342EE" w:rsidRPr="00FD7F67">
        <w:rPr>
          <w:rStyle w:val="Ppogrubienie"/>
          <w:rFonts w:ascii="Times New Roman" w:hAnsi="Times New Roman" w:cs="Times New Roman"/>
          <w:b w:val="0"/>
          <w:sz w:val="22"/>
          <w:szCs w:val="22"/>
        </w:rPr>
        <w:t xml:space="preserve">lutego 2022 r. do dnia wejścia w życie ustawy. Przepis ma umożliwić ww. izbom ubieganie się o zwrot kosztów szkoleń, które odbyły się przed dniem wejścia w życie ustawy. </w:t>
      </w:r>
    </w:p>
    <w:p w14:paraId="2649DDF0" w14:textId="77777777" w:rsidR="00B342EE" w:rsidRPr="00FD7F67" w:rsidRDefault="00B04458" w:rsidP="0019205D">
      <w:pPr>
        <w:pStyle w:val="ARTartustawynprozporzdzenia"/>
        <w:spacing w:before="0" w:after="120" w:line="276" w:lineRule="auto"/>
        <w:ind w:firstLine="0"/>
        <w:rPr>
          <w:rFonts w:ascii="Times New Roman" w:hAnsi="Times New Roman" w:cs="Times New Roman"/>
          <w:sz w:val="22"/>
          <w:szCs w:val="22"/>
        </w:rPr>
      </w:pPr>
      <w:r w:rsidRPr="00FD7F67">
        <w:rPr>
          <w:rStyle w:val="Ppogrubienie"/>
          <w:rFonts w:ascii="Times New Roman" w:hAnsi="Times New Roman" w:cs="Times New Roman"/>
          <w:sz w:val="22"/>
          <w:szCs w:val="22"/>
        </w:rPr>
        <w:t>4.</w:t>
      </w:r>
      <w:r w:rsidRPr="00FD7F67">
        <w:rPr>
          <w:rStyle w:val="Ppogrubienie"/>
          <w:rFonts w:ascii="Times New Roman" w:hAnsi="Times New Roman" w:cs="Times New Roman"/>
          <w:b w:val="0"/>
          <w:sz w:val="22"/>
          <w:szCs w:val="22"/>
        </w:rPr>
        <w:t xml:space="preserve"> </w:t>
      </w:r>
      <w:r w:rsidR="00B342EE" w:rsidRPr="00FD7F67">
        <w:rPr>
          <w:rStyle w:val="Ppogrubienie"/>
          <w:rFonts w:ascii="Times New Roman" w:hAnsi="Times New Roman" w:cs="Times New Roman"/>
          <w:b w:val="0"/>
          <w:sz w:val="22"/>
          <w:szCs w:val="22"/>
        </w:rPr>
        <w:t xml:space="preserve">Przepis </w:t>
      </w:r>
      <w:r w:rsidR="00B342EE" w:rsidRPr="00FD7F67">
        <w:rPr>
          <w:rStyle w:val="Ppogrubienie"/>
          <w:rFonts w:ascii="Times New Roman" w:hAnsi="Times New Roman" w:cs="Times New Roman"/>
          <w:sz w:val="22"/>
          <w:szCs w:val="22"/>
        </w:rPr>
        <w:t xml:space="preserve">art. </w:t>
      </w:r>
      <w:r w:rsidR="00FF2574" w:rsidRPr="00FD7F67">
        <w:rPr>
          <w:rStyle w:val="Ppogrubienie"/>
          <w:rFonts w:ascii="Times New Roman" w:hAnsi="Times New Roman" w:cs="Times New Roman"/>
          <w:sz w:val="22"/>
          <w:szCs w:val="22"/>
        </w:rPr>
        <w:t xml:space="preserve">9, </w:t>
      </w:r>
      <w:r w:rsidR="00FF2574" w:rsidRPr="00FD7F67">
        <w:rPr>
          <w:rStyle w:val="Ppogrubienie"/>
          <w:rFonts w:ascii="Times New Roman" w:hAnsi="Times New Roman" w:cs="Times New Roman"/>
          <w:b w:val="0"/>
          <w:sz w:val="22"/>
          <w:szCs w:val="22"/>
        </w:rPr>
        <w:t>który stanowi</w:t>
      </w:r>
      <w:r w:rsidR="00B342EE" w:rsidRPr="00FD7F67">
        <w:rPr>
          <w:rStyle w:val="Ppogrubienie"/>
          <w:rFonts w:ascii="Times New Roman" w:hAnsi="Times New Roman" w:cs="Times New Roman"/>
          <w:b w:val="0"/>
          <w:sz w:val="22"/>
          <w:szCs w:val="22"/>
        </w:rPr>
        <w:t xml:space="preserve">, iż szkolenie, o którym mowa w art. 40 ust. 4, ustawy </w:t>
      </w:r>
      <w:r w:rsidR="00331DC4" w:rsidRPr="00FD7F67">
        <w:rPr>
          <w:rFonts w:ascii="Times New Roman" w:hAnsi="Times New Roman" w:cs="Times New Roman"/>
          <w:sz w:val="22"/>
          <w:szCs w:val="22"/>
        </w:rPr>
        <w:t xml:space="preserve">z dnia 20 kwietnia 2004 r. o promocji zatrudnienia i instytucjach </w:t>
      </w:r>
      <w:r w:rsidR="00B342EE" w:rsidRPr="00FD7F67">
        <w:rPr>
          <w:rStyle w:val="Ppogrubienie"/>
          <w:rFonts w:ascii="Times New Roman" w:hAnsi="Times New Roman" w:cs="Times New Roman"/>
          <w:b w:val="0"/>
          <w:sz w:val="22"/>
          <w:szCs w:val="22"/>
        </w:rPr>
        <w:t xml:space="preserve">, rozpoczęte </w:t>
      </w:r>
      <w:r w:rsidR="00331DC4" w:rsidRPr="00FD7F67">
        <w:rPr>
          <w:rStyle w:val="Ppogrubienie"/>
          <w:rFonts w:ascii="Times New Roman" w:hAnsi="Times New Roman" w:cs="Times New Roman"/>
          <w:b w:val="0"/>
          <w:sz w:val="22"/>
          <w:szCs w:val="22"/>
        </w:rPr>
        <w:t xml:space="preserve">od </w:t>
      </w:r>
      <w:r w:rsidR="00B342EE" w:rsidRPr="00FD7F67">
        <w:rPr>
          <w:rStyle w:val="Ppogrubienie"/>
          <w:rFonts w:ascii="Times New Roman" w:hAnsi="Times New Roman" w:cs="Times New Roman"/>
          <w:b w:val="0"/>
          <w:sz w:val="22"/>
          <w:szCs w:val="22"/>
        </w:rPr>
        <w:t xml:space="preserve">dniu </w:t>
      </w:r>
      <w:r w:rsidR="00331DC4" w:rsidRPr="00FD7F67">
        <w:rPr>
          <w:rStyle w:val="Ppogrubienie"/>
          <w:rFonts w:ascii="Times New Roman" w:hAnsi="Times New Roman" w:cs="Times New Roman"/>
          <w:b w:val="0"/>
          <w:sz w:val="22"/>
          <w:szCs w:val="22"/>
        </w:rPr>
        <w:t xml:space="preserve">24 </w:t>
      </w:r>
      <w:r w:rsidR="00B342EE" w:rsidRPr="00FD7F67">
        <w:rPr>
          <w:rStyle w:val="Ppogrubienie"/>
          <w:rFonts w:ascii="Times New Roman" w:hAnsi="Times New Roman" w:cs="Times New Roman"/>
          <w:b w:val="0"/>
          <w:sz w:val="22"/>
          <w:szCs w:val="22"/>
        </w:rPr>
        <w:t>lutego 2022 r., może odbywać się zgodnie z art. 40 ust. 4 ustawy zmienianej w art. 2 w brzmieniu nadanym niniejszą ustawą.</w:t>
      </w:r>
    </w:p>
    <w:p w14:paraId="7AD40B30" w14:textId="77777777" w:rsidR="00B342EE" w:rsidRPr="00FD7F67" w:rsidRDefault="00183AB3" w:rsidP="0019205D">
      <w:pPr>
        <w:pStyle w:val="ARTartustawynprozporzdzenia"/>
        <w:spacing w:before="0" w:after="120" w:line="276" w:lineRule="auto"/>
        <w:ind w:firstLine="0"/>
        <w:rPr>
          <w:rFonts w:ascii="Times New Roman" w:hAnsi="Times New Roman" w:cs="Times New Roman"/>
          <w:sz w:val="22"/>
          <w:szCs w:val="22"/>
        </w:rPr>
      </w:pPr>
      <w:r w:rsidRPr="00FD7F67">
        <w:rPr>
          <w:rFonts w:ascii="Times New Roman" w:hAnsi="Times New Roman" w:cs="Times New Roman"/>
          <w:sz w:val="22"/>
          <w:szCs w:val="22"/>
        </w:rPr>
        <w:t>Zaproponowano</w:t>
      </w:r>
      <w:r w:rsidR="00B342EE" w:rsidRPr="00FD7F67">
        <w:rPr>
          <w:rFonts w:ascii="Times New Roman" w:hAnsi="Times New Roman" w:cs="Times New Roman"/>
          <w:sz w:val="22"/>
          <w:szCs w:val="22"/>
        </w:rPr>
        <w:t xml:space="preserve">, </w:t>
      </w:r>
      <w:r w:rsidR="00693A62" w:rsidRPr="00FD7F67">
        <w:rPr>
          <w:rFonts w:ascii="Times New Roman" w:hAnsi="Times New Roman" w:cs="Times New Roman"/>
          <w:sz w:val="22"/>
          <w:szCs w:val="22"/>
        </w:rPr>
        <w:t xml:space="preserve">co do zasady, </w:t>
      </w:r>
      <w:r w:rsidR="00B342EE" w:rsidRPr="00FD7F67">
        <w:rPr>
          <w:rFonts w:ascii="Times New Roman" w:hAnsi="Times New Roman" w:cs="Times New Roman"/>
          <w:sz w:val="22"/>
          <w:szCs w:val="22"/>
        </w:rPr>
        <w:t>aby projektowane zmiany weszły w życie z dniem nas</w:t>
      </w:r>
      <w:r w:rsidR="00693A62" w:rsidRPr="00FD7F67">
        <w:rPr>
          <w:rFonts w:ascii="Times New Roman" w:hAnsi="Times New Roman" w:cs="Times New Roman"/>
          <w:sz w:val="22"/>
          <w:szCs w:val="22"/>
        </w:rPr>
        <w:t xml:space="preserve">tępującym po dniu ogłoszenia. </w:t>
      </w:r>
      <w:r w:rsidR="00B342EE" w:rsidRPr="00FD7F67">
        <w:rPr>
          <w:rFonts w:ascii="Times New Roman" w:hAnsi="Times New Roman" w:cs="Times New Roman"/>
          <w:sz w:val="22"/>
          <w:szCs w:val="22"/>
        </w:rPr>
        <w:t>Powyższy termin nie narusza zasad demokratycznego państwa prawnego i jest niezbędny z</w:t>
      </w:r>
      <w:r w:rsidR="00693A62" w:rsidRPr="00FD7F67">
        <w:rPr>
          <w:rFonts w:ascii="Times New Roman" w:hAnsi="Times New Roman" w:cs="Times New Roman"/>
          <w:sz w:val="22"/>
          <w:szCs w:val="22"/>
        </w:rPr>
        <w:t> </w:t>
      </w:r>
      <w:r w:rsidR="00B342EE" w:rsidRPr="00FD7F67">
        <w:rPr>
          <w:rFonts w:ascii="Times New Roman" w:hAnsi="Times New Roman" w:cs="Times New Roman"/>
          <w:sz w:val="22"/>
          <w:szCs w:val="22"/>
        </w:rPr>
        <w:t>uwagi na konieczność pilnego wejścia w życie proponowanych regulacji.</w:t>
      </w:r>
    </w:p>
    <w:p w14:paraId="33BE29D3" w14:textId="77777777" w:rsidR="00B342EE" w:rsidRPr="00FD7F67" w:rsidRDefault="00B342EE" w:rsidP="0019205D">
      <w:pPr>
        <w:widowControl w:val="0"/>
        <w:autoSpaceDE w:val="0"/>
        <w:autoSpaceDN w:val="0"/>
        <w:adjustRightInd w:val="0"/>
        <w:spacing w:after="120" w:line="276" w:lineRule="auto"/>
        <w:jc w:val="both"/>
        <w:rPr>
          <w:rFonts w:ascii="Times New Roman" w:eastAsiaTheme="minorEastAsia" w:hAnsi="Times New Roman" w:cs="Times New Roman"/>
          <w:lang w:eastAsia="pl-PL"/>
        </w:rPr>
      </w:pPr>
      <w:r w:rsidRPr="00FD7F67">
        <w:rPr>
          <w:rFonts w:ascii="Times New Roman" w:eastAsiaTheme="minorEastAsia" w:hAnsi="Times New Roman" w:cs="Times New Roman"/>
          <w:lang w:eastAsia="pl-PL"/>
        </w:rPr>
        <w:t>Projekt ustawy nie jest niezgodny z prawem Unii Europejskiej.</w:t>
      </w:r>
    </w:p>
    <w:p w14:paraId="21574105" w14:textId="77777777" w:rsidR="00B342EE" w:rsidRPr="00FD7F67" w:rsidRDefault="00B342EE" w:rsidP="00693A62">
      <w:pPr>
        <w:widowControl w:val="0"/>
        <w:autoSpaceDE w:val="0"/>
        <w:autoSpaceDN w:val="0"/>
        <w:adjustRightInd w:val="0"/>
        <w:spacing w:after="120" w:line="276" w:lineRule="auto"/>
        <w:jc w:val="both"/>
        <w:rPr>
          <w:rFonts w:ascii="Times New Roman" w:eastAsiaTheme="minorEastAsia" w:hAnsi="Times New Roman" w:cs="Times New Roman"/>
          <w:lang w:eastAsia="pl-PL"/>
        </w:rPr>
      </w:pPr>
      <w:r w:rsidRPr="00FD7F67">
        <w:rPr>
          <w:rFonts w:ascii="Times New Roman" w:eastAsiaTheme="minorEastAsia" w:hAnsi="Times New Roman" w:cs="Times New Roman"/>
          <w:lang w:eastAsia="pl-PL"/>
        </w:rPr>
        <w:t>Projekt ustawy nie zawiera przepisów technicznych, a zatem nie podlega notyfikacji, zgodnie z trybem przewidzianym w przepisach rozporządzenia Rady Ministrów z dnia 23 grudnia 2002 r. w sprawie sposobu funkcjonowania krajowego systemu notyfikacji norm i aktów prawnych (Dz. U. poz. 2039, z</w:t>
      </w:r>
      <w:r w:rsidR="00693A62" w:rsidRPr="00FD7F67">
        <w:rPr>
          <w:rFonts w:ascii="Times New Roman" w:eastAsiaTheme="minorEastAsia" w:hAnsi="Times New Roman" w:cs="Times New Roman"/>
          <w:lang w:eastAsia="pl-PL"/>
        </w:rPr>
        <w:t> </w:t>
      </w:r>
      <w:r w:rsidRPr="00FD7F67">
        <w:rPr>
          <w:rFonts w:ascii="Times New Roman" w:eastAsiaTheme="minorEastAsia" w:hAnsi="Times New Roman" w:cs="Times New Roman"/>
          <w:lang w:eastAsia="pl-PL"/>
        </w:rPr>
        <w:t>późn. zm.).</w:t>
      </w:r>
    </w:p>
    <w:p w14:paraId="2B662D97" w14:textId="77777777" w:rsidR="00B342EE" w:rsidRPr="00FD7F67" w:rsidRDefault="00B342EE" w:rsidP="00693A62">
      <w:pPr>
        <w:widowControl w:val="0"/>
        <w:autoSpaceDE w:val="0"/>
        <w:autoSpaceDN w:val="0"/>
        <w:adjustRightInd w:val="0"/>
        <w:spacing w:after="120" w:line="276" w:lineRule="auto"/>
        <w:jc w:val="both"/>
        <w:rPr>
          <w:rFonts w:ascii="Times New Roman" w:eastAsiaTheme="minorEastAsia" w:hAnsi="Times New Roman" w:cs="Times New Roman"/>
          <w:lang w:eastAsia="pl-PL"/>
        </w:rPr>
      </w:pPr>
      <w:r w:rsidRPr="00FD7F67">
        <w:rPr>
          <w:rFonts w:ascii="Times New Roman" w:eastAsiaTheme="minorEastAsia" w:hAnsi="Times New Roman" w:cs="Times New Roman"/>
          <w:lang w:eastAsia="pl-PL"/>
        </w:rPr>
        <w:t>Projekt ustawy nie wymaga przedłożenia instytucjom i organom Unii Europejskiej, w tym Europejskiemu Bankowi Centralnemu, w celu uzyskania opinii, dokonania powiadomienia, konsultacji albo uzgodnienia.</w:t>
      </w:r>
    </w:p>
    <w:p w14:paraId="09EFCC5B" w14:textId="77777777" w:rsidR="00B342EE" w:rsidRPr="00FD7F67" w:rsidRDefault="00B342EE" w:rsidP="00693A62">
      <w:pPr>
        <w:widowControl w:val="0"/>
        <w:autoSpaceDE w:val="0"/>
        <w:autoSpaceDN w:val="0"/>
        <w:adjustRightInd w:val="0"/>
        <w:spacing w:after="120" w:line="276" w:lineRule="auto"/>
        <w:jc w:val="both"/>
        <w:rPr>
          <w:rFonts w:ascii="Times New Roman" w:eastAsiaTheme="minorEastAsia" w:hAnsi="Times New Roman" w:cs="Times New Roman"/>
          <w:lang w:eastAsia="pl-PL"/>
        </w:rPr>
      </w:pPr>
      <w:r w:rsidRPr="00FD7F67">
        <w:rPr>
          <w:rFonts w:ascii="Times New Roman" w:eastAsiaTheme="minorEastAsia" w:hAnsi="Times New Roman" w:cs="Times New Roman"/>
          <w:lang w:eastAsia="pl-PL"/>
        </w:rPr>
        <w:t xml:space="preserve">Projekt zostanie udostępniony w Biuletynie Informacji Publicznej na stronie internetowej Rządowego Centrum Legislacji w zakładce </w:t>
      </w:r>
      <w:r w:rsidR="00183AB3" w:rsidRPr="00FD7F67">
        <w:rPr>
          <w:rFonts w:ascii="Times New Roman" w:eastAsiaTheme="minorEastAsia" w:hAnsi="Times New Roman" w:cs="Times New Roman"/>
          <w:lang w:eastAsia="pl-PL"/>
        </w:rPr>
        <w:t>„</w:t>
      </w:r>
      <w:r w:rsidRPr="00FD7F67">
        <w:rPr>
          <w:rFonts w:ascii="Times New Roman" w:eastAsiaTheme="minorEastAsia" w:hAnsi="Times New Roman" w:cs="Times New Roman"/>
          <w:lang w:eastAsia="pl-PL"/>
        </w:rPr>
        <w:t>Rządowy Proces Legislacyjny</w:t>
      </w:r>
      <w:r w:rsidR="00183AB3" w:rsidRPr="00FD7F67">
        <w:rPr>
          <w:rFonts w:ascii="Times New Roman" w:eastAsiaTheme="minorEastAsia" w:hAnsi="Times New Roman" w:cs="Times New Roman"/>
          <w:lang w:eastAsia="pl-PL"/>
        </w:rPr>
        <w:t>”</w:t>
      </w:r>
      <w:r w:rsidRPr="00FD7F67">
        <w:rPr>
          <w:rFonts w:ascii="Times New Roman" w:eastAsiaTheme="minorEastAsia" w:hAnsi="Times New Roman" w:cs="Times New Roman"/>
          <w:lang w:eastAsia="pl-PL"/>
        </w:rPr>
        <w:t xml:space="preserve"> zgodnie z § 52 uchwały nr 190 Rady Ministrów z dnia 29 października 2013 r. – Regulamin pracy Rady Ministrów (M.P. z 2022 r. poz. 348) oraz stosownie do wymogów art. 5 ustawy z dnia 7 lipca 2005 r. o działalności lobbingowej w procesie stanowienia prawa (Dz. U. z 2017 r. poz. 248). </w:t>
      </w:r>
    </w:p>
    <w:p w14:paraId="4F7F7202" w14:textId="77777777" w:rsidR="00B342EE" w:rsidRPr="00FD7F67" w:rsidRDefault="00B342EE" w:rsidP="00693A62">
      <w:pPr>
        <w:widowControl w:val="0"/>
        <w:autoSpaceDE w:val="0"/>
        <w:autoSpaceDN w:val="0"/>
        <w:adjustRightInd w:val="0"/>
        <w:spacing w:after="120" w:line="276" w:lineRule="auto"/>
        <w:jc w:val="both"/>
        <w:rPr>
          <w:rFonts w:ascii="Times New Roman" w:eastAsiaTheme="minorEastAsia" w:hAnsi="Times New Roman" w:cs="Times New Roman"/>
          <w:lang w:eastAsia="pl-PL"/>
        </w:rPr>
      </w:pPr>
      <w:r w:rsidRPr="00FD7F67">
        <w:rPr>
          <w:rFonts w:ascii="Times New Roman" w:eastAsiaTheme="minorEastAsia" w:hAnsi="Times New Roman" w:cs="Times New Roman"/>
          <w:lang w:eastAsia="pl-PL"/>
        </w:rPr>
        <w:t>Projekt nie podlega dokonaniu oceny OSR przez koordynatora OSR w trybie § 32 uchwały nr 190 Rady Ministrów z dnia 29 października 2013 r. – Regulamin pracy Rady Ministrów.</w:t>
      </w:r>
    </w:p>
    <w:p w14:paraId="75BEBA34" w14:textId="77777777" w:rsidR="00BD08D0" w:rsidRPr="00FD7F67" w:rsidRDefault="00BD08D0" w:rsidP="008A0ADB">
      <w:pPr>
        <w:spacing w:line="276" w:lineRule="auto"/>
        <w:jc w:val="both"/>
        <w:rPr>
          <w:rFonts w:ascii="Times New Roman" w:hAnsi="Times New Roman" w:cs="Times New Roman"/>
        </w:rPr>
      </w:pPr>
    </w:p>
    <w:sectPr w:rsidR="00BD08D0" w:rsidRPr="00FD7F67" w:rsidSect="00A86EC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0DE8" w14:textId="77777777" w:rsidR="0098420D" w:rsidRDefault="0098420D" w:rsidP="00AF2F88">
      <w:pPr>
        <w:spacing w:after="0" w:line="240" w:lineRule="auto"/>
      </w:pPr>
      <w:r>
        <w:separator/>
      </w:r>
    </w:p>
  </w:endnote>
  <w:endnote w:type="continuationSeparator" w:id="0">
    <w:p w14:paraId="327E8101" w14:textId="77777777" w:rsidR="0098420D" w:rsidRDefault="0098420D" w:rsidP="00AF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26883"/>
      <w:docPartObj>
        <w:docPartGallery w:val="Page Numbers (Bottom of Page)"/>
        <w:docPartUnique/>
      </w:docPartObj>
    </w:sdtPr>
    <w:sdtEndPr/>
    <w:sdtContent>
      <w:p w14:paraId="63879EF8" w14:textId="49BC063F" w:rsidR="00AF2F88" w:rsidRDefault="00AF2F88">
        <w:pPr>
          <w:pStyle w:val="Stopka"/>
          <w:jc w:val="right"/>
        </w:pPr>
        <w:r>
          <w:fldChar w:fldCharType="begin"/>
        </w:r>
        <w:r>
          <w:instrText>PAGE   \* MERGEFORMAT</w:instrText>
        </w:r>
        <w:r>
          <w:fldChar w:fldCharType="separate"/>
        </w:r>
        <w:r w:rsidR="00424F38">
          <w:rPr>
            <w:noProof/>
          </w:rPr>
          <w:t>12</w:t>
        </w:r>
        <w:r>
          <w:fldChar w:fldCharType="end"/>
        </w:r>
      </w:p>
    </w:sdtContent>
  </w:sdt>
  <w:p w14:paraId="64EA75EB" w14:textId="77777777" w:rsidR="00AF2F88" w:rsidRDefault="00AF2F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BA28" w14:textId="77777777" w:rsidR="0098420D" w:rsidRDefault="0098420D" w:rsidP="00AF2F88">
      <w:pPr>
        <w:spacing w:after="0" w:line="240" w:lineRule="auto"/>
      </w:pPr>
      <w:r>
        <w:separator/>
      </w:r>
    </w:p>
  </w:footnote>
  <w:footnote w:type="continuationSeparator" w:id="0">
    <w:p w14:paraId="017F607C" w14:textId="77777777" w:rsidR="0098420D" w:rsidRDefault="0098420D" w:rsidP="00AF2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7AD"/>
    <w:multiLevelType w:val="hybridMultilevel"/>
    <w:tmpl w:val="43883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4A00B4"/>
    <w:multiLevelType w:val="hybridMultilevel"/>
    <w:tmpl w:val="A4C00488"/>
    <w:lvl w:ilvl="0" w:tplc="CFE8AB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6A23CA"/>
    <w:multiLevelType w:val="hybridMultilevel"/>
    <w:tmpl w:val="4FEC7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5E"/>
    <w:rsid w:val="0002349F"/>
    <w:rsid w:val="00062F9F"/>
    <w:rsid w:val="00087B9A"/>
    <w:rsid w:val="000B1DD6"/>
    <w:rsid w:val="00106602"/>
    <w:rsid w:val="00183AB3"/>
    <w:rsid w:val="0019205D"/>
    <w:rsid w:val="001B04A3"/>
    <w:rsid w:val="001C59E5"/>
    <w:rsid w:val="001E3518"/>
    <w:rsid w:val="002403E9"/>
    <w:rsid w:val="002556CF"/>
    <w:rsid w:val="00262AF6"/>
    <w:rsid w:val="0026581A"/>
    <w:rsid w:val="00272DFF"/>
    <w:rsid w:val="002E7644"/>
    <w:rsid w:val="00314E50"/>
    <w:rsid w:val="00321348"/>
    <w:rsid w:val="00325895"/>
    <w:rsid w:val="00331DC4"/>
    <w:rsid w:val="00346B59"/>
    <w:rsid w:val="0039439E"/>
    <w:rsid w:val="0039510D"/>
    <w:rsid w:val="003A2998"/>
    <w:rsid w:val="003B03FA"/>
    <w:rsid w:val="003C1501"/>
    <w:rsid w:val="003F26E0"/>
    <w:rsid w:val="00402D97"/>
    <w:rsid w:val="00415F49"/>
    <w:rsid w:val="00422E1A"/>
    <w:rsid w:val="00424F38"/>
    <w:rsid w:val="00433477"/>
    <w:rsid w:val="00444876"/>
    <w:rsid w:val="00481583"/>
    <w:rsid w:val="004E6676"/>
    <w:rsid w:val="004F20E7"/>
    <w:rsid w:val="00503B2C"/>
    <w:rsid w:val="00517A76"/>
    <w:rsid w:val="00520405"/>
    <w:rsid w:val="00523598"/>
    <w:rsid w:val="00537F59"/>
    <w:rsid w:val="005563D2"/>
    <w:rsid w:val="00560F33"/>
    <w:rsid w:val="00581A30"/>
    <w:rsid w:val="005863BC"/>
    <w:rsid w:val="00597AC6"/>
    <w:rsid w:val="005C4D93"/>
    <w:rsid w:val="005D1B6D"/>
    <w:rsid w:val="005D2D31"/>
    <w:rsid w:val="005E0256"/>
    <w:rsid w:val="006221F9"/>
    <w:rsid w:val="00651FFA"/>
    <w:rsid w:val="00654FEF"/>
    <w:rsid w:val="0066185E"/>
    <w:rsid w:val="0066376E"/>
    <w:rsid w:val="0067299B"/>
    <w:rsid w:val="00693A62"/>
    <w:rsid w:val="006E0CEF"/>
    <w:rsid w:val="006E3F0B"/>
    <w:rsid w:val="0070057B"/>
    <w:rsid w:val="00711343"/>
    <w:rsid w:val="00730AC9"/>
    <w:rsid w:val="00777149"/>
    <w:rsid w:val="00780D2B"/>
    <w:rsid w:val="00797299"/>
    <w:rsid w:val="007A0655"/>
    <w:rsid w:val="007C3EA2"/>
    <w:rsid w:val="007D519D"/>
    <w:rsid w:val="007E2679"/>
    <w:rsid w:val="007F30BB"/>
    <w:rsid w:val="00803A31"/>
    <w:rsid w:val="00804511"/>
    <w:rsid w:val="008135CF"/>
    <w:rsid w:val="008149E2"/>
    <w:rsid w:val="008366E1"/>
    <w:rsid w:val="00895406"/>
    <w:rsid w:val="008A0ADB"/>
    <w:rsid w:val="008E0B48"/>
    <w:rsid w:val="00941039"/>
    <w:rsid w:val="00943020"/>
    <w:rsid w:val="0098420D"/>
    <w:rsid w:val="0099076F"/>
    <w:rsid w:val="009E4F47"/>
    <w:rsid w:val="00A006A1"/>
    <w:rsid w:val="00A03E6B"/>
    <w:rsid w:val="00A228E0"/>
    <w:rsid w:val="00A34186"/>
    <w:rsid w:val="00A41D58"/>
    <w:rsid w:val="00A62E8C"/>
    <w:rsid w:val="00A86ECC"/>
    <w:rsid w:val="00AB007E"/>
    <w:rsid w:val="00AF2F88"/>
    <w:rsid w:val="00AF4DFE"/>
    <w:rsid w:val="00B04458"/>
    <w:rsid w:val="00B15EA7"/>
    <w:rsid w:val="00B25FC0"/>
    <w:rsid w:val="00B342EE"/>
    <w:rsid w:val="00B64399"/>
    <w:rsid w:val="00BD08D0"/>
    <w:rsid w:val="00BE48B9"/>
    <w:rsid w:val="00BF07D6"/>
    <w:rsid w:val="00BF3877"/>
    <w:rsid w:val="00C02121"/>
    <w:rsid w:val="00C11972"/>
    <w:rsid w:val="00C52BAC"/>
    <w:rsid w:val="00C70F93"/>
    <w:rsid w:val="00CD6B86"/>
    <w:rsid w:val="00D20846"/>
    <w:rsid w:val="00DB7057"/>
    <w:rsid w:val="00DE7A9C"/>
    <w:rsid w:val="00DF1E27"/>
    <w:rsid w:val="00E24FA1"/>
    <w:rsid w:val="00E36D28"/>
    <w:rsid w:val="00E46DF7"/>
    <w:rsid w:val="00E57F70"/>
    <w:rsid w:val="00E77B1E"/>
    <w:rsid w:val="00EA1A4D"/>
    <w:rsid w:val="00EA415B"/>
    <w:rsid w:val="00EC1A1E"/>
    <w:rsid w:val="00EC5C15"/>
    <w:rsid w:val="00EE4BE2"/>
    <w:rsid w:val="00F124FB"/>
    <w:rsid w:val="00F157C3"/>
    <w:rsid w:val="00F55685"/>
    <w:rsid w:val="00F81680"/>
    <w:rsid w:val="00F821CC"/>
    <w:rsid w:val="00F93643"/>
    <w:rsid w:val="00FD7F67"/>
    <w:rsid w:val="00FF2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8EDC"/>
  <w15:chartTrackingRefBased/>
  <w15:docId w15:val="{7ACEF19A-55B9-4FB6-B948-4C5263C2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B6D"/>
    <w:pPr>
      <w:ind w:left="720"/>
      <w:contextualSpacing/>
    </w:pPr>
  </w:style>
  <w:style w:type="character" w:customStyle="1" w:styleId="highlight-disabled">
    <w:name w:val="highlight-disabled"/>
    <w:basedOn w:val="Domylnaczcionkaakapitu"/>
    <w:rsid w:val="008366E1"/>
  </w:style>
  <w:style w:type="paragraph" w:styleId="Bezodstpw">
    <w:name w:val="No Spacing"/>
    <w:uiPriority w:val="1"/>
    <w:qFormat/>
    <w:rsid w:val="008366E1"/>
    <w:pPr>
      <w:spacing w:after="0" w:line="240" w:lineRule="auto"/>
    </w:pPr>
  </w:style>
  <w:style w:type="character" w:styleId="Hipercze">
    <w:name w:val="Hyperlink"/>
    <w:basedOn w:val="Domylnaczcionkaakapitu"/>
    <w:uiPriority w:val="99"/>
    <w:unhideWhenUsed/>
    <w:rsid w:val="008366E1"/>
    <w:rPr>
      <w:color w:val="0563C1" w:themeColor="hyperlink"/>
      <w:u w:val="single"/>
    </w:rPr>
  </w:style>
  <w:style w:type="character" w:customStyle="1" w:styleId="NormalWebChar5">
    <w:name w:val="Normal (Web) Char5"/>
    <w:aliases w:val="Normal (Web) Char Char4"/>
    <w:basedOn w:val="Domylnaczcionkaakapitu"/>
    <w:link w:val="wordsection1"/>
    <w:uiPriority w:val="99"/>
    <w:locked/>
    <w:rsid w:val="008366E1"/>
    <w:rPr>
      <w:lang w:eastAsia="ja-JP"/>
    </w:rPr>
  </w:style>
  <w:style w:type="paragraph" w:customStyle="1" w:styleId="wordsection1">
    <w:name w:val="wordsection1"/>
    <w:basedOn w:val="Normalny"/>
    <w:link w:val="NormalWebChar5"/>
    <w:uiPriority w:val="99"/>
    <w:rsid w:val="008366E1"/>
    <w:pPr>
      <w:spacing w:after="0" w:line="240" w:lineRule="auto"/>
    </w:pPr>
    <w:rPr>
      <w:lang w:eastAsia="ja-JP"/>
    </w:rPr>
  </w:style>
  <w:style w:type="paragraph" w:customStyle="1" w:styleId="divparagraph">
    <w:name w:val="div.paragraph"/>
    <w:basedOn w:val="Normalny"/>
    <w:uiPriority w:val="99"/>
    <w:rsid w:val="008366E1"/>
    <w:pPr>
      <w:autoSpaceDE w:val="0"/>
      <w:autoSpaceDN w:val="0"/>
      <w:spacing w:after="0" w:line="40" w:lineRule="atLeast"/>
    </w:pPr>
    <w:rPr>
      <w:rFonts w:ascii="Helvetica" w:hAnsi="Helvetica" w:cs="Helvetica"/>
      <w:color w:val="000000"/>
      <w:sz w:val="18"/>
      <w:szCs w:val="18"/>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F30BB"/>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B342E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B342EE"/>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B342EE"/>
    <w:rPr>
      <w:b/>
    </w:rPr>
  </w:style>
  <w:style w:type="character" w:customStyle="1" w:styleId="Teksttreci3">
    <w:name w:val="Tekst treści (3)_"/>
    <w:basedOn w:val="Domylnaczcionkaakapitu"/>
    <w:link w:val="Teksttreci30"/>
    <w:rsid w:val="001C59E5"/>
    <w:rPr>
      <w:rFonts w:ascii="Arial" w:eastAsia="Arial" w:hAnsi="Arial" w:cs="Arial"/>
      <w:sz w:val="19"/>
      <w:szCs w:val="19"/>
      <w:shd w:val="clear" w:color="auto" w:fill="FFFFFF"/>
    </w:rPr>
  </w:style>
  <w:style w:type="character" w:customStyle="1" w:styleId="Teksttreci">
    <w:name w:val="Tekst treści_"/>
    <w:basedOn w:val="Domylnaczcionkaakapitu"/>
    <w:link w:val="Teksttreci0"/>
    <w:rsid w:val="001C59E5"/>
    <w:rPr>
      <w:rFonts w:ascii="Arial" w:eastAsia="Arial" w:hAnsi="Arial" w:cs="Arial"/>
      <w:sz w:val="18"/>
      <w:szCs w:val="18"/>
      <w:shd w:val="clear" w:color="auto" w:fill="FFFFFF"/>
    </w:rPr>
  </w:style>
  <w:style w:type="paragraph" w:customStyle="1" w:styleId="Teksttreci30">
    <w:name w:val="Tekst treści (3)"/>
    <w:basedOn w:val="Normalny"/>
    <w:link w:val="Teksttreci3"/>
    <w:rsid w:val="001C59E5"/>
    <w:pPr>
      <w:widowControl w:val="0"/>
      <w:shd w:val="clear" w:color="auto" w:fill="FFFFFF"/>
      <w:spacing w:before="60" w:after="60" w:line="0" w:lineRule="atLeast"/>
      <w:jc w:val="both"/>
    </w:pPr>
    <w:rPr>
      <w:rFonts w:ascii="Arial" w:eastAsia="Arial" w:hAnsi="Arial" w:cs="Arial"/>
      <w:sz w:val="19"/>
      <w:szCs w:val="19"/>
    </w:rPr>
  </w:style>
  <w:style w:type="paragraph" w:customStyle="1" w:styleId="Teksttreci0">
    <w:name w:val="Tekst treści"/>
    <w:basedOn w:val="Normalny"/>
    <w:link w:val="Teksttreci"/>
    <w:rsid w:val="001C59E5"/>
    <w:pPr>
      <w:widowControl w:val="0"/>
      <w:shd w:val="clear" w:color="auto" w:fill="FFFFFF"/>
      <w:spacing w:after="180" w:line="322" w:lineRule="exact"/>
      <w:jc w:val="both"/>
    </w:pPr>
    <w:rPr>
      <w:rFonts w:ascii="Arial" w:eastAsia="Arial" w:hAnsi="Arial" w:cs="Arial"/>
      <w:sz w:val="18"/>
      <w:szCs w:val="18"/>
    </w:rPr>
  </w:style>
  <w:style w:type="paragraph" w:styleId="Tekstdymka">
    <w:name w:val="Balloon Text"/>
    <w:basedOn w:val="Normalny"/>
    <w:link w:val="TekstdymkaZnak"/>
    <w:uiPriority w:val="99"/>
    <w:semiHidden/>
    <w:unhideWhenUsed/>
    <w:rsid w:val="005D2D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2D31"/>
    <w:rPr>
      <w:rFonts w:ascii="Segoe UI" w:hAnsi="Segoe UI" w:cs="Segoe UI"/>
      <w:sz w:val="18"/>
      <w:szCs w:val="18"/>
    </w:rPr>
  </w:style>
  <w:style w:type="character" w:styleId="Odwoaniedokomentarza">
    <w:name w:val="annotation reference"/>
    <w:basedOn w:val="Domylnaczcionkaakapitu"/>
    <w:uiPriority w:val="99"/>
    <w:semiHidden/>
    <w:unhideWhenUsed/>
    <w:rsid w:val="00321348"/>
    <w:rPr>
      <w:sz w:val="16"/>
      <w:szCs w:val="16"/>
    </w:rPr>
  </w:style>
  <w:style w:type="paragraph" w:styleId="Tekstkomentarza">
    <w:name w:val="annotation text"/>
    <w:basedOn w:val="Normalny"/>
    <w:link w:val="TekstkomentarzaZnak"/>
    <w:uiPriority w:val="99"/>
    <w:semiHidden/>
    <w:unhideWhenUsed/>
    <w:rsid w:val="003213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1348"/>
    <w:rPr>
      <w:sz w:val="20"/>
      <w:szCs w:val="20"/>
    </w:rPr>
  </w:style>
  <w:style w:type="paragraph" w:styleId="Tematkomentarza">
    <w:name w:val="annotation subject"/>
    <w:basedOn w:val="Tekstkomentarza"/>
    <w:next w:val="Tekstkomentarza"/>
    <w:link w:val="TematkomentarzaZnak"/>
    <w:uiPriority w:val="99"/>
    <w:semiHidden/>
    <w:unhideWhenUsed/>
    <w:rsid w:val="00321348"/>
    <w:rPr>
      <w:b/>
      <w:bCs/>
    </w:rPr>
  </w:style>
  <w:style w:type="character" w:customStyle="1" w:styleId="TematkomentarzaZnak">
    <w:name w:val="Temat komentarza Znak"/>
    <w:basedOn w:val="TekstkomentarzaZnak"/>
    <w:link w:val="Tematkomentarza"/>
    <w:uiPriority w:val="99"/>
    <w:semiHidden/>
    <w:rsid w:val="00321348"/>
    <w:rPr>
      <w:b/>
      <w:bCs/>
      <w:sz w:val="20"/>
      <w:szCs w:val="20"/>
    </w:rPr>
  </w:style>
  <w:style w:type="character" w:styleId="Uwydatnienie">
    <w:name w:val="Emphasis"/>
    <w:basedOn w:val="Domylnaczcionkaakapitu"/>
    <w:uiPriority w:val="20"/>
    <w:qFormat/>
    <w:rsid w:val="00560F33"/>
    <w:rPr>
      <w:i/>
      <w:iCs/>
    </w:rPr>
  </w:style>
  <w:style w:type="paragraph" w:styleId="Nagwek">
    <w:name w:val="header"/>
    <w:basedOn w:val="Normalny"/>
    <w:link w:val="NagwekZnak"/>
    <w:uiPriority w:val="99"/>
    <w:unhideWhenUsed/>
    <w:rsid w:val="00AF2F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F88"/>
  </w:style>
  <w:style w:type="paragraph" w:styleId="Stopka">
    <w:name w:val="footer"/>
    <w:basedOn w:val="Normalny"/>
    <w:link w:val="StopkaZnak"/>
    <w:uiPriority w:val="99"/>
    <w:unhideWhenUsed/>
    <w:rsid w:val="00AF2F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47F0-51CF-4554-9496-976C0F02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7367</Words>
  <Characters>44202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Błeszyński Michał</dc:creator>
  <cp:keywords/>
  <dc:description/>
  <cp:lastModifiedBy>Chojnowska Emilia</cp:lastModifiedBy>
  <cp:revision>2</cp:revision>
  <dcterms:created xsi:type="dcterms:W3CDTF">2022-05-20T09:52:00Z</dcterms:created>
  <dcterms:modified xsi:type="dcterms:W3CDTF">2022-05-20T09:52:00Z</dcterms:modified>
</cp:coreProperties>
</file>