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F8F0" w14:textId="72215229" w:rsidR="00B4457A" w:rsidRPr="00B4457A" w:rsidRDefault="00B4457A" w:rsidP="00B4457A">
      <w:pPr>
        <w:pStyle w:val="TYTUAKTUprzedmiotregulacjiustawylubrozporzdzenia"/>
        <w:spacing w:before="0" w:after="0" w:line="276" w:lineRule="auto"/>
        <w:jc w:val="right"/>
        <w:rPr>
          <w:rStyle w:val="Ppogrubienie"/>
          <w:rFonts w:ascii="Times New Roman" w:hAnsi="Times New Roman" w:cs="Times New Roman"/>
          <w:sz w:val="22"/>
          <w:szCs w:val="22"/>
        </w:rPr>
      </w:pPr>
      <w:r w:rsidRPr="00B4457A">
        <w:rPr>
          <w:rStyle w:val="Ppogrubienie"/>
          <w:rFonts w:ascii="Times New Roman" w:hAnsi="Times New Roman" w:cs="Times New Roman"/>
          <w:sz w:val="22"/>
          <w:szCs w:val="22"/>
        </w:rPr>
        <w:t>2021.03.19</w:t>
      </w:r>
    </w:p>
    <w:p w14:paraId="77E2E07C" w14:textId="59AFD036" w:rsidR="0043397F" w:rsidRDefault="0043397F" w:rsidP="00B4457A">
      <w:pPr>
        <w:pStyle w:val="TYTUAKTUprzedmiotregulacjiustawylubrozporzdzenia"/>
        <w:spacing w:before="0" w:after="0" w:line="276" w:lineRule="auto"/>
        <w:rPr>
          <w:rStyle w:val="Ppogrubienie"/>
          <w:rFonts w:ascii="Times New Roman" w:hAnsi="Times New Roman" w:cs="Times New Roman"/>
          <w:b/>
          <w:bCs w:val="0"/>
          <w:sz w:val="22"/>
          <w:szCs w:val="22"/>
        </w:rPr>
      </w:pPr>
      <w:r w:rsidRPr="00B4457A">
        <w:rPr>
          <w:rStyle w:val="Ppogrubienie"/>
          <w:rFonts w:ascii="Times New Roman" w:hAnsi="Times New Roman" w:cs="Times New Roman"/>
          <w:b/>
          <w:bCs w:val="0"/>
          <w:sz w:val="22"/>
          <w:szCs w:val="22"/>
        </w:rPr>
        <w:t>UZASADNIENIE</w:t>
      </w:r>
    </w:p>
    <w:p w14:paraId="48D37BB0" w14:textId="77777777" w:rsidR="00B4457A" w:rsidRPr="00B4457A" w:rsidRDefault="00B4457A" w:rsidP="00B4457A">
      <w:pPr>
        <w:pStyle w:val="ARTartustawynprozporzdzenia"/>
      </w:pPr>
    </w:p>
    <w:p w14:paraId="10E6467A" w14:textId="0DB3FB4B" w:rsidR="00736373" w:rsidRDefault="0043397F" w:rsidP="00B4457A">
      <w:pPr>
        <w:pStyle w:val="Akapitzlist"/>
        <w:keepNext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b/>
          <w:lang w:eastAsia="ar-SA"/>
        </w:rPr>
        <w:t>Potrzeba i cel wydania</w:t>
      </w:r>
      <w:r w:rsidRPr="00B4457A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4CBC2D0F" w14:textId="77777777" w:rsidR="00B4457A" w:rsidRPr="00B4457A" w:rsidRDefault="00B4457A" w:rsidP="00B4457A">
      <w:pPr>
        <w:keepNext/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182FA84" w14:textId="0D0140BB" w:rsidR="00A6099D" w:rsidRPr="00B4457A" w:rsidRDefault="0043397F" w:rsidP="00B4457A">
      <w:pPr>
        <w:keepNext/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Pierwszym i nadrzędnym celem, jaki realizuje przedmiotowa </w:t>
      </w:r>
      <w:r w:rsidR="00245422" w:rsidRPr="00B4457A">
        <w:rPr>
          <w:rFonts w:ascii="Times New Roman" w:eastAsia="Calibri" w:hAnsi="Times New Roman" w:cs="Times New Roman"/>
          <w:lang w:eastAsia="ar-SA"/>
        </w:rPr>
        <w:t xml:space="preserve">ustawa o zmianie </w:t>
      </w:r>
      <w:r w:rsidRPr="00B4457A">
        <w:rPr>
          <w:rFonts w:ascii="Times New Roman" w:eastAsia="Calibri" w:hAnsi="Times New Roman" w:cs="Times New Roman"/>
          <w:lang w:eastAsia="ar-SA"/>
        </w:rPr>
        <w:t xml:space="preserve">ustawy –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Prawo ochrony środowiska oraz niektórych innych ustaw</w:t>
      </w:r>
      <w:r w:rsidRPr="00B4457A">
        <w:rPr>
          <w:rFonts w:ascii="Times New Roman" w:eastAsia="Calibri" w:hAnsi="Times New Roman" w:cs="Times New Roman"/>
          <w:lang w:eastAsia="ar-SA"/>
        </w:rPr>
        <w:t xml:space="preserve"> (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zwana </w:t>
      </w:r>
      <w:r w:rsidRPr="00B4457A">
        <w:rPr>
          <w:rFonts w:ascii="Times New Roman" w:eastAsia="Calibri" w:hAnsi="Times New Roman" w:cs="Times New Roman"/>
          <w:lang w:eastAsia="ar-SA"/>
        </w:rPr>
        <w:t>dalej: „projekt</w:t>
      </w:r>
      <w:r w:rsidR="00A6099D" w:rsidRPr="00B4457A">
        <w:rPr>
          <w:rFonts w:ascii="Times New Roman" w:eastAsia="Calibri" w:hAnsi="Times New Roman" w:cs="Times New Roman"/>
          <w:lang w:eastAsia="ar-SA"/>
        </w:rPr>
        <w:t>em</w:t>
      </w:r>
      <w:r w:rsidRPr="00B4457A">
        <w:rPr>
          <w:rFonts w:ascii="Times New Roman" w:eastAsia="Calibri" w:hAnsi="Times New Roman" w:cs="Times New Roman"/>
          <w:lang w:eastAsia="ar-SA"/>
        </w:rPr>
        <w:t xml:space="preserve"> ustawy”), jest konieczność określenia maksymalnych limitów wydatków na kolejne 10 lat obowiązywania przepisów implementujących wymagania określone</w:t>
      </w:r>
      <w:r w:rsidR="00A6099D" w:rsidRPr="00B4457A">
        <w:rPr>
          <w:rFonts w:ascii="Times New Roman" w:eastAsia="Calibri" w:hAnsi="Times New Roman" w:cs="Times New Roman"/>
          <w:lang w:eastAsia="ar-SA"/>
        </w:rPr>
        <w:t>:</w:t>
      </w:r>
    </w:p>
    <w:p w14:paraId="743BAF85" w14:textId="470F7148" w:rsidR="00A6099D" w:rsidRPr="00B4457A" w:rsidRDefault="0043397F" w:rsidP="00B4457A">
      <w:pPr>
        <w:pStyle w:val="Akapitzlist"/>
        <w:keepNext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dyrektywą 2008/50/WE Parlamentu Europejskiego i Rady z dnia 21 maja 2008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w sprawie jakości powietrza i czystszego powietrza dla Europy</w:t>
      </w:r>
      <w:r w:rsidRPr="00B4457A">
        <w:rPr>
          <w:rFonts w:ascii="Times New Roman" w:eastAsia="Calibri" w:hAnsi="Times New Roman" w:cs="Times New Roman"/>
          <w:lang w:eastAsia="ar-SA"/>
        </w:rPr>
        <w:t xml:space="preserve"> (zwanej dalej </w:t>
      </w:r>
      <w:r w:rsidR="00A6099D" w:rsidRPr="00B4457A">
        <w:rPr>
          <w:rFonts w:ascii="Times New Roman" w:eastAsia="Calibri" w:hAnsi="Times New Roman" w:cs="Times New Roman"/>
          <w:lang w:eastAsia="ar-SA"/>
        </w:rPr>
        <w:t>„</w:t>
      </w:r>
      <w:r w:rsidRPr="00B4457A">
        <w:rPr>
          <w:rFonts w:ascii="Times New Roman" w:eastAsia="Calibri" w:hAnsi="Times New Roman" w:cs="Times New Roman"/>
          <w:lang w:eastAsia="ar-SA"/>
        </w:rPr>
        <w:t>dyrektywą 2008/50/WE”) w ramach ustawy z dnia 13 kwietnia 2012</w:t>
      </w:r>
      <w:r w:rsidR="00170C5D" w:rsidRPr="00B4457A">
        <w:rPr>
          <w:rFonts w:ascii="Times New Roman" w:eastAsia="Calibri" w:hAnsi="Times New Roman" w:cs="Times New Roman"/>
          <w:lang w:eastAsia="ar-SA"/>
        </w:rPr>
        <w:t> </w:t>
      </w:r>
      <w:r w:rsidRPr="00B4457A">
        <w:rPr>
          <w:rFonts w:ascii="Times New Roman" w:eastAsia="Calibri" w:hAnsi="Times New Roman" w:cs="Times New Roman"/>
          <w:lang w:eastAsia="ar-SA"/>
        </w:rPr>
        <w:t xml:space="preserve">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zmianie ustawy Prawo ochrony środowiska oraz niektórych innych ustaw</w:t>
      </w:r>
      <w:r w:rsidRPr="00B4457A">
        <w:rPr>
          <w:rFonts w:ascii="Times New Roman" w:eastAsia="Calibri" w:hAnsi="Times New Roman" w:cs="Times New Roman"/>
          <w:lang w:eastAsia="ar-SA"/>
        </w:rPr>
        <w:t xml:space="preserve"> (Dz. U. poz. 460), </w:t>
      </w:r>
    </w:p>
    <w:p w14:paraId="62A8D29A" w14:textId="19CE0DE8" w:rsidR="0043397F" w:rsidRPr="00B4457A" w:rsidRDefault="0043397F" w:rsidP="00B4457A">
      <w:pPr>
        <w:pStyle w:val="Akapitzlist"/>
        <w:keepNext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 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dyrektywą </w:t>
      </w:r>
      <w:r w:rsidRPr="00B4457A">
        <w:rPr>
          <w:rFonts w:ascii="Times New Roman" w:eastAsia="Calibri" w:hAnsi="Times New Roman" w:cs="Times New Roman"/>
          <w:lang w:eastAsia="ar-SA"/>
        </w:rPr>
        <w:t xml:space="preserve">Parlamentu Europejskiego i Rady 2004/42/WE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w</w:t>
      </w:r>
      <w:r w:rsidR="006E5E65" w:rsidRPr="00B4457A"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sprawie ograniczenia emisji lotnych związków organicznych w wyniku stosowania rozpuszczalników organicznych w</w:t>
      </w:r>
      <w:r w:rsidR="002E6BE7" w:rsidRPr="00B4457A">
        <w:rPr>
          <w:rFonts w:ascii="Times New Roman" w:eastAsia="Calibri" w:hAnsi="Times New Roman" w:cs="Times New Roman"/>
          <w:i/>
          <w:iCs/>
          <w:lang w:eastAsia="ar-SA"/>
        </w:rPr>
        <w:t> 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niektórych farbach i lakierach oraz produktach do odnawiania pojazdów, a</w:t>
      </w:r>
      <w:r w:rsidR="00170C5D" w:rsidRPr="00B4457A">
        <w:rPr>
          <w:rFonts w:ascii="Times New Roman" w:eastAsia="Calibri" w:hAnsi="Times New Roman" w:cs="Times New Roman"/>
          <w:i/>
          <w:iCs/>
          <w:lang w:eastAsia="ar-SA"/>
        </w:rPr>
        <w:t> 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także zmieniającej dyrektywę 1999/13/WE</w:t>
      </w:r>
      <w:r w:rsidRPr="00B4457A">
        <w:rPr>
          <w:rFonts w:ascii="Times New Roman" w:eastAsia="Calibri" w:hAnsi="Times New Roman" w:cs="Times New Roman"/>
          <w:lang w:eastAsia="ar-SA"/>
        </w:rPr>
        <w:t xml:space="preserve"> oraz 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dyrektywą </w:t>
      </w:r>
      <w:r w:rsidRPr="00B4457A">
        <w:rPr>
          <w:rFonts w:ascii="Times New Roman" w:eastAsia="Calibri" w:hAnsi="Times New Roman" w:cs="Times New Roman"/>
          <w:lang w:eastAsia="ar-SA"/>
        </w:rPr>
        <w:t xml:space="preserve">Parlamentu Europejskiego i Rady 2010/75/WE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w sprawie emisji przemysłowych do polskiego porządku prawnego</w:t>
      </w:r>
      <w:r w:rsidRPr="00B4457A">
        <w:rPr>
          <w:rFonts w:ascii="Times New Roman" w:eastAsia="Calibri" w:hAnsi="Times New Roman" w:cs="Times New Roman"/>
          <w:lang w:eastAsia="ar-SA"/>
        </w:rPr>
        <w:t xml:space="preserve"> w ramach ustawy z dnia 11 lipca 2014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zmianie ustawy – Prawo ochrony środowiska oraz niektórych innych ustaw</w:t>
      </w:r>
      <w:r w:rsidRPr="00B4457A">
        <w:rPr>
          <w:rFonts w:ascii="Times New Roman" w:eastAsia="Calibri" w:hAnsi="Times New Roman" w:cs="Times New Roman"/>
          <w:lang w:eastAsia="ar-SA"/>
        </w:rPr>
        <w:t xml:space="preserve"> (Dz. U. poz. 1101).</w:t>
      </w:r>
    </w:p>
    <w:p w14:paraId="01A45A55" w14:textId="4BC8A780" w:rsidR="0043397F" w:rsidRPr="00B4457A" w:rsidRDefault="0043397F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Dodatkowo koniecznym </w:t>
      </w:r>
      <w:r w:rsidR="00245422" w:rsidRPr="00B4457A">
        <w:rPr>
          <w:rFonts w:ascii="Times New Roman" w:eastAsia="Calibri" w:hAnsi="Times New Roman" w:cs="Times New Roman"/>
          <w:lang w:eastAsia="ar-SA"/>
        </w:rPr>
        <w:t xml:space="preserve">jest </w:t>
      </w:r>
      <w:r w:rsidRPr="00B4457A">
        <w:rPr>
          <w:rFonts w:ascii="Times New Roman" w:eastAsia="Calibri" w:hAnsi="Times New Roman" w:cs="Times New Roman"/>
          <w:lang w:eastAsia="ar-SA"/>
        </w:rPr>
        <w:t xml:space="preserve">zmiana definicji stref, w których dokonuje się oceny jakości powietrza w związku z ostatnimi danymi Głównego Urzędu Statystycznego (zwanego dalej „GUS”), z </w:t>
      </w:r>
      <w:r w:rsidR="00A6099D" w:rsidRPr="00B4457A">
        <w:rPr>
          <w:rFonts w:ascii="Times New Roman" w:eastAsia="Calibri" w:hAnsi="Times New Roman" w:cs="Times New Roman"/>
          <w:lang w:eastAsia="ar-SA"/>
        </w:rPr>
        <w:t xml:space="preserve">których </w:t>
      </w:r>
      <w:r w:rsidRPr="00B4457A">
        <w:rPr>
          <w:rFonts w:ascii="Times New Roman" w:eastAsia="Calibri" w:hAnsi="Times New Roman" w:cs="Times New Roman"/>
          <w:lang w:eastAsia="ar-SA"/>
        </w:rPr>
        <w:t xml:space="preserve">wynika, że miasto Legnica, które dotychczas liczyło powyżej 100 tysięcy mieszkańców, a tym samym zgodnie z art. 87 ust. 2 pkt 2 ustawy – Prawo ochrony środowiska stanowiło strefę, w której dokonuje się oceny jakości powietrza, </w:t>
      </w:r>
      <w:r w:rsidR="00B82B2F" w:rsidRPr="00B4457A">
        <w:rPr>
          <w:rFonts w:ascii="Times New Roman" w:eastAsia="Calibri" w:hAnsi="Times New Roman" w:cs="Times New Roman"/>
          <w:lang w:eastAsia="ar-SA"/>
        </w:rPr>
        <w:t>utraciło status miasta pow. 100 000 mieszkańców</w:t>
      </w:r>
      <w:r w:rsidRPr="00B4457A">
        <w:rPr>
          <w:rFonts w:ascii="Times New Roman" w:eastAsia="Calibri" w:hAnsi="Times New Roman" w:cs="Times New Roman"/>
          <w:lang w:eastAsia="ar-SA"/>
        </w:rPr>
        <w:t xml:space="preserve">. Podobna sytuacja może spotkać w </w:t>
      </w:r>
      <w:r w:rsidR="008651E2" w:rsidRPr="00B4457A">
        <w:rPr>
          <w:rFonts w:ascii="Times New Roman" w:eastAsia="Calibri" w:hAnsi="Times New Roman" w:cs="Times New Roman"/>
          <w:lang w:eastAsia="ar-SA"/>
        </w:rPr>
        <w:t>przyszłości</w:t>
      </w:r>
      <w:r w:rsidRPr="00B4457A">
        <w:rPr>
          <w:rFonts w:ascii="Times New Roman" w:eastAsia="Calibri" w:hAnsi="Times New Roman" w:cs="Times New Roman"/>
          <w:lang w:eastAsia="ar-SA"/>
        </w:rPr>
        <w:t xml:space="preserve"> jeszcze kilka miast</w:t>
      </w:r>
      <w:r w:rsidR="002E6BE7" w:rsidRPr="00B4457A">
        <w:rPr>
          <w:rFonts w:ascii="Times New Roman" w:eastAsia="Calibri" w:hAnsi="Times New Roman" w:cs="Times New Roman"/>
          <w:lang w:eastAsia="ar-SA"/>
        </w:rPr>
        <w:t xml:space="preserve"> w Polsce</w:t>
      </w:r>
      <w:r w:rsidRPr="00B4457A">
        <w:rPr>
          <w:rFonts w:ascii="Times New Roman" w:eastAsia="Calibri" w:hAnsi="Times New Roman" w:cs="Times New Roman"/>
          <w:lang w:eastAsia="ar-SA"/>
        </w:rPr>
        <w:t xml:space="preserve">, które charakteryzują się </w:t>
      </w:r>
      <w:r w:rsidR="002E6BE7" w:rsidRPr="00B4457A">
        <w:rPr>
          <w:rFonts w:ascii="Times New Roman" w:eastAsia="Calibri" w:hAnsi="Times New Roman" w:cs="Times New Roman"/>
          <w:lang w:eastAsia="ar-SA"/>
        </w:rPr>
        <w:t xml:space="preserve">wysokim stopniem </w:t>
      </w:r>
      <w:r w:rsidRPr="00B4457A">
        <w:rPr>
          <w:rFonts w:ascii="Times New Roman" w:eastAsia="Calibri" w:hAnsi="Times New Roman" w:cs="Times New Roman"/>
          <w:lang w:eastAsia="ar-SA"/>
        </w:rPr>
        <w:t>starzeni</w:t>
      </w:r>
      <w:r w:rsidR="002E6BE7" w:rsidRPr="00B4457A">
        <w:rPr>
          <w:rFonts w:ascii="Times New Roman" w:eastAsia="Calibri" w:hAnsi="Times New Roman" w:cs="Times New Roman"/>
          <w:lang w:eastAsia="ar-SA"/>
        </w:rPr>
        <w:t>a</w:t>
      </w:r>
      <w:r w:rsidRPr="00B4457A">
        <w:rPr>
          <w:rFonts w:ascii="Times New Roman" w:eastAsia="Calibri" w:hAnsi="Times New Roman" w:cs="Times New Roman"/>
          <w:lang w:eastAsia="ar-SA"/>
        </w:rPr>
        <w:t xml:space="preserve"> społeczeństwa oraz </w:t>
      </w:r>
      <w:r w:rsidR="002E6BE7" w:rsidRPr="00B4457A">
        <w:rPr>
          <w:rFonts w:ascii="Times New Roman" w:eastAsia="Calibri" w:hAnsi="Times New Roman" w:cs="Times New Roman"/>
          <w:lang w:eastAsia="ar-SA"/>
        </w:rPr>
        <w:t xml:space="preserve">stosunkowo </w:t>
      </w:r>
      <w:r w:rsidRPr="00B4457A">
        <w:rPr>
          <w:rFonts w:ascii="Times New Roman" w:eastAsia="Calibri" w:hAnsi="Times New Roman" w:cs="Times New Roman"/>
          <w:lang w:eastAsia="ar-SA"/>
        </w:rPr>
        <w:t>wysoką umieralnością.</w:t>
      </w:r>
      <w:r w:rsidR="00B82B2F" w:rsidRPr="00B4457A">
        <w:rPr>
          <w:rFonts w:ascii="Times New Roman" w:eastAsia="Calibri" w:hAnsi="Times New Roman" w:cs="Times New Roman"/>
          <w:lang w:eastAsia="ar-SA"/>
        </w:rPr>
        <w:t xml:space="preserve"> Proponowana zmiana definicji strefy wraz z planowaną po niej zmianą rozporządzenia Ministra Środowiska w sprawie stref, w których dokonuje się oceny jakości powietrza spowoduje uniezależnienie podziału Polski na strefy od danych demograficznych GUS w przypadku miast posiadających około i powyżej 100 000 mieszkańców.</w:t>
      </w:r>
    </w:p>
    <w:p w14:paraId="192A1013" w14:textId="77777777" w:rsidR="0043397F" w:rsidRPr="00B4457A" w:rsidRDefault="0043397F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W projektowanej ustawie usunięto także przepisy odwołujące się do przepisów uchylonych w</w:t>
      </w:r>
      <w:r w:rsidR="00170C5D" w:rsidRPr="00B4457A">
        <w:rPr>
          <w:rFonts w:ascii="Times New Roman" w:eastAsia="Calibri" w:hAnsi="Times New Roman" w:cs="Times New Roman"/>
          <w:lang w:eastAsia="ar-SA"/>
        </w:rPr>
        <w:t> </w:t>
      </w:r>
      <w:r w:rsidRPr="00B4457A">
        <w:rPr>
          <w:rFonts w:ascii="Times New Roman" w:eastAsia="Calibri" w:hAnsi="Times New Roman" w:cs="Times New Roman"/>
          <w:lang w:eastAsia="ar-SA"/>
        </w:rPr>
        <w:t xml:space="preserve">ustawie z dnia 13 czerwca 2019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zmianie ustawy – Prawo ochrony środowiska oraz ustawy o zarządzaniu kryzysowym</w:t>
      </w:r>
      <w:r w:rsidRPr="00B4457A">
        <w:rPr>
          <w:rFonts w:ascii="Times New Roman" w:eastAsia="Calibri" w:hAnsi="Times New Roman" w:cs="Times New Roman"/>
          <w:lang w:eastAsia="ar-SA"/>
        </w:rPr>
        <w:t xml:space="preserve"> (Dz. U. poz. 1211). </w:t>
      </w:r>
    </w:p>
    <w:p w14:paraId="7DB76E49" w14:textId="77777777" w:rsidR="0043397F" w:rsidRPr="00B4457A" w:rsidRDefault="0043397F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Projekt ustaw</w:t>
      </w:r>
      <w:r w:rsidR="002E6BE7" w:rsidRPr="00B4457A">
        <w:rPr>
          <w:rFonts w:ascii="Times New Roman" w:eastAsia="Calibri" w:hAnsi="Times New Roman" w:cs="Times New Roman"/>
          <w:lang w:eastAsia="ar-SA"/>
        </w:rPr>
        <w:t>y</w:t>
      </w:r>
      <w:r w:rsidRPr="00B4457A">
        <w:rPr>
          <w:rFonts w:ascii="Times New Roman" w:eastAsia="Calibri" w:hAnsi="Times New Roman" w:cs="Times New Roman"/>
          <w:lang w:eastAsia="ar-SA"/>
        </w:rPr>
        <w:t xml:space="preserve"> zmienia </w:t>
      </w:r>
      <w:r w:rsidR="00245422" w:rsidRPr="00B4457A">
        <w:rPr>
          <w:rFonts w:ascii="Times New Roman" w:eastAsia="Calibri" w:hAnsi="Times New Roman" w:cs="Times New Roman"/>
          <w:lang w:eastAsia="ar-SA"/>
        </w:rPr>
        <w:t xml:space="preserve">również </w:t>
      </w:r>
      <w:r w:rsidRPr="00B4457A">
        <w:rPr>
          <w:rFonts w:ascii="Times New Roman" w:eastAsia="Calibri" w:hAnsi="Times New Roman" w:cs="Times New Roman"/>
          <w:lang w:eastAsia="ar-SA"/>
        </w:rPr>
        <w:t>termin przekazania przez zarządy województw do ministra właściwego do spraw klimatu informacji o przyjęciu w drodze uchwały sejmiku województw programów ochrony powietrza oraz planów działań krótkoterminowych.</w:t>
      </w:r>
    </w:p>
    <w:p w14:paraId="3A5D749A" w14:textId="7810613E" w:rsidR="00C50C37" w:rsidRPr="00B4457A" w:rsidRDefault="00C50C37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Ponadto proponuje się dodanie w art. 211 ustawy –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Prawo ochrony środowiska</w:t>
      </w:r>
      <w:r w:rsidRPr="00B4457A">
        <w:rPr>
          <w:rFonts w:ascii="Times New Roman" w:eastAsia="Calibri" w:hAnsi="Times New Roman" w:cs="Times New Roman"/>
          <w:lang w:eastAsia="ar-SA"/>
        </w:rPr>
        <w:t xml:space="preserve">, fakultatywnego upoważnienia dla ministra właściwego do spraw klimatu i środowiska, do wydania rozporządzenia regulującego szczegółowe wymagania dotyczące oceny dotrzymywania granicznych wielkości emisyjnych (BAT </w:t>
      </w:r>
      <w:proofErr w:type="spellStart"/>
      <w:r w:rsidRPr="00B4457A">
        <w:rPr>
          <w:rFonts w:ascii="Times New Roman" w:eastAsia="Calibri" w:hAnsi="Times New Roman" w:cs="Times New Roman"/>
          <w:lang w:eastAsia="ar-SA"/>
        </w:rPr>
        <w:t>AELs</w:t>
      </w:r>
      <w:proofErr w:type="spellEnd"/>
      <w:r w:rsidRPr="00B4457A">
        <w:rPr>
          <w:rFonts w:ascii="Times New Roman" w:eastAsia="Calibri" w:hAnsi="Times New Roman" w:cs="Times New Roman"/>
          <w:lang w:eastAsia="ar-SA"/>
        </w:rPr>
        <w:t>) oraz niektórych zasad monitorowania wielkości emisji.</w:t>
      </w:r>
    </w:p>
    <w:p w14:paraId="010ED382" w14:textId="070FBB27" w:rsidR="0043397F" w:rsidRPr="00B4457A" w:rsidRDefault="009512F6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Jednocześnie w ramach projektu ustawy </w:t>
      </w:r>
      <w:r w:rsidR="008651E2" w:rsidRPr="00B4457A">
        <w:rPr>
          <w:rFonts w:ascii="Times New Roman" w:eastAsia="Calibri" w:hAnsi="Times New Roman" w:cs="Times New Roman"/>
          <w:lang w:eastAsia="ar-SA"/>
        </w:rPr>
        <w:t xml:space="preserve">proponuje się </w:t>
      </w:r>
      <w:r w:rsidRPr="00B4457A">
        <w:rPr>
          <w:rFonts w:ascii="Times New Roman" w:eastAsia="Calibri" w:hAnsi="Times New Roman" w:cs="Times New Roman"/>
          <w:lang w:eastAsia="ar-SA"/>
        </w:rPr>
        <w:t>uszczelni</w:t>
      </w:r>
      <w:r w:rsidR="008651E2" w:rsidRPr="00B4457A">
        <w:rPr>
          <w:rFonts w:ascii="Times New Roman" w:eastAsia="Calibri" w:hAnsi="Times New Roman" w:cs="Times New Roman"/>
          <w:lang w:eastAsia="ar-SA"/>
        </w:rPr>
        <w:t xml:space="preserve">enie </w:t>
      </w:r>
      <w:r w:rsidRPr="00B4457A">
        <w:rPr>
          <w:rFonts w:ascii="Times New Roman" w:eastAsia="Calibri" w:hAnsi="Times New Roman" w:cs="Times New Roman"/>
          <w:lang w:eastAsia="ar-SA"/>
        </w:rPr>
        <w:t>system</w:t>
      </w:r>
      <w:r w:rsidR="008651E2" w:rsidRPr="00B4457A">
        <w:rPr>
          <w:rFonts w:ascii="Times New Roman" w:eastAsia="Calibri" w:hAnsi="Times New Roman" w:cs="Times New Roman"/>
          <w:lang w:eastAsia="ar-SA"/>
        </w:rPr>
        <w:t>u</w:t>
      </w:r>
      <w:r w:rsidRPr="00B4457A">
        <w:rPr>
          <w:rFonts w:ascii="Times New Roman" w:eastAsia="Calibri" w:hAnsi="Times New Roman" w:cs="Times New Roman"/>
          <w:lang w:eastAsia="ar-SA"/>
        </w:rPr>
        <w:t xml:space="preserve"> zarządzania jakością powietrza poprzez określenie odpowiedzialności za brak realizacji działań naprawczych określonych w programach ochrony powietrza oraz planach działań krótkoterminowych</w:t>
      </w:r>
      <w:r w:rsidR="003D2401" w:rsidRPr="00B4457A">
        <w:rPr>
          <w:rFonts w:ascii="Times New Roman" w:eastAsia="Calibri" w:hAnsi="Times New Roman" w:cs="Times New Roman"/>
          <w:lang w:eastAsia="ar-SA"/>
        </w:rPr>
        <w:t>.</w:t>
      </w:r>
    </w:p>
    <w:p w14:paraId="4F7EDEFC" w14:textId="5C12C075" w:rsidR="00776379" w:rsidRDefault="00776379" w:rsidP="00B445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 xml:space="preserve">Projekt ustawy wprowadza także zmiany do ustawy z dnia 21 listopada 2008 r. </w:t>
      </w:r>
      <w:r w:rsidRPr="00B4457A">
        <w:rPr>
          <w:rFonts w:ascii="Times New Roman" w:eastAsia="Calibri" w:hAnsi="Times New Roman" w:cs="Times New Roman"/>
          <w:i/>
          <w:iCs/>
          <w:lang w:eastAsia="ar-SA"/>
        </w:rPr>
        <w:t>o wspieraniu termomodernizacji i remontów</w:t>
      </w:r>
      <w:r w:rsidR="00C76EA8" w:rsidRPr="00B4457A">
        <w:rPr>
          <w:rFonts w:ascii="Times New Roman" w:eastAsia="SimSun" w:hAnsi="Times New Roman" w:cs="Times New Roman"/>
          <w:lang w:eastAsia="pl-PL"/>
        </w:rPr>
        <w:t xml:space="preserve"> </w:t>
      </w:r>
      <w:r w:rsidR="00C76EA8" w:rsidRPr="00B4457A">
        <w:rPr>
          <w:rFonts w:ascii="Times New Roman" w:eastAsia="SimSun" w:hAnsi="Times New Roman" w:cs="Times New Roman"/>
          <w:i/>
          <w:iCs/>
          <w:lang w:eastAsia="pl-PL"/>
        </w:rPr>
        <w:t>oraz o centralnej ewidencji emisyjności budynków</w:t>
      </w:r>
      <w:r w:rsidRPr="00B4457A">
        <w:rPr>
          <w:rFonts w:ascii="Times New Roman" w:eastAsia="Calibri" w:hAnsi="Times New Roman" w:cs="Times New Roman"/>
          <w:lang w:eastAsia="ar-SA"/>
        </w:rPr>
        <w:t xml:space="preserve">, w związku z nowelizacją tej ustawy z dnia 28 października 2020 r. (Dz. U. poz. 2127). </w:t>
      </w:r>
    </w:p>
    <w:p w14:paraId="566E2557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0D4CA2A" w14:textId="5A9B5677" w:rsidR="009512F6" w:rsidRDefault="0079765D" w:rsidP="00B4457A">
      <w:pPr>
        <w:pStyle w:val="Akapitzlist"/>
        <w:keepNext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Calibri" w:hAnsi="Times New Roman" w:cs="Times New Roman"/>
          <w:b/>
          <w:bCs/>
          <w:lang w:eastAsia="ar-SA"/>
        </w:rPr>
      </w:pPr>
      <w:r w:rsidRPr="00B4457A">
        <w:rPr>
          <w:rFonts w:ascii="Times New Roman" w:eastAsia="Calibri" w:hAnsi="Times New Roman" w:cs="Times New Roman"/>
          <w:b/>
          <w:bCs/>
          <w:lang w:eastAsia="ar-SA"/>
        </w:rPr>
        <w:lastRenderedPageBreak/>
        <w:t>Uzasadnienie</w:t>
      </w:r>
      <w:r w:rsidR="009512F6" w:rsidRPr="00B4457A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B4457A">
        <w:rPr>
          <w:rFonts w:ascii="Times New Roman" w:eastAsia="Calibri" w:hAnsi="Times New Roman" w:cs="Times New Roman"/>
          <w:b/>
          <w:bCs/>
          <w:lang w:eastAsia="ar-SA"/>
        </w:rPr>
        <w:t>szczegółowe</w:t>
      </w:r>
    </w:p>
    <w:p w14:paraId="14510799" w14:textId="77777777" w:rsidR="00B4457A" w:rsidRPr="00B4457A" w:rsidRDefault="00B4457A" w:rsidP="00B4457A">
      <w:pPr>
        <w:keepNext/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14:paraId="6E5C7FFA" w14:textId="5F6BC634" w:rsidR="0043397F" w:rsidRDefault="009512F6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</w:t>
      </w:r>
      <w:r w:rsidR="0079765D" w:rsidRPr="00B4457A">
        <w:rPr>
          <w:rFonts w:ascii="Times New Roman" w:hAnsi="Times New Roman" w:cs="Times New Roman"/>
          <w:b/>
          <w:bCs/>
        </w:rPr>
        <w:t xml:space="preserve">rt. 1 </w:t>
      </w:r>
    </w:p>
    <w:p w14:paraId="449FB4E6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DA6938A" w14:textId="773973A8" w:rsidR="0079765D" w:rsidRPr="00B4457A" w:rsidRDefault="0079765D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 xml:space="preserve">Pkt 1 </w:t>
      </w:r>
      <w:r w:rsidR="008651E2" w:rsidRPr="00B4457A">
        <w:rPr>
          <w:rFonts w:ascii="Times New Roman" w:hAnsi="Times New Roman" w:cs="Times New Roman"/>
          <w:b/>
          <w:bCs/>
        </w:rPr>
        <w:t xml:space="preserve">– nadanie nowego brzmienia </w:t>
      </w:r>
      <w:r w:rsidRPr="00B4457A">
        <w:rPr>
          <w:rFonts w:ascii="Times New Roman" w:hAnsi="Times New Roman" w:cs="Times New Roman"/>
          <w:b/>
          <w:bCs/>
        </w:rPr>
        <w:t xml:space="preserve">art. 87 ust. 2 </w:t>
      </w:r>
      <w:r w:rsidR="008651E2" w:rsidRPr="00B4457A">
        <w:rPr>
          <w:rFonts w:ascii="Times New Roman" w:hAnsi="Times New Roman" w:cs="Times New Roman"/>
          <w:b/>
          <w:bCs/>
        </w:rPr>
        <w:t>ustawy – Prawo ochrony środowiska</w:t>
      </w:r>
    </w:p>
    <w:p w14:paraId="0A469EBC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770527" w14:textId="6DE52197" w:rsidR="00433487" w:rsidRPr="00B4457A" w:rsidRDefault="00EA45DE" w:rsidP="00B4457A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 xml:space="preserve">Zgodnie z projektowaną zmianą brzmienia art. 87 ust. 2 ustawy – </w:t>
      </w:r>
      <w:r w:rsidRPr="00B4457A">
        <w:rPr>
          <w:rFonts w:ascii="Times New Roman" w:hAnsi="Times New Roman" w:cs="Times New Roman"/>
          <w:i/>
          <w:iCs/>
        </w:rPr>
        <w:t>Prawo ochrony środowiska</w:t>
      </w:r>
      <w:r w:rsidRPr="00B4457A">
        <w:rPr>
          <w:rFonts w:ascii="Times New Roman" w:hAnsi="Times New Roman" w:cs="Times New Roman"/>
        </w:rPr>
        <w:t xml:space="preserve"> odnoszącego się do określenia kategorii stref, w których dokonuje się oceny jakości powietrza, wprowadzono dwie</w:t>
      </w:r>
      <w:r w:rsidR="008651E2" w:rsidRPr="00B4457A">
        <w:rPr>
          <w:rFonts w:ascii="Times New Roman" w:hAnsi="Times New Roman" w:cs="Times New Roman"/>
        </w:rPr>
        <w:t xml:space="preserve"> kategorie stref</w:t>
      </w:r>
      <w:r w:rsidRPr="00B4457A">
        <w:rPr>
          <w:rFonts w:ascii="Times New Roman" w:hAnsi="Times New Roman" w:cs="Times New Roman"/>
        </w:rPr>
        <w:t xml:space="preserve">, a nie jak dotychczas </w:t>
      </w:r>
      <w:r w:rsidR="002E6BE7" w:rsidRPr="00B4457A">
        <w:rPr>
          <w:rFonts w:ascii="Times New Roman" w:hAnsi="Times New Roman" w:cs="Times New Roman"/>
        </w:rPr>
        <w:t xml:space="preserve">trzy </w:t>
      </w:r>
      <w:r w:rsidRPr="00B4457A">
        <w:rPr>
          <w:rFonts w:ascii="Times New Roman" w:hAnsi="Times New Roman" w:cs="Times New Roman"/>
        </w:rPr>
        <w:t xml:space="preserve">kategorie. Zaproponowano, </w:t>
      </w:r>
      <w:r w:rsidR="008651E2" w:rsidRPr="00B4457A">
        <w:rPr>
          <w:rFonts w:ascii="Times New Roman" w:hAnsi="Times New Roman" w:cs="Times New Roman"/>
        </w:rPr>
        <w:t xml:space="preserve">że </w:t>
      </w:r>
      <w:r w:rsidRPr="00B4457A">
        <w:rPr>
          <w:rFonts w:ascii="Times New Roman" w:hAnsi="Times New Roman" w:cs="Times New Roman"/>
        </w:rPr>
        <w:t>stref</w:t>
      </w:r>
      <w:r w:rsidR="00B82B2F" w:rsidRPr="00B4457A">
        <w:rPr>
          <w:rFonts w:ascii="Times New Roman" w:hAnsi="Times New Roman" w:cs="Times New Roman"/>
        </w:rPr>
        <w:t>y</w:t>
      </w:r>
      <w:r w:rsidRPr="00B4457A">
        <w:rPr>
          <w:rFonts w:ascii="Times New Roman" w:hAnsi="Times New Roman" w:cs="Times New Roman"/>
        </w:rPr>
        <w:t xml:space="preserve"> </w:t>
      </w:r>
      <w:r w:rsidR="008651E2" w:rsidRPr="00B4457A">
        <w:rPr>
          <w:rFonts w:ascii="Times New Roman" w:hAnsi="Times New Roman" w:cs="Times New Roman"/>
        </w:rPr>
        <w:t>będ</w:t>
      </w:r>
      <w:r w:rsidR="00B82B2F" w:rsidRPr="00B4457A">
        <w:rPr>
          <w:rFonts w:ascii="Times New Roman" w:hAnsi="Times New Roman" w:cs="Times New Roman"/>
        </w:rPr>
        <w:t>ą</w:t>
      </w:r>
      <w:r w:rsidR="008651E2" w:rsidRPr="00B4457A">
        <w:rPr>
          <w:rFonts w:ascii="Times New Roman" w:hAnsi="Times New Roman" w:cs="Times New Roman"/>
        </w:rPr>
        <w:t xml:space="preserve"> </w:t>
      </w:r>
      <w:r w:rsidRPr="00B4457A">
        <w:rPr>
          <w:rFonts w:ascii="Times New Roman" w:hAnsi="Times New Roman" w:cs="Times New Roman"/>
        </w:rPr>
        <w:t>stanowić aglomeracj</w:t>
      </w:r>
      <w:r w:rsidR="00B82B2F" w:rsidRPr="00B4457A">
        <w:rPr>
          <w:rFonts w:ascii="Times New Roman" w:hAnsi="Times New Roman" w:cs="Times New Roman"/>
        </w:rPr>
        <w:t>e</w:t>
      </w:r>
      <w:r w:rsidRPr="00B4457A">
        <w:rPr>
          <w:rFonts w:ascii="Times New Roman" w:hAnsi="Times New Roman" w:cs="Times New Roman"/>
        </w:rPr>
        <w:t xml:space="preserve"> o liczbie mieszkańców powyżej 250 tysięcy mieszkańców (tak jak ma to miejsce dotychczas zgodnie z art. 87 ust. 2 pkt 1) oraz </w:t>
      </w:r>
      <w:r w:rsidR="00B82B2F" w:rsidRPr="00B4457A">
        <w:rPr>
          <w:rFonts w:ascii="Times New Roman" w:hAnsi="Times New Roman" w:cs="Times New Roman"/>
        </w:rPr>
        <w:t>obszary niewchodzące w skł</w:t>
      </w:r>
      <w:r w:rsidR="00E2257F" w:rsidRPr="00B4457A">
        <w:rPr>
          <w:rFonts w:ascii="Times New Roman" w:hAnsi="Times New Roman" w:cs="Times New Roman"/>
        </w:rPr>
        <w:t>a</w:t>
      </w:r>
      <w:r w:rsidR="00B82B2F" w:rsidRPr="00B4457A">
        <w:rPr>
          <w:rFonts w:ascii="Times New Roman" w:hAnsi="Times New Roman" w:cs="Times New Roman"/>
        </w:rPr>
        <w:t>d aglomeracji</w:t>
      </w:r>
      <w:r w:rsidRPr="00B4457A">
        <w:rPr>
          <w:rFonts w:ascii="Times New Roman" w:hAnsi="Times New Roman" w:cs="Times New Roman"/>
        </w:rPr>
        <w:t xml:space="preserve">. Pozwoli to </w:t>
      </w:r>
      <w:r w:rsidR="003362DB" w:rsidRPr="00B4457A">
        <w:rPr>
          <w:rFonts w:ascii="Times New Roman" w:hAnsi="Times New Roman" w:cs="Times New Roman"/>
        </w:rPr>
        <w:t xml:space="preserve">uniknąć </w:t>
      </w:r>
      <w:r w:rsidRPr="00B4457A">
        <w:rPr>
          <w:rFonts w:ascii="Times New Roman" w:hAnsi="Times New Roman" w:cs="Times New Roman"/>
        </w:rPr>
        <w:t xml:space="preserve">w przyszłości konieczność pilnej zmiany aktu prawnego, wydawanego na podstawie art. 87 ust. 3 tej ustawy, w ramach którego określane są strefy, w których dokonuje się oceny jakości powietrza, w związku ze zmianą liczby mieszkańców w danej </w:t>
      </w:r>
      <w:r w:rsidR="008651E2" w:rsidRPr="00B4457A">
        <w:rPr>
          <w:rFonts w:ascii="Times New Roman" w:hAnsi="Times New Roman" w:cs="Times New Roman"/>
        </w:rPr>
        <w:t>strefie</w:t>
      </w:r>
      <w:r w:rsidRPr="00B4457A">
        <w:rPr>
          <w:rFonts w:ascii="Times New Roman" w:hAnsi="Times New Roman" w:cs="Times New Roman"/>
        </w:rPr>
        <w:t>, którą należy zakwalifikować do innej grupy stref</w:t>
      </w:r>
      <w:r w:rsidR="003362DB" w:rsidRPr="00B4457A">
        <w:rPr>
          <w:rFonts w:ascii="Times New Roman" w:hAnsi="Times New Roman" w:cs="Times New Roman"/>
        </w:rPr>
        <w:t xml:space="preserve">. </w:t>
      </w:r>
      <w:r w:rsidR="00F72099" w:rsidRPr="00B4457A">
        <w:rPr>
          <w:rFonts w:ascii="Times New Roman" w:hAnsi="Times New Roman" w:cs="Times New Roman"/>
        </w:rPr>
        <w:t>Tym samym w</w:t>
      </w:r>
      <w:r w:rsidR="003362DB" w:rsidRPr="00B4457A">
        <w:rPr>
          <w:rFonts w:ascii="Times New Roman" w:hAnsi="Times New Roman" w:cs="Times New Roman"/>
        </w:rPr>
        <w:t xml:space="preserve">yeliminuje to ryzyko powstania </w:t>
      </w:r>
      <w:r w:rsidRPr="00B4457A">
        <w:rPr>
          <w:rFonts w:ascii="Times New Roman" w:hAnsi="Times New Roman" w:cs="Times New Roman"/>
        </w:rPr>
        <w:t xml:space="preserve"> sytuacji, z</w:t>
      </w:r>
      <w:r w:rsidR="00170C5D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 xml:space="preserve">jaką mamy aktualnie do czynienia, tj. miasto Legnica przestało być miastem powyżej 100 tysięcy mieszkańców, </w:t>
      </w:r>
      <w:r w:rsidR="007A6A7F" w:rsidRPr="00B4457A">
        <w:rPr>
          <w:rFonts w:ascii="Times New Roman" w:hAnsi="Times New Roman" w:cs="Times New Roman"/>
        </w:rPr>
        <w:t>co jednocześnie powoduje zmianę układu stref w woj. dolnośląskim.</w:t>
      </w:r>
    </w:p>
    <w:p w14:paraId="22A272AB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0D71ED" w14:textId="524455F5" w:rsidR="00D3723C" w:rsidRPr="00B4457A" w:rsidRDefault="00D3723C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>Pkt 2</w:t>
      </w:r>
      <w:r w:rsidR="008651E2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="008651E2" w:rsidRPr="00B4457A">
        <w:rPr>
          <w:rFonts w:ascii="Times New Roman" w:hAnsi="Times New Roman" w:cs="Times New Roman"/>
          <w:b/>
          <w:bCs/>
        </w:rPr>
        <w:t>nadanie nowego brzmienia</w:t>
      </w: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art. 92b ust. 1</w:t>
      </w:r>
      <w:r w:rsidR="00170C5D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i </w:t>
      </w: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8651E2" w:rsidRPr="00B4457A">
        <w:rPr>
          <w:rFonts w:ascii="Times New Roman" w:hAnsi="Times New Roman" w:cs="Times New Roman"/>
          <w:b/>
          <w:bCs/>
        </w:rPr>
        <w:t xml:space="preserve"> ustawy – Prawo ochrony środowiska</w:t>
      </w:r>
    </w:p>
    <w:p w14:paraId="5A9AF443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852E3" w14:textId="4D15DBB8" w:rsidR="00D3723C" w:rsidRPr="00B4457A" w:rsidRDefault="00433487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W art. 92b ust. 1 </w:t>
      </w:r>
      <w:r w:rsidR="002E6BE7" w:rsidRPr="00B4457A">
        <w:rPr>
          <w:rFonts w:ascii="Times New Roman" w:eastAsia="Times New Roman" w:hAnsi="Times New Roman" w:cs="Times New Roman"/>
          <w:lang w:eastAsia="pl-PL"/>
        </w:rPr>
        <w:t>i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2 wprowadzono zmianę brzmienia przepisów </w:t>
      </w:r>
      <w:r w:rsidR="008651E2" w:rsidRPr="00B4457A">
        <w:rPr>
          <w:rFonts w:ascii="Times New Roman" w:eastAsia="Times New Roman" w:hAnsi="Times New Roman" w:cs="Times New Roman"/>
          <w:lang w:eastAsia="pl-PL"/>
        </w:rPr>
        <w:t xml:space="preserve">polegającą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na usunięciu odwołania do przepisów art. 91b ustawy – </w:t>
      </w:r>
      <w:r w:rsidRPr="00B4457A">
        <w:rPr>
          <w:rFonts w:ascii="Times New Roman" w:eastAsia="Times New Roman" w:hAnsi="Times New Roman" w:cs="Times New Roman"/>
          <w:i/>
          <w:iCs/>
          <w:lang w:eastAsia="pl-PL"/>
        </w:rPr>
        <w:t>Prawo ochrony środowiska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, dotyczących powiadomień o zastosowaniu tzw. derogacji wynikających z dyrektywy 2008/50/WE, których termin obowiązywania zakończył się w dniu 11 czerwca 2011 r., i zostały uchylone w ramach ustawy z dnia 13 czerwca 2019 r. </w:t>
      </w:r>
      <w:r w:rsidRPr="00B4457A">
        <w:rPr>
          <w:rFonts w:ascii="Times New Roman" w:eastAsia="Times New Roman" w:hAnsi="Times New Roman" w:cs="Times New Roman"/>
          <w:i/>
          <w:iCs/>
          <w:lang w:eastAsia="pl-PL"/>
        </w:rPr>
        <w:t>o zmianie ustawy – Prawo ochrony środowiska oraz ustawy o zarządzaniu kryzysowym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4646ED8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F0945F" w14:textId="3DEBA6A2" w:rsidR="0079765D" w:rsidRPr="00B4457A" w:rsidRDefault="0079765D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Pkt 3 </w:t>
      </w:r>
      <w:r w:rsidR="008651E2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8651E2" w:rsidRPr="00B4457A">
        <w:rPr>
          <w:rFonts w:ascii="Times New Roman" w:hAnsi="Times New Roman" w:cs="Times New Roman"/>
          <w:b/>
          <w:bCs/>
        </w:rPr>
        <w:t>nadanie nowego brzmienia</w:t>
      </w:r>
      <w:r w:rsidR="008651E2" w:rsidRPr="00B4457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457A">
        <w:rPr>
          <w:rFonts w:ascii="Times New Roman" w:eastAsia="Times New Roman" w:hAnsi="Times New Roman" w:cs="Times New Roman"/>
          <w:b/>
          <w:bCs/>
          <w:lang w:eastAsia="pl-PL"/>
        </w:rPr>
        <w:t>art. 94 ust. 2</w:t>
      </w:r>
      <w:r w:rsidR="008651E2" w:rsidRPr="00B4457A">
        <w:rPr>
          <w:rFonts w:ascii="Times New Roman" w:hAnsi="Times New Roman" w:cs="Times New Roman"/>
          <w:b/>
          <w:bCs/>
        </w:rPr>
        <w:t xml:space="preserve"> ustawy – Prawo ochrony środowiska</w:t>
      </w:r>
    </w:p>
    <w:p w14:paraId="6603F6A0" w14:textId="77777777" w:rsidR="00B4457A" w:rsidRDefault="00B4457A" w:rsidP="00B445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8EC6A" w14:textId="6BFD0DB6" w:rsidR="00CE692A" w:rsidRPr="00B4457A" w:rsidRDefault="0079765D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W art. 94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 xml:space="preserve">ustawy – </w:t>
      </w:r>
      <w:r w:rsidR="00CE692A" w:rsidRPr="00B4457A">
        <w:rPr>
          <w:rFonts w:ascii="Times New Roman" w:eastAsia="Times New Roman" w:hAnsi="Times New Roman" w:cs="Times New Roman"/>
          <w:i/>
          <w:iCs/>
          <w:lang w:eastAsia="pl-PL"/>
        </w:rPr>
        <w:t>Prawo ochrony środowiska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zmienia się brzmienie ust. 2</w:t>
      </w:r>
      <w:r w:rsidR="008651E2" w:rsidRPr="00B4457A">
        <w:rPr>
          <w:rFonts w:ascii="Times New Roman" w:eastAsia="Times New Roman" w:hAnsi="Times New Roman" w:cs="Times New Roman"/>
          <w:lang w:eastAsia="pl-PL"/>
        </w:rPr>
        <w:t xml:space="preserve">. Po zmianie </w:t>
      </w:r>
      <w:r w:rsidRPr="00B4457A">
        <w:rPr>
          <w:rFonts w:ascii="Times New Roman" w:eastAsia="Times New Roman" w:hAnsi="Times New Roman" w:cs="Times New Roman"/>
          <w:lang w:eastAsia="pl-PL"/>
        </w:rPr>
        <w:t>zarząd województwa zobowiązany będzie przekazać do ministra właściwego do spraw klimatu informacj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>ę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o podjętej uchwale sejmiku województwa w sprawie programu ochrony powietrza oraz planu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 xml:space="preserve">działań krótkoterminowych, o których mowa w art. 91 i 92, w terminie 7 dni </w:t>
      </w:r>
      <w:r w:rsidR="00245422" w:rsidRPr="00B4457A">
        <w:rPr>
          <w:rFonts w:ascii="Times New Roman" w:eastAsia="Times New Roman" w:hAnsi="Times New Roman" w:cs="Times New Roman"/>
          <w:lang w:eastAsia="pl-PL"/>
        </w:rPr>
        <w:t xml:space="preserve">kalendarzowych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>od dnia ogłoszenia w</w:t>
      </w:r>
      <w:r w:rsidR="005B1C50"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92A" w:rsidRPr="00B4457A">
        <w:rPr>
          <w:rFonts w:ascii="Times New Roman" w:eastAsia="Times New Roman" w:hAnsi="Times New Roman" w:cs="Times New Roman"/>
          <w:lang w:eastAsia="pl-PL"/>
        </w:rPr>
        <w:t xml:space="preserve">dzienniku urzędowym województwa, a nie jak dotychczas w terminie 14 dni od dnia przyjęcia takiej uchwały. </w:t>
      </w:r>
    </w:p>
    <w:p w14:paraId="68124133" w14:textId="7FCB631A" w:rsidR="00CE692A" w:rsidRPr="00B4457A" w:rsidRDefault="00CE692A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Zmiana terminu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i okoliczności, od której liczony jest ten termin,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wynika z faktu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zgłaszania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przez zarządy województw </w:t>
      </w:r>
      <w:r w:rsidR="00170C5D" w:rsidRPr="00B4457A">
        <w:rPr>
          <w:rFonts w:ascii="Times New Roman" w:eastAsia="Times New Roman" w:hAnsi="Times New Roman" w:cs="Times New Roman"/>
          <w:lang w:eastAsia="pl-PL"/>
        </w:rPr>
        <w:t>problem</w:t>
      </w:r>
      <w:r w:rsidR="00245422" w:rsidRPr="00B4457A">
        <w:rPr>
          <w:rFonts w:ascii="Times New Roman" w:eastAsia="Times New Roman" w:hAnsi="Times New Roman" w:cs="Times New Roman"/>
          <w:lang w:eastAsia="pl-PL"/>
        </w:rPr>
        <w:t>ów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B4457A">
        <w:rPr>
          <w:rFonts w:ascii="Times New Roman" w:eastAsia="Times New Roman" w:hAnsi="Times New Roman" w:cs="Times New Roman"/>
          <w:lang w:eastAsia="pl-PL"/>
        </w:rPr>
        <w:t>dotrzymanie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>m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ustawowego terminu przekazania w ciągu 14 dni informacji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o </w:t>
      </w:r>
      <w:r w:rsidR="00EA3E3D" w:rsidRPr="00B4457A">
        <w:rPr>
          <w:rFonts w:ascii="Times New Roman" w:hAnsi="Times New Roman" w:cs="Times New Roman"/>
        </w:rPr>
        <w:t>uchwaleniu przez sejmik województwa programu ochrony powietrza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do ministra właściwego do spraw klimatu, w związku </w:t>
      </w:r>
      <w:r w:rsidR="00D3723C" w:rsidRPr="00B4457A">
        <w:rPr>
          <w:rFonts w:ascii="Times New Roman" w:eastAsia="Times New Roman" w:hAnsi="Times New Roman" w:cs="Times New Roman"/>
          <w:lang w:eastAsia="pl-PL"/>
        </w:rPr>
        <w:t xml:space="preserve">z brakiem wpływu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zarządów województw </w:t>
      </w:r>
      <w:r w:rsidR="00D3723C" w:rsidRPr="00B4457A">
        <w:rPr>
          <w:rFonts w:ascii="Times New Roman" w:eastAsia="Times New Roman" w:hAnsi="Times New Roman" w:cs="Times New Roman"/>
          <w:lang w:eastAsia="pl-PL"/>
        </w:rPr>
        <w:t xml:space="preserve">na termin publikacji uchwały podejmowanej na podstawie art. 91 i 92 ustawy – </w:t>
      </w:r>
      <w:r w:rsidR="00D3723C" w:rsidRPr="00B4457A">
        <w:rPr>
          <w:rFonts w:ascii="Times New Roman" w:eastAsia="Times New Roman" w:hAnsi="Times New Roman" w:cs="Times New Roman"/>
          <w:i/>
          <w:iCs/>
          <w:lang w:eastAsia="pl-PL"/>
        </w:rPr>
        <w:t>Prawo ochrony środowiska</w:t>
      </w:r>
      <w:r w:rsidR="00D3723C" w:rsidRPr="00B4457A">
        <w:rPr>
          <w:rFonts w:ascii="Times New Roman" w:eastAsia="Times New Roman" w:hAnsi="Times New Roman" w:cs="Times New Roman"/>
          <w:lang w:eastAsia="pl-PL"/>
        </w:rPr>
        <w:t xml:space="preserve"> w dzienniku urzędowym województw.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5C1F31" w14:textId="44217ED0" w:rsidR="0079765D" w:rsidRPr="00B4457A" w:rsidRDefault="00D3723C" w:rsidP="00B4457A">
      <w:pPr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4457A">
        <w:rPr>
          <w:rFonts w:ascii="Times New Roman" w:eastAsia="Times New Roman" w:hAnsi="Times New Roman" w:cs="Times New Roman"/>
          <w:lang w:eastAsia="pl-PL"/>
        </w:rPr>
        <w:t xml:space="preserve">W związku z powyższym, wychodząc naprzeciw oczekiwaniom samorządów województw, zmieniono termin obowiązku, o którym mowa w art. 94 ust. 2, i uzależniono go od terminu publikacji 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Pr="00B4457A">
        <w:rPr>
          <w:rFonts w:ascii="Times New Roman" w:eastAsia="Times New Roman" w:hAnsi="Times New Roman" w:cs="Times New Roman"/>
          <w:lang w:eastAsia="pl-PL"/>
        </w:rPr>
        <w:t>w dzienniku urzędowym województwa</w:t>
      </w:r>
      <w:r w:rsidR="002E6BE7" w:rsidRPr="00B4457A">
        <w:rPr>
          <w:rFonts w:ascii="Times New Roman" w:eastAsia="Times New Roman" w:hAnsi="Times New Roman" w:cs="Times New Roman"/>
          <w:lang w:eastAsia="pl-PL"/>
        </w:rPr>
        <w:t>. Tym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samym</w:t>
      </w:r>
      <w:r w:rsidR="00EA3E3D" w:rsidRPr="00B4457A">
        <w:rPr>
          <w:rFonts w:ascii="Times New Roman" w:eastAsia="Times New Roman" w:hAnsi="Times New Roman" w:cs="Times New Roman"/>
          <w:lang w:eastAsia="pl-PL"/>
        </w:rPr>
        <w:t>,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1D5" w:rsidRPr="00B4457A">
        <w:rPr>
          <w:rFonts w:ascii="Times New Roman" w:eastAsia="Times New Roman" w:hAnsi="Times New Roman" w:cs="Times New Roman"/>
          <w:lang w:eastAsia="pl-PL"/>
        </w:rPr>
        <w:t xml:space="preserve">eliminując ryzyko  niewywiązania się z tego zadania, 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skrócono </w:t>
      </w:r>
      <w:r w:rsidR="002941D5" w:rsidRPr="00B4457A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Pr="00B4457A">
        <w:rPr>
          <w:rFonts w:ascii="Times New Roman" w:eastAsia="Times New Roman" w:hAnsi="Times New Roman" w:cs="Times New Roman"/>
          <w:lang w:eastAsia="pl-PL"/>
        </w:rPr>
        <w:t>przesłani</w:t>
      </w:r>
      <w:r w:rsidR="002941D5" w:rsidRPr="00B4457A">
        <w:rPr>
          <w:rFonts w:ascii="Times New Roman" w:eastAsia="Times New Roman" w:hAnsi="Times New Roman" w:cs="Times New Roman"/>
          <w:lang w:eastAsia="pl-PL"/>
        </w:rPr>
        <w:t>a</w:t>
      </w:r>
      <w:r w:rsidRPr="00B4457A">
        <w:rPr>
          <w:rFonts w:ascii="Times New Roman" w:eastAsia="Times New Roman" w:hAnsi="Times New Roman" w:cs="Times New Roman"/>
          <w:lang w:eastAsia="pl-PL"/>
        </w:rPr>
        <w:t xml:space="preserve"> takiej informacji z 14 do 7 dni kalendarzowych. </w:t>
      </w:r>
    </w:p>
    <w:p w14:paraId="180709B8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B27116B" w14:textId="698E6D61" w:rsidR="00C50C37" w:rsidRPr="00B4457A" w:rsidRDefault="00EA45DE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Pkt</w:t>
      </w:r>
      <w:r w:rsidR="00170C5D" w:rsidRPr="00B4457A">
        <w:rPr>
          <w:rFonts w:ascii="Times New Roman" w:hAnsi="Times New Roman" w:cs="Times New Roman"/>
          <w:b/>
          <w:bCs/>
        </w:rPr>
        <w:t xml:space="preserve"> </w:t>
      </w:r>
      <w:r w:rsidRPr="00B4457A">
        <w:rPr>
          <w:rFonts w:ascii="Times New Roman" w:hAnsi="Times New Roman" w:cs="Times New Roman"/>
          <w:b/>
          <w:bCs/>
        </w:rPr>
        <w:t>4</w:t>
      </w:r>
      <w:r w:rsidR="00EA3E3D" w:rsidRPr="00B4457A">
        <w:rPr>
          <w:rFonts w:ascii="Times New Roman" w:hAnsi="Times New Roman" w:cs="Times New Roman"/>
          <w:b/>
          <w:bCs/>
        </w:rPr>
        <w:t xml:space="preserve"> </w:t>
      </w:r>
      <w:r w:rsidR="00C50C37" w:rsidRPr="00B4457A">
        <w:rPr>
          <w:rFonts w:ascii="Times New Roman" w:hAnsi="Times New Roman" w:cs="Times New Roman"/>
          <w:b/>
          <w:bCs/>
        </w:rPr>
        <w:t xml:space="preserve">– </w:t>
      </w:r>
      <w:r w:rsidR="00633387" w:rsidRPr="00B4457A">
        <w:rPr>
          <w:rFonts w:ascii="Times New Roman" w:hAnsi="Times New Roman" w:cs="Times New Roman"/>
          <w:b/>
          <w:bCs/>
        </w:rPr>
        <w:t>Wprowadzenie fakultatywnego upoważnienia dla ministra właściwego do spraw klimatu i środowiska do wydania rozporządzenia regulującego kwestie szczegółowe istotne dla realizacji postanowień wynikających z decyzji wykonawczych Komisji ustanawiających konkluzje BAT</w:t>
      </w:r>
    </w:p>
    <w:p w14:paraId="754DDBF3" w14:textId="3213E490" w:rsidR="00C50C37" w:rsidRPr="00B4457A" w:rsidRDefault="00C50C37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lastRenderedPageBreak/>
        <w:t xml:space="preserve">Dodanie w art. 211 ustawy - Prawo ochrony środowiska, fakultatywnego upoważnienia dla ministra właściwego do spraw klimatu, do wydania rozporządzenia regulującego szczegółowe wymagania dotyczące oceny dotrzymywania granicznych wielkości emisyjnych (BAT </w:t>
      </w:r>
      <w:proofErr w:type="spellStart"/>
      <w:r w:rsidRPr="00B4457A">
        <w:rPr>
          <w:rFonts w:ascii="Times New Roman" w:hAnsi="Times New Roman" w:cs="Times New Roman"/>
        </w:rPr>
        <w:t>AELs</w:t>
      </w:r>
      <w:proofErr w:type="spellEnd"/>
      <w:r w:rsidRPr="00B4457A">
        <w:rPr>
          <w:rFonts w:ascii="Times New Roman" w:hAnsi="Times New Roman" w:cs="Times New Roman"/>
        </w:rPr>
        <w:t xml:space="preserve">) oraz niektórych zasad monitorowania wielkości emisji. </w:t>
      </w:r>
    </w:p>
    <w:p w14:paraId="2BEB32E1" w14:textId="248054A9" w:rsidR="00C50C37" w:rsidRPr="00B4457A" w:rsidRDefault="00C50C37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Wydanie tego rozporządzenia ma na celu przede wszystkim wskazanie sposobu postępowania z niepewnością pomiarową przy ocenie dotrzymywania wielkości dopuszczalnej emisji wynikających z zastosowania Konkluzji BAT, jak również doprecyzowani zasad uznawania tych wielkości za dotrzymane oraz rozliczania wielkości ewentualnych przekroczeń. Będą to więc sprawy szczególnie istotne (i oczekiwane) z punktu widzenia organów</w:t>
      </w:r>
      <w:r w:rsidR="00923B1F" w:rsidRPr="00B4457A">
        <w:rPr>
          <w:rFonts w:ascii="Times New Roman" w:hAnsi="Times New Roman" w:cs="Times New Roman"/>
        </w:rPr>
        <w:t xml:space="preserve"> ochrony środowiska oraz prowadzących instalacje </w:t>
      </w:r>
      <w:r w:rsidRPr="00B4457A">
        <w:rPr>
          <w:rFonts w:ascii="Times New Roman" w:hAnsi="Times New Roman" w:cs="Times New Roman"/>
        </w:rPr>
        <w:t>.</w:t>
      </w:r>
    </w:p>
    <w:p w14:paraId="19E2CEE3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25503A" w14:textId="6EBE6984" w:rsidR="0079765D" w:rsidRPr="00B4457A" w:rsidRDefault="00C50C37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 xml:space="preserve">Pkt 5 </w:t>
      </w:r>
      <w:r w:rsidR="00EA3E3D" w:rsidRPr="00B4457A">
        <w:rPr>
          <w:rFonts w:ascii="Times New Roman" w:hAnsi="Times New Roman" w:cs="Times New Roman"/>
          <w:b/>
          <w:bCs/>
        </w:rPr>
        <w:t xml:space="preserve">- dodanie po art. 334 ustawy – </w:t>
      </w:r>
      <w:r w:rsidR="00885DAF" w:rsidRPr="00B4457A">
        <w:rPr>
          <w:rFonts w:ascii="Times New Roman" w:hAnsi="Times New Roman" w:cs="Times New Roman"/>
          <w:b/>
          <w:bCs/>
        </w:rPr>
        <w:t>P</w:t>
      </w:r>
      <w:r w:rsidR="00EA3E3D" w:rsidRPr="00B4457A">
        <w:rPr>
          <w:rFonts w:ascii="Times New Roman" w:hAnsi="Times New Roman" w:cs="Times New Roman"/>
          <w:b/>
          <w:bCs/>
        </w:rPr>
        <w:t>rawo ochrony środowiska przepisu</w:t>
      </w:r>
      <w:r w:rsidR="00EA3E3D" w:rsidRPr="00B4457A">
        <w:rPr>
          <w:rFonts w:ascii="Times New Roman" w:hAnsi="Times New Roman" w:cs="Times New Roman"/>
        </w:rPr>
        <w:t xml:space="preserve"> </w:t>
      </w:r>
      <w:r w:rsidR="00EA45DE" w:rsidRPr="00B4457A">
        <w:rPr>
          <w:rFonts w:ascii="Times New Roman" w:hAnsi="Times New Roman" w:cs="Times New Roman"/>
          <w:b/>
          <w:bCs/>
        </w:rPr>
        <w:t>art. 334a</w:t>
      </w:r>
    </w:p>
    <w:p w14:paraId="63D30D52" w14:textId="77777777" w:rsidR="00B4457A" w:rsidRDefault="00B4457A" w:rsidP="00B4457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E83881B" w14:textId="2D279D87" w:rsidR="00F94F1C" w:rsidRPr="00B4457A" w:rsidRDefault="00F94F1C" w:rsidP="00B4457A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</w:t>
      </w:r>
      <w:r w:rsidR="002941D5" w:rsidRPr="00B4457A">
        <w:rPr>
          <w:rFonts w:ascii="Times New Roman" w:hAnsi="Times New Roman" w:cs="Times New Roman"/>
        </w:rPr>
        <w:t>cie</w:t>
      </w:r>
      <w:r w:rsidRPr="00B4457A">
        <w:rPr>
          <w:rFonts w:ascii="Times New Roman" w:hAnsi="Times New Roman" w:cs="Times New Roman"/>
        </w:rPr>
        <w:t xml:space="preserve"> ustawy, </w:t>
      </w:r>
      <w:r w:rsidR="002941D5" w:rsidRPr="00B4457A">
        <w:rPr>
          <w:rFonts w:ascii="Times New Roman" w:hAnsi="Times New Roman" w:cs="Times New Roman"/>
        </w:rPr>
        <w:t xml:space="preserve">w ramach </w:t>
      </w:r>
      <w:r w:rsidRPr="00B4457A">
        <w:rPr>
          <w:rFonts w:ascii="Times New Roman" w:hAnsi="Times New Roman" w:cs="Times New Roman"/>
        </w:rPr>
        <w:t>doda</w:t>
      </w:r>
      <w:r w:rsidR="00A35895" w:rsidRPr="00B4457A">
        <w:rPr>
          <w:rFonts w:ascii="Times New Roman" w:hAnsi="Times New Roman" w:cs="Times New Roman"/>
        </w:rPr>
        <w:t>wa</w:t>
      </w:r>
      <w:r w:rsidRPr="00B4457A">
        <w:rPr>
          <w:rFonts w:ascii="Times New Roman" w:hAnsi="Times New Roman" w:cs="Times New Roman"/>
        </w:rPr>
        <w:t>n</w:t>
      </w:r>
      <w:r w:rsidR="002941D5" w:rsidRPr="00B4457A">
        <w:rPr>
          <w:rFonts w:ascii="Times New Roman" w:hAnsi="Times New Roman" w:cs="Times New Roman"/>
        </w:rPr>
        <w:t xml:space="preserve">ego nowego </w:t>
      </w:r>
      <w:r w:rsidRPr="00B4457A">
        <w:rPr>
          <w:rFonts w:ascii="Times New Roman" w:hAnsi="Times New Roman" w:cs="Times New Roman"/>
        </w:rPr>
        <w:t>art. 334a, wprowadzon</w:t>
      </w:r>
      <w:r w:rsidR="002941D5" w:rsidRPr="00B4457A">
        <w:rPr>
          <w:rFonts w:ascii="Times New Roman" w:hAnsi="Times New Roman" w:cs="Times New Roman"/>
        </w:rPr>
        <w:t xml:space="preserve">o </w:t>
      </w:r>
      <w:r w:rsidRPr="00B4457A">
        <w:rPr>
          <w:rFonts w:ascii="Times New Roman" w:hAnsi="Times New Roman" w:cs="Times New Roman"/>
        </w:rPr>
        <w:t>przepisy dotyczące odpowiedzialności za nierealizowanie działań naprawczych określonych w</w:t>
      </w:r>
      <w:r w:rsidR="002941D5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>harmonogramach rzeczowo</w:t>
      </w:r>
      <w:r w:rsidR="005B1C50" w:rsidRPr="00B4457A">
        <w:rPr>
          <w:rFonts w:ascii="Times New Roman" w:hAnsi="Times New Roman" w:cs="Times New Roman"/>
        </w:rPr>
        <w:t xml:space="preserve"> – </w:t>
      </w:r>
      <w:r w:rsidRPr="00B4457A">
        <w:rPr>
          <w:rFonts w:ascii="Times New Roman" w:hAnsi="Times New Roman" w:cs="Times New Roman"/>
        </w:rPr>
        <w:t xml:space="preserve">finansowych </w:t>
      </w:r>
      <w:r w:rsidR="002941D5" w:rsidRPr="00B4457A">
        <w:rPr>
          <w:rFonts w:ascii="Times New Roman" w:hAnsi="Times New Roman" w:cs="Times New Roman"/>
        </w:rPr>
        <w:t xml:space="preserve">programów ochrony powietrza, </w:t>
      </w:r>
      <w:r w:rsidR="00C51C53" w:rsidRPr="00B4457A">
        <w:rPr>
          <w:rFonts w:ascii="Times New Roman" w:hAnsi="Times New Roman" w:cs="Times New Roman"/>
        </w:rPr>
        <w:t xml:space="preserve">a także określanych w planach działań krótkoterminowych, </w:t>
      </w:r>
      <w:r w:rsidR="002941D5" w:rsidRPr="00B4457A">
        <w:rPr>
          <w:rFonts w:ascii="Times New Roman" w:hAnsi="Times New Roman" w:cs="Times New Roman"/>
        </w:rPr>
        <w:t>p</w:t>
      </w:r>
      <w:r w:rsidRPr="00B4457A">
        <w:rPr>
          <w:rFonts w:ascii="Times New Roman" w:hAnsi="Times New Roman" w:cs="Times New Roman"/>
        </w:rPr>
        <w:t>rzyjmowanych uchwał</w:t>
      </w:r>
      <w:r w:rsidR="002941D5" w:rsidRPr="00B4457A">
        <w:rPr>
          <w:rFonts w:ascii="Times New Roman" w:hAnsi="Times New Roman" w:cs="Times New Roman"/>
        </w:rPr>
        <w:t>ami</w:t>
      </w:r>
      <w:r w:rsidRPr="00B4457A">
        <w:rPr>
          <w:rFonts w:ascii="Times New Roman" w:hAnsi="Times New Roman" w:cs="Times New Roman"/>
        </w:rPr>
        <w:t xml:space="preserve"> sejmików województw, na podstawie art. 91 </w:t>
      </w:r>
      <w:r w:rsidR="00C51C53" w:rsidRPr="00B4457A">
        <w:rPr>
          <w:rFonts w:ascii="Times New Roman" w:hAnsi="Times New Roman" w:cs="Times New Roman"/>
        </w:rPr>
        <w:t xml:space="preserve">i 92 </w:t>
      </w:r>
      <w:r w:rsidRPr="00B4457A">
        <w:rPr>
          <w:rFonts w:ascii="Times New Roman" w:hAnsi="Times New Roman" w:cs="Times New Roman"/>
        </w:rPr>
        <w:t xml:space="preserve">ustawy – </w:t>
      </w:r>
      <w:r w:rsidRPr="00B4457A">
        <w:rPr>
          <w:rFonts w:ascii="Times New Roman" w:hAnsi="Times New Roman" w:cs="Times New Roman"/>
          <w:i/>
          <w:iCs/>
        </w:rPr>
        <w:t>Prawo ochrony środowiska</w:t>
      </w:r>
      <w:r w:rsidRPr="00B4457A">
        <w:rPr>
          <w:rFonts w:ascii="Times New Roman" w:hAnsi="Times New Roman" w:cs="Times New Roman"/>
        </w:rPr>
        <w:t>.</w:t>
      </w:r>
    </w:p>
    <w:p w14:paraId="07092EC8" w14:textId="0DD7C7D5" w:rsidR="00EA45DE" w:rsidRPr="00B4457A" w:rsidRDefault="002941D5" w:rsidP="00B4457A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 xml:space="preserve">Przepis ten </w:t>
      </w:r>
      <w:r w:rsidR="005B1C50" w:rsidRPr="00B4457A">
        <w:rPr>
          <w:rFonts w:ascii="Times New Roman" w:hAnsi="Times New Roman" w:cs="Times New Roman"/>
        </w:rPr>
        <w:t xml:space="preserve">jest analogiczny jak w przypadku art. 334, w którym wprowadzono odpowiedzialność karną za </w:t>
      </w:r>
      <w:r w:rsidR="00B73A77" w:rsidRPr="00B4457A">
        <w:rPr>
          <w:rFonts w:ascii="Times New Roman" w:hAnsi="Times New Roman" w:cs="Times New Roman"/>
        </w:rPr>
        <w:t xml:space="preserve">nieprzestrzegania nakazów, zakazów określonych w uchwale sejmiku województwa, o której mowa w art. 96 tej ustawy. </w:t>
      </w:r>
    </w:p>
    <w:p w14:paraId="167B737C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546043" w14:textId="32B2F55B" w:rsidR="00EA45DE" w:rsidRPr="00B4457A" w:rsidRDefault="005B1C50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2</w:t>
      </w:r>
    </w:p>
    <w:p w14:paraId="351BB5A9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FDA741" w14:textId="190A2435" w:rsidR="008A331E" w:rsidRPr="00B4457A" w:rsidRDefault="00091E88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ustawy, w związku z koniecznością kontynuacji realizacji zadań określonych w</w:t>
      </w:r>
      <w:r w:rsidR="00D81A59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>ustawie z dnia 13</w:t>
      </w:r>
      <w:r w:rsidR="00D81A59" w:rsidRPr="00B4457A">
        <w:rPr>
          <w:rFonts w:ascii="Times New Roman" w:hAnsi="Times New Roman" w:cs="Times New Roman"/>
        </w:rPr>
        <w:t xml:space="preserve"> </w:t>
      </w:r>
      <w:r w:rsidRPr="00B4457A">
        <w:rPr>
          <w:rFonts w:ascii="Times New Roman" w:hAnsi="Times New Roman" w:cs="Times New Roman"/>
        </w:rPr>
        <w:t xml:space="preserve">kwietnia 2012 r. </w:t>
      </w:r>
      <w:r w:rsidRPr="00B4457A">
        <w:rPr>
          <w:rFonts w:ascii="Times New Roman" w:hAnsi="Times New Roman" w:cs="Times New Roman"/>
          <w:i/>
          <w:iCs/>
        </w:rPr>
        <w:t>o zmianie ustawy – Prawo ochrony środowiska oraz niektórych innych ustaw</w:t>
      </w:r>
      <w:r w:rsidRPr="00B4457A">
        <w:rPr>
          <w:rFonts w:ascii="Times New Roman" w:hAnsi="Times New Roman" w:cs="Times New Roman"/>
        </w:rPr>
        <w:t xml:space="preserve">, </w:t>
      </w:r>
      <w:r w:rsidR="00211878" w:rsidRPr="00B4457A">
        <w:rPr>
          <w:rFonts w:ascii="Times New Roman" w:hAnsi="Times New Roman" w:cs="Times New Roman"/>
        </w:rPr>
        <w:t xml:space="preserve">implementującej wymagania dyrektywy 2008/50/WE, </w:t>
      </w:r>
      <w:r w:rsidRPr="00B4457A">
        <w:rPr>
          <w:rFonts w:ascii="Times New Roman" w:hAnsi="Times New Roman" w:cs="Times New Roman"/>
        </w:rPr>
        <w:t>określono maksymalne limity wydatków sektora finansów publicznych na lata 2022-2031 dla sektora finansów publicznych w ramach środków</w:t>
      </w:r>
      <w:r w:rsidR="00211878" w:rsidRPr="00B4457A">
        <w:rPr>
          <w:rFonts w:ascii="Times New Roman" w:hAnsi="Times New Roman" w:cs="Times New Roman"/>
        </w:rPr>
        <w:t xml:space="preserve"> pochodzących</w:t>
      </w:r>
      <w:r w:rsidRPr="00B4457A">
        <w:rPr>
          <w:rFonts w:ascii="Times New Roman" w:hAnsi="Times New Roman" w:cs="Times New Roman"/>
        </w:rPr>
        <w:t xml:space="preserve"> z</w:t>
      </w:r>
      <w:r w:rsidR="00546C2F" w:rsidRPr="00B4457A">
        <w:rPr>
          <w:rFonts w:ascii="Times New Roman" w:hAnsi="Times New Roman" w:cs="Times New Roman"/>
        </w:rPr>
        <w:t xml:space="preserve"> </w:t>
      </w:r>
      <w:r w:rsidRPr="00B4457A">
        <w:rPr>
          <w:rFonts w:ascii="Times New Roman" w:hAnsi="Times New Roman" w:cs="Times New Roman"/>
        </w:rPr>
        <w:t>budżetu państwa, N</w:t>
      </w:r>
      <w:r w:rsidR="008A331E" w:rsidRPr="00B4457A">
        <w:rPr>
          <w:rFonts w:ascii="Times New Roman" w:hAnsi="Times New Roman" w:cs="Times New Roman"/>
        </w:rPr>
        <w:t xml:space="preserve">arodowego </w:t>
      </w:r>
      <w:r w:rsidRPr="00B4457A">
        <w:rPr>
          <w:rFonts w:ascii="Times New Roman" w:hAnsi="Times New Roman" w:cs="Times New Roman"/>
        </w:rPr>
        <w:t>F</w:t>
      </w:r>
      <w:r w:rsidR="008A331E" w:rsidRPr="00B4457A">
        <w:rPr>
          <w:rFonts w:ascii="Times New Roman" w:hAnsi="Times New Roman" w:cs="Times New Roman"/>
        </w:rPr>
        <w:t>unduszu Ochrony Środowiska i Gospodarki Wodnej (</w:t>
      </w:r>
      <w:r w:rsidR="00EA3E3D" w:rsidRPr="00B4457A">
        <w:rPr>
          <w:rFonts w:ascii="Times New Roman" w:hAnsi="Times New Roman" w:cs="Times New Roman"/>
        </w:rPr>
        <w:t xml:space="preserve">zwanego </w:t>
      </w:r>
      <w:r w:rsidR="008A331E" w:rsidRPr="00B4457A">
        <w:rPr>
          <w:rFonts w:ascii="Times New Roman" w:hAnsi="Times New Roman" w:cs="Times New Roman"/>
        </w:rPr>
        <w:t>dalej: „NF</w:t>
      </w:r>
      <w:r w:rsidRPr="00B4457A">
        <w:rPr>
          <w:rFonts w:ascii="Times New Roman" w:hAnsi="Times New Roman" w:cs="Times New Roman"/>
        </w:rPr>
        <w:t>OŚiGW</w:t>
      </w:r>
      <w:r w:rsidR="008A331E" w:rsidRPr="00B4457A">
        <w:rPr>
          <w:rFonts w:ascii="Times New Roman" w:hAnsi="Times New Roman" w:cs="Times New Roman"/>
        </w:rPr>
        <w:t>”)</w:t>
      </w:r>
      <w:r w:rsidRPr="00B4457A">
        <w:rPr>
          <w:rFonts w:ascii="Times New Roman" w:hAnsi="Times New Roman" w:cs="Times New Roman"/>
        </w:rPr>
        <w:t xml:space="preserve"> oraz </w:t>
      </w:r>
      <w:r w:rsidR="008A331E" w:rsidRPr="00B4457A">
        <w:rPr>
          <w:rFonts w:ascii="Times New Roman" w:hAnsi="Times New Roman" w:cs="Times New Roman"/>
        </w:rPr>
        <w:t>Wojewódzkich Funduszy Ochrony Środowiska i Gospodarki Wodnej (zwanych dalej „</w:t>
      </w:r>
      <w:proofErr w:type="spellStart"/>
      <w:r w:rsidRPr="00B4457A">
        <w:rPr>
          <w:rFonts w:ascii="Times New Roman" w:hAnsi="Times New Roman" w:cs="Times New Roman"/>
        </w:rPr>
        <w:t>WFOŚiGW</w:t>
      </w:r>
      <w:proofErr w:type="spellEnd"/>
      <w:r w:rsidR="008A331E" w:rsidRPr="00B4457A">
        <w:rPr>
          <w:rFonts w:ascii="Times New Roman" w:hAnsi="Times New Roman" w:cs="Times New Roman"/>
        </w:rPr>
        <w:t>”)</w:t>
      </w:r>
      <w:r w:rsidRPr="00B4457A">
        <w:rPr>
          <w:rFonts w:ascii="Times New Roman" w:hAnsi="Times New Roman" w:cs="Times New Roman"/>
        </w:rPr>
        <w:t>.</w:t>
      </w:r>
      <w:r w:rsidR="00211878" w:rsidRPr="00B4457A">
        <w:rPr>
          <w:rFonts w:ascii="Times New Roman" w:hAnsi="Times New Roman" w:cs="Times New Roman"/>
        </w:rPr>
        <w:t xml:space="preserve"> </w:t>
      </w:r>
    </w:p>
    <w:p w14:paraId="37065C4E" w14:textId="77777777" w:rsidR="00091E88" w:rsidRPr="00B4457A" w:rsidRDefault="00211878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Zauważyć należy</w:t>
      </w:r>
      <w:r w:rsidR="008A331E" w:rsidRPr="00B4457A">
        <w:rPr>
          <w:rFonts w:ascii="Times New Roman" w:hAnsi="Times New Roman" w:cs="Times New Roman"/>
        </w:rPr>
        <w:t xml:space="preserve"> jednak</w:t>
      </w:r>
      <w:r w:rsidRPr="00B4457A">
        <w:rPr>
          <w:rFonts w:ascii="Times New Roman" w:hAnsi="Times New Roman" w:cs="Times New Roman"/>
        </w:rPr>
        <w:t>, że w stosunku do art. 12 ww. ustawy z dnia 13 kwietnia 2012</w:t>
      </w:r>
      <w:r w:rsidR="008A331E" w:rsidRPr="00B4457A">
        <w:rPr>
          <w:rFonts w:ascii="Times New Roman" w:hAnsi="Times New Roman" w:cs="Times New Roman"/>
        </w:rPr>
        <w:t> </w:t>
      </w:r>
      <w:r w:rsidRPr="00B4457A">
        <w:rPr>
          <w:rFonts w:ascii="Times New Roman" w:hAnsi="Times New Roman" w:cs="Times New Roman"/>
        </w:rPr>
        <w:t xml:space="preserve">r., </w:t>
      </w:r>
      <w:r w:rsidR="00641324" w:rsidRPr="00B4457A">
        <w:rPr>
          <w:rFonts w:ascii="Times New Roman" w:hAnsi="Times New Roman" w:cs="Times New Roman"/>
        </w:rPr>
        <w:t xml:space="preserve">aktualnie </w:t>
      </w:r>
      <w:r w:rsidRPr="00B4457A">
        <w:rPr>
          <w:rFonts w:ascii="Times New Roman" w:hAnsi="Times New Roman" w:cs="Times New Roman"/>
        </w:rPr>
        <w:t>zmianie uległy źródła finansowania zadań zleconych administracji samorządu terytorialnego z zakresu administracji rządowej</w:t>
      </w:r>
      <w:r w:rsidR="008A331E" w:rsidRPr="00B4457A">
        <w:rPr>
          <w:rFonts w:ascii="Times New Roman" w:hAnsi="Times New Roman" w:cs="Times New Roman"/>
        </w:rPr>
        <w:t xml:space="preserve"> z budżetu samorządu województw na środki rezerwy celowej wojewody. </w:t>
      </w:r>
    </w:p>
    <w:p w14:paraId="0A0FE133" w14:textId="4FB80AE9" w:rsidR="00091E88" w:rsidRPr="00B4457A" w:rsidRDefault="00BF5306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 xml:space="preserve">Tyczy się to zarówno utrzymania 32 etatów ds. jakości powietrza (po 2 etaty w każdym z 16 urzędów wojewódzkich), jak również przygotowania projektów programów ochrony powietrza oraz planów działań krótkoterminowych, ich aktualizacji oraz sprawozdań okresowych i końcowych z realizacji tych programów i planów. 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0"/>
      </w:tblGrid>
      <w:tr w:rsidR="007F2C37" w:rsidRPr="00B4457A" w14:paraId="686F79B4" w14:textId="77777777" w:rsidTr="007F2C37">
        <w:trPr>
          <w:trHeight w:val="84"/>
        </w:trPr>
        <w:tc>
          <w:tcPr>
            <w:tcW w:w="9770" w:type="dxa"/>
          </w:tcPr>
          <w:p w14:paraId="1E3F123C" w14:textId="77777777" w:rsidR="00170C5D" w:rsidRPr="00B4457A" w:rsidRDefault="00641324" w:rsidP="00B4457A">
            <w:pPr>
              <w:spacing w:after="0" w:line="276" w:lineRule="auto"/>
              <w:ind w:right="480" w:firstLine="567"/>
              <w:jc w:val="both"/>
              <w:rPr>
                <w:rFonts w:ascii="Times New Roman" w:hAnsi="Times New Roman" w:cs="Times New Roman"/>
              </w:rPr>
            </w:pPr>
            <w:r w:rsidRPr="00B4457A">
              <w:rPr>
                <w:rFonts w:ascii="Times New Roman" w:hAnsi="Times New Roman" w:cs="Times New Roman"/>
              </w:rPr>
              <w:t>Niezmiennym pozostało źródło finansowania zadań, nałożonych ustawą, za które odpowiada minister właściwy do spraw klimatu</w:t>
            </w:r>
            <w:r w:rsidR="00BF5306" w:rsidRPr="00B4457A">
              <w:rPr>
                <w:rFonts w:ascii="Times New Roman" w:hAnsi="Times New Roman" w:cs="Times New Roman"/>
              </w:rPr>
              <w:t>, i które będą realizowane w ramach dofinansowania ze środków NFOŚiGW</w:t>
            </w:r>
            <w:r w:rsidRPr="00B4457A">
              <w:rPr>
                <w:rFonts w:ascii="Times New Roman" w:hAnsi="Times New Roman" w:cs="Times New Roman"/>
              </w:rPr>
              <w:t>. To samo generalnie tyczy się zadań Głównego Inspektoratu Ochrony Środowiska</w:t>
            </w:r>
            <w:r w:rsidR="00BF5306" w:rsidRPr="00B4457A">
              <w:rPr>
                <w:rFonts w:ascii="Times New Roman" w:hAnsi="Times New Roman" w:cs="Times New Roman"/>
              </w:rPr>
              <w:t xml:space="preserve">, którego zadania będą finansowane z budżetu państwa, przy przeważającym wkładzie środków pochodzących z NFOŚiGW. </w:t>
            </w:r>
          </w:p>
          <w:p w14:paraId="74AB3DD1" w14:textId="0E7531C7" w:rsidR="007F2C37" w:rsidRPr="00B4457A" w:rsidRDefault="00BF5306" w:rsidP="00B4457A">
            <w:pPr>
              <w:spacing w:after="0" w:line="276" w:lineRule="auto"/>
              <w:ind w:right="480" w:firstLine="567"/>
              <w:jc w:val="both"/>
              <w:rPr>
                <w:rFonts w:ascii="Times New Roman" w:hAnsi="Times New Roman" w:cs="Times New Roman"/>
              </w:rPr>
            </w:pPr>
            <w:r w:rsidRPr="00B4457A">
              <w:rPr>
                <w:rFonts w:ascii="Times New Roman" w:hAnsi="Times New Roman" w:cs="Times New Roman"/>
              </w:rPr>
              <w:t xml:space="preserve">Ponadto </w:t>
            </w:r>
            <w:r w:rsidR="00587B83" w:rsidRPr="00B4457A">
              <w:rPr>
                <w:rFonts w:ascii="Times New Roman" w:hAnsi="Times New Roman" w:cs="Times New Roman"/>
              </w:rPr>
              <w:t>wyjaśnić należy</w:t>
            </w:r>
            <w:r w:rsidRPr="00B4457A">
              <w:rPr>
                <w:rFonts w:ascii="Times New Roman" w:hAnsi="Times New Roman" w:cs="Times New Roman"/>
              </w:rPr>
              <w:t>, że maksymalne limity wydatków sektora finansów publicznych nie uwzględniają kosztów realizacji działań naprawczych, które są określane w</w:t>
            </w:r>
            <w:r w:rsidR="00587B83" w:rsidRPr="00B4457A">
              <w:rPr>
                <w:rFonts w:ascii="Times New Roman" w:hAnsi="Times New Roman" w:cs="Times New Roman"/>
              </w:rPr>
              <w:t> </w:t>
            </w:r>
            <w:r w:rsidRPr="00B4457A">
              <w:rPr>
                <w:rFonts w:ascii="Times New Roman" w:hAnsi="Times New Roman" w:cs="Times New Roman"/>
              </w:rPr>
              <w:t>ramach programów ochrony powietrza oraz planów działań krótkoterminowych</w:t>
            </w:r>
            <w:r w:rsidR="00587B83" w:rsidRPr="00B4457A">
              <w:rPr>
                <w:rFonts w:ascii="Times New Roman" w:hAnsi="Times New Roman" w:cs="Times New Roman"/>
              </w:rPr>
              <w:t xml:space="preserve">. Wynika to bezpośrednio z </w:t>
            </w:r>
            <w:r w:rsidRPr="00B4457A">
              <w:rPr>
                <w:rFonts w:ascii="Times New Roman" w:hAnsi="Times New Roman" w:cs="Times New Roman"/>
              </w:rPr>
              <w:t>fakt</w:t>
            </w:r>
            <w:r w:rsidR="00587B83" w:rsidRPr="00B4457A">
              <w:rPr>
                <w:rFonts w:ascii="Times New Roman" w:hAnsi="Times New Roman" w:cs="Times New Roman"/>
              </w:rPr>
              <w:t>u</w:t>
            </w:r>
            <w:r w:rsidRPr="00B4457A">
              <w:rPr>
                <w:rFonts w:ascii="Times New Roman" w:hAnsi="Times New Roman" w:cs="Times New Roman"/>
              </w:rPr>
              <w:t xml:space="preserve">, że projekt </w:t>
            </w:r>
            <w:r w:rsidR="00587B83" w:rsidRPr="00B4457A">
              <w:rPr>
                <w:rFonts w:ascii="Times New Roman" w:hAnsi="Times New Roman" w:cs="Times New Roman"/>
              </w:rPr>
              <w:t>ustawy d</w:t>
            </w:r>
            <w:r w:rsidRPr="00B4457A">
              <w:rPr>
                <w:rFonts w:ascii="Times New Roman" w:hAnsi="Times New Roman" w:cs="Times New Roman"/>
              </w:rPr>
              <w:t xml:space="preserve">otyczy wyłącznie finansowania działań określonych w ustawie z 2012 r. Podkreślić należy, </w:t>
            </w:r>
            <w:r w:rsidR="00117A15" w:rsidRPr="00B4457A">
              <w:rPr>
                <w:rFonts w:ascii="Times New Roman" w:hAnsi="Times New Roman" w:cs="Times New Roman"/>
              </w:rPr>
              <w:t>ż</w:t>
            </w:r>
            <w:r w:rsidRPr="00B4457A">
              <w:rPr>
                <w:rFonts w:ascii="Times New Roman" w:hAnsi="Times New Roman" w:cs="Times New Roman"/>
              </w:rPr>
              <w:t>e głównym źródłem finansowania działań naprawczych</w:t>
            </w:r>
            <w:r w:rsidR="00587B83" w:rsidRPr="00B4457A">
              <w:rPr>
                <w:rFonts w:ascii="Times New Roman" w:hAnsi="Times New Roman" w:cs="Times New Roman"/>
              </w:rPr>
              <w:t xml:space="preserve"> określanych w</w:t>
            </w:r>
            <w:r w:rsidR="00170C5D" w:rsidRPr="00B4457A">
              <w:rPr>
                <w:rFonts w:ascii="Times New Roman" w:hAnsi="Times New Roman" w:cs="Times New Roman"/>
              </w:rPr>
              <w:t> </w:t>
            </w:r>
            <w:r w:rsidR="00587B83" w:rsidRPr="00B4457A">
              <w:rPr>
                <w:rFonts w:ascii="Times New Roman" w:hAnsi="Times New Roman" w:cs="Times New Roman"/>
              </w:rPr>
              <w:t xml:space="preserve">programach ochrony powietrza, </w:t>
            </w:r>
            <w:r w:rsidR="00587B83" w:rsidRPr="00B4457A">
              <w:rPr>
                <w:rFonts w:ascii="Times New Roman" w:hAnsi="Times New Roman" w:cs="Times New Roman"/>
              </w:rPr>
              <w:lastRenderedPageBreak/>
              <w:t>ze względu na dominujące źródło przekroczeń norm jakości powietrza w Polsce, jakim sektor mieszkaniowy,</w:t>
            </w:r>
            <w:r w:rsidRPr="00B4457A">
              <w:rPr>
                <w:rFonts w:ascii="Times New Roman" w:hAnsi="Times New Roman" w:cs="Times New Roman"/>
              </w:rPr>
              <w:t xml:space="preserve"> powinien być Program Priorytetowy </w:t>
            </w:r>
            <w:r w:rsidRPr="00B4457A">
              <w:rPr>
                <w:rFonts w:ascii="Times New Roman" w:hAnsi="Times New Roman" w:cs="Times New Roman"/>
                <w:i/>
                <w:iCs/>
              </w:rPr>
              <w:t>„Czyste Powietrze”</w:t>
            </w:r>
            <w:r w:rsidRPr="00B4457A">
              <w:rPr>
                <w:rFonts w:ascii="Times New Roman" w:hAnsi="Times New Roman" w:cs="Times New Roman"/>
              </w:rPr>
              <w:t xml:space="preserve">, realizowany przez NFOŚiGW we współpracy z </w:t>
            </w:r>
            <w:proofErr w:type="spellStart"/>
            <w:r w:rsidR="00587B83" w:rsidRPr="00B4457A">
              <w:rPr>
                <w:rFonts w:ascii="Times New Roman" w:hAnsi="Times New Roman" w:cs="Times New Roman"/>
              </w:rPr>
              <w:t>WFOŚiGW</w:t>
            </w:r>
            <w:proofErr w:type="spellEnd"/>
            <w:r w:rsidR="00587B83" w:rsidRPr="00B4457A">
              <w:rPr>
                <w:rFonts w:ascii="Times New Roman" w:hAnsi="Times New Roman" w:cs="Times New Roman"/>
              </w:rPr>
              <w:t xml:space="preserve"> </w:t>
            </w:r>
            <w:r w:rsidRPr="00B4457A">
              <w:rPr>
                <w:rFonts w:ascii="Times New Roman" w:hAnsi="Times New Roman" w:cs="Times New Roman"/>
              </w:rPr>
              <w:t>oraz z gminami na podstawie podpisywanych porozumień o wspólnej jego realizacji, a także w</w:t>
            </w:r>
            <w:r w:rsidR="00587B83" w:rsidRPr="00B4457A">
              <w:rPr>
                <w:rFonts w:ascii="Times New Roman" w:hAnsi="Times New Roman" w:cs="Times New Roman"/>
              </w:rPr>
              <w:t> </w:t>
            </w:r>
            <w:r w:rsidRPr="00B4457A">
              <w:rPr>
                <w:rFonts w:ascii="Times New Roman" w:hAnsi="Times New Roman" w:cs="Times New Roman"/>
              </w:rPr>
              <w:t xml:space="preserve">ramach rządowego Programu </w:t>
            </w:r>
            <w:r w:rsidRPr="00B4457A">
              <w:rPr>
                <w:rFonts w:ascii="Times New Roman" w:hAnsi="Times New Roman" w:cs="Times New Roman"/>
                <w:i/>
                <w:iCs/>
              </w:rPr>
              <w:t>„Stop Smog”</w:t>
            </w:r>
            <w:r w:rsidRPr="00B4457A">
              <w:rPr>
                <w:rFonts w:ascii="Times New Roman" w:hAnsi="Times New Roman" w:cs="Times New Roman"/>
              </w:rPr>
              <w:t>. Ponadto planuje się, że w tym celu wykorzystane zostaną także środki finansowe, które zostaną udostępnione w ramach projektowanej nowej perspektywy finansowej UE na lata 2021 – 2027.</w:t>
            </w:r>
            <w:r w:rsidR="00587B83" w:rsidRPr="00B4457A">
              <w:rPr>
                <w:rFonts w:ascii="Times New Roman" w:hAnsi="Times New Roman" w:cs="Times New Roman"/>
              </w:rPr>
              <w:t xml:space="preserve"> W tym miejscu podkreślić należy, że koszty działań naprawczych określonych w ww. programach są nie porównywalnie wyższe od kosztów opracowania samych programów</w:t>
            </w:r>
            <w:r w:rsidR="00F323AD" w:rsidRPr="00B4457A">
              <w:rPr>
                <w:rFonts w:ascii="Times New Roman" w:hAnsi="Times New Roman" w:cs="Times New Roman"/>
              </w:rPr>
              <w:t>, które stanowią podstawę uchwały sejmiku województwa</w:t>
            </w:r>
            <w:r w:rsidR="00587B83" w:rsidRPr="00B4457A">
              <w:rPr>
                <w:rFonts w:ascii="Times New Roman" w:hAnsi="Times New Roman" w:cs="Times New Roman"/>
              </w:rPr>
              <w:t xml:space="preserve">. </w:t>
            </w:r>
            <w:r w:rsidR="007F2C37" w:rsidRPr="00B4457A">
              <w:rPr>
                <w:rFonts w:ascii="Times New Roman" w:hAnsi="Times New Roman" w:cs="Times New Roman"/>
              </w:rPr>
              <w:t xml:space="preserve">Przykładowo, </w:t>
            </w:r>
            <w:r w:rsidR="00F323AD" w:rsidRPr="00B4457A">
              <w:rPr>
                <w:rFonts w:ascii="Times New Roman" w:hAnsi="Times New Roman" w:cs="Times New Roman"/>
              </w:rPr>
              <w:t xml:space="preserve">szacunkowy koszt jednego działania naprawczego polegającego na realizacji gminnych programów ograniczania niskiej emisji (PONE) – czyli eliminacji </w:t>
            </w:r>
            <w:proofErr w:type="spellStart"/>
            <w:r w:rsidR="00F323AD" w:rsidRPr="00B4457A">
              <w:rPr>
                <w:rFonts w:ascii="Times New Roman" w:hAnsi="Times New Roman" w:cs="Times New Roman"/>
              </w:rPr>
              <w:t>niskosprawnych</w:t>
            </w:r>
            <w:proofErr w:type="spellEnd"/>
            <w:r w:rsidR="00F323AD" w:rsidRPr="00B4457A">
              <w:rPr>
                <w:rFonts w:ascii="Times New Roman" w:hAnsi="Times New Roman" w:cs="Times New Roman"/>
              </w:rPr>
              <w:t xml:space="preserve"> urządzeń na paliwa stałe do końca 2023 r., określony w programie ochrony powietrza dla województwa małopolskiego, przyjętego w dniu 28 września 2020 r. u</w:t>
            </w:r>
            <w:r w:rsidR="007F2C37" w:rsidRPr="00B4457A">
              <w:rPr>
                <w:rFonts w:ascii="Times New Roman" w:hAnsi="Times New Roman" w:cs="Times New Roman"/>
              </w:rPr>
              <w:t>chwał</w:t>
            </w:r>
            <w:r w:rsidR="00F323AD" w:rsidRPr="00B4457A">
              <w:rPr>
                <w:rFonts w:ascii="Times New Roman" w:hAnsi="Times New Roman" w:cs="Times New Roman"/>
              </w:rPr>
              <w:t>ą</w:t>
            </w:r>
            <w:r w:rsidR="007F2C37" w:rsidRPr="00B4457A">
              <w:rPr>
                <w:rFonts w:ascii="Times New Roman" w:hAnsi="Times New Roman" w:cs="Times New Roman"/>
              </w:rPr>
              <w:t xml:space="preserve"> Nr XXV/373/20 Sejmiku Województwa Małopolskiego</w:t>
            </w:r>
            <w:r w:rsidR="00F323AD" w:rsidRPr="00B4457A">
              <w:rPr>
                <w:rFonts w:ascii="Times New Roman" w:hAnsi="Times New Roman" w:cs="Times New Roman"/>
              </w:rPr>
              <w:t xml:space="preserve">, </w:t>
            </w:r>
            <w:r w:rsidR="00FF254A" w:rsidRPr="00B4457A">
              <w:rPr>
                <w:rFonts w:ascii="Times New Roman" w:hAnsi="Times New Roman" w:cs="Times New Roman"/>
              </w:rPr>
              <w:t>określono na</w:t>
            </w:r>
            <w:r w:rsidR="00F323AD" w:rsidRPr="00B4457A">
              <w:rPr>
                <w:rFonts w:ascii="Times New Roman" w:hAnsi="Times New Roman" w:cs="Times New Roman"/>
              </w:rPr>
              <w:t xml:space="preserve"> 2 199,6 mln zł. W</w:t>
            </w:r>
            <w:r w:rsidR="009E2177" w:rsidRPr="00B4457A">
              <w:rPr>
                <w:rFonts w:ascii="Times New Roman" w:hAnsi="Times New Roman" w:cs="Times New Roman"/>
              </w:rPr>
              <w:t> </w:t>
            </w:r>
            <w:r w:rsidR="00F323AD" w:rsidRPr="00B4457A">
              <w:rPr>
                <w:rFonts w:ascii="Times New Roman" w:hAnsi="Times New Roman" w:cs="Times New Roman"/>
              </w:rPr>
              <w:t xml:space="preserve">ramach tego samego programu, w sakli całego województwa, koszt zadania polegającego na termomodernizacji budynków oraz </w:t>
            </w:r>
            <w:r w:rsidR="00FF254A" w:rsidRPr="00B4457A">
              <w:rPr>
                <w:rFonts w:ascii="Times New Roman" w:hAnsi="Times New Roman" w:cs="Times New Roman"/>
              </w:rPr>
              <w:t xml:space="preserve">wspieraniu </w:t>
            </w:r>
            <w:r w:rsidR="00F323AD" w:rsidRPr="00B4457A">
              <w:rPr>
                <w:rFonts w:ascii="Times New Roman" w:hAnsi="Times New Roman" w:cs="Times New Roman"/>
              </w:rPr>
              <w:t xml:space="preserve">budownictwa energooszczędnego w budownictwie mieszkaniowym do 2023 r. oszacowano na poziomie 5,4 mln zł, koszt termomodernizacji budynków oraz wspieranie budownictwa energooszczędnego w obiektach użyteczności publicznej do końca 2023 r. oszacowano </w:t>
            </w:r>
            <w:r w:rsidR="009E2177" w:rsidRPr="00B4457A">
              <w:rPr>
                <w:rFonts w:ascii="Times New Roman" w:hAnsi="Times New Roman" w:cs="Times New Roman"/>
              </w:rPr>
              <w:t xml:space="preserve">następująco: </w:t>
            </w:r>
            <w:r w:rsidR="00F323AD" w:rsidRPr="00B4457A">
              <w:rPr>
                <w:rFonts w:ascii="Times New Roman" w:hAnsi="Times New Roman" w:cs="Times New Roman"/>
              </w:rPr>
              <w:t>Aglomeracj</w:t>
            </w:r>
            <w:r w:rsidR="009E2177" w:rsidRPr="00B4457A">
              <w:rPr>
                <w:rFonts w:ascii="Times New Roman" w:hAnsi="Times New Roman" w:cs="Times New Roman"/>
              </w:rPr>
              <w:t>a</w:t>
            </w:r>
            <w:r w:rsidR="00F323AD" w:rsidRPr="00B4457A">
              <w:rPr>
                <w:rFonts w:ascii="Times New Roman" w:hAnsi="Times New Roman" w:cs="Times New Roman"/>
              </w:rPr>
              <w:t xml:space="preserve"> Krakowsk</w:t>
            </w:r>
            <w:r w:rsidR="009E2177" w:rsidRPr="00B4457A">
              <w:rPr>
                <w:rFonts w:ascii="Times New Roman" w:hAnsi="Times New Roman" w:cs="Times New Roman"/>
              </w:rPr>
              <w:t>a -</w:t>
            </w:r>
            <w:r w:rsidR="00F323AD" w:rsidRPr="00B4457A">
              <w:rPr>
                <w:rFonts w:ascii="Times New Roman" w:hAnsi="Times New Roman" w:cs="Times New Roman"/>
              </w:rPr>
              <w:t xml:space="preserve"> 30 mln zł; Tarnów</w:t>
            </w:r>
            <w:r w:rsidR="009E2177" w:rsidRPr="00B4457A">
              <w:rPr>
                <w:rFonts w:ascii="Times New Roman" w:hAnsi="Times New Roman" w:cs="Times New Roman"/>
              </w:rPr>
              <w:t xml:space="preserve"> -</w:t>
            </w:r>
            <w:r w:rsidR="00F323AD" w:rsidRPr="00B4457A">
              <w:rPr>
                <w:rFonts w:ascii="Times New Roman" w:hAnsi="Times New Roman" w:cs="Times New Roman"/>
              </w:rPr>
              <w:t xml:space="preserve"> 20 mln zł; </w:t>
            </w:r>
            <w:r w:rsidR="009E2177" w:rsidRPr="00B4457A">
              <w:rPr>
                <w:rFonts w:ascii="Times New Roman" w:hAnsi="Times New Roman" w:cs="Times New Roman"/>
              </w:rPr>
              <w:t>s</w:t>
            </w:r>
            <w:r w:rsidR="00F323AD" w:rsidRPr="00B4457A">
              <w:rPr>
                <w:rFonts w:ascii="Times New Roman" w:hAnsi="Times New Roman" w:cs="Times New Roman"/>
              </w:rPr>
              <w:t>trefa małopolska</w:t>
            </w:r>
            <w:r w:rsidR="009E2177" w:rsidRPr="00B4457A">
              <w:rPr>
                <w:rFonts w:ascii="Times New Roman" w:hAnsi="Times New Roman" w:cs="Times New Roman"/>
              </w:rPr>
              <w:t xml:space="preserve"> -</w:t>
            </w:r>
            <w:r w:rsidR="00F323AD" w:rsidRPr="00B4457A">
              <w:rPr>
                <w:rFonts w:ascii="Times New Roman" w:hAnsi="Times New Roman" w:cs="Times New Roman"/>
              </w:rPr>
              <w:t xml:space="preserve"> 300 mln zł (2 mln zł szacunkowe koszty realizacji działań termomodernizacyjnych dla gminy)</w:t>
            </w:r>
            <w:r w:rsidR="009E2177" w:rsidRPr="00B445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79CD51F" w14:textId="0FF2685B" w:rsidR="00091E88" w:rsidRPr="00B4457A" w:rsidRDefault="003362DB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lastRenderedPageBreak/>
        <w:t>Wprowadza się mechanizm korygujący</w:t>
      </w:r>
      <w:r w:rsidR="00DC5880" w:rsidRPr="00B4457A">
        <w:rPr>
          <w:rFonts w:ascii="Times New Roman" w:hAnsi="Times New Roman" w:cs="Times New Roman"/>
        </w:rPr>
        <w:t>, który należy wdrożyć w przypadku przekroczenia lub ryzyka przekroczenia przyjętego na dany rok budżetowy maksymalnego limitu wydatków. N</w:t>
      </w:r>
      <w:r w:rsidR="00091E88" w:rsidRPr="00B4457A">
        <w:rPr>
          <w:rFonts w:ascii="Times New Roman" w:hAnsi="Times New Roman" w:cs="Times New Roman"/>
        </w:rPr>
        <w:t>adzór nad monitoringiem limitu wydatków oraz wdrażania mechanizmu korygującego został powierzony ministrowi właściwemu do spraw klimatu</w:t>
      </w:r>
      <w:r w:rsidR="00D81A59" w:rsidRPr="00B4457A">
        <w:rPr>
          <w:rFonts w:ascii="Times New Roman" w:hAnsi="Times New Roman" w:cs="Times New Roman"/>
        </w:rPr>
        <w:t>.</w:t>
      </w:r>
    </w:p>
    <w:p w14:paraId="15FF73C4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6A8BADC" w14:textId="6555BA4E" w:rsidR="00F94F1C" w:rsidRDefault="005B1C50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3</w:t>
      </w:r>
    </w:p>
    <w:p w14:paraId="24D92EE9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2157764" w14:textId="0AC25D28" w:rsidR="005B1C50" w:rsidRPr="00B4457A" w:rsidRDefault="00FF254A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ustawy, w art. 3 -  który nadaje nowe brzmienie art. 39 ustawy z dnia 11 lipca 2014 r. o zmianie ustawy - Prawo ochrony środowiska oraz niektórych innych ustaw - p</w:t>
      </w:r>
      <w:r w:rsidR="005B1C50" w:rsidRPr="00B4457A">
        <w:rPr>
          <w:rFonts w:ascii="Times New Roman" w:hAnsi="Times New Roman" w:cs="Times New Roman"/>
        </w:rPr>
        <w:t xml:space="preserve">roponuje się utrzymanie maksymalnego limitu wydatków z budżetu państwa przeznaczonych na realizację zadań </w:t>
      </w:r>
      <w:r w:rsidRPr="00B4457A">
        <w:rPr>
          <w:rFonts w:ascii="Times New Roman" w:hAnsi="Times New Roman" w:cs="Times New Roman"/>
        </w:rPr>
        <w:t xml:space="preserve">wynikających z ww. ustawy  z dnia 11 lipca 2014 r. </w:t>
      </w:r>
      <w:r w:rsidR="005B1C50" w:rsidRPr="00B4457A">
        <w:rPr>
          <w:rFonts w:ascii="Times New Roman" w:hAnsi="Times New Roman" w:cs="Times New Roman"/>
        </w:rPr>
        <w:t xml:space="preserve">przez </w:t>
      </w:r>
      <w:r w:rsidR="00091E88" w:rsidRPr="00B4457A">
        <w:rPr>
          <w:rFonts w:ascii="Times New Roman" w:hAnsi="Times New Roman" w:cs="Times New Roman"/>
        </w:rPr>
        <w:t>Inspekcję Ochrony Środowiska, Inspekcję Handlową, nadzór budowlany oraz Urząd Regulacji Energetyki na tym samym poziomie, jak w ustawie z dnia 11 lipca 2014 r.</w:t>
      </w:r>
      <w:r w:rsidRPr="00B4457A">
        <w:rPr>
          <w:rFonts w:ascii="Times New Roman" w:hAnsi="Times New Roman" w:cs="Times New Roman"/>
        </w:rPr>
        <w:t xml:space="preserve">, </w:t>
      </w:r>
      <w:r w:rsidR="00091E88" w:rsidRPr="00B4457A">
        <w:rPr>
          <w:rFonts w:ascii="Times New Roman" w:hAnsi="Times New Roman" w:cs="Times New Roman"/>
        </w:rPr>
        <w:t>, na kolejne 10 lat, tj. lata 2024-2033.</w:t>
      </w:r>
    </w:p>
    <w:p w14:paraId="75EB5884" w14:textId="4306C469" w:rsidR="006E5E65" w:rsidRPr="00B4457A" w:rsidRDefault="00340DF1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bookmarkStart w:id="0" w:name="_Hlk57231635"/>
      <w:r w:rsidRPr="00B4457A">
        <w:rPr>
          <w:rFonts w:ascii="Times New Roman" w:hAnsi="Times New Roman" w:cs="Times New Roman"/>
        </w:rPr>
        <w:t xml:space="preserve">Zadania związane z monitorowaniem </w:t>
      </w:r>
      <w:r w:rsidR="005B1C50" w:rsidRPr="00B4457A">
        <w:rPr>
          <w:rFonts w:ascii="Times New Roman" w:hAnsi="Times New Roman" w:cs="Times New Roman"/>
        </w:rPr>
        <w:t xml:space="preserve">limitu wydatków oraz </w:t>
      </w:r>
      <w:r w:rsidR="00A077BD" w:rsidRPr="00B4457A">
        <w:rPr>
          <w:rFonts w:ascii="Times New Roman" w:hAnsi="Times New Roman" w:cs="Times New Roman"/>
        </w:rPr>
        <w:t>wdrażanie</w:t>
      </w:r>
      <w:r w:rsidRPr="00B4457A">
        <w:rPr>
          <w:rFonts w:ascii="Times New Roman" w:hAnsi="Times New Roman" w:cs="Times New Roman"/>
        </w:rPr>
        <w:t>m</w:t>
      </w:r>
      <w:r w:rsidR="00A077BD" w:rsidRPr="00B4457A">
        <w:rPr>
          <w:rFonts w:ascii="Times New Roman" w:hAnsi="Times New Roman" w:cs="Times New Roman"/>
        </w:rPr>
        <w:t xml:space="preserve"> </w:t>
      </w:r>
      <w:r w:rsidR="005B1C50" w:rsidRPr="00B4457A">
        <w:rPr>
          <w:rFonts w:ascii="Times New Roman" w:hAnsi="Times New Roman" w:cs="Times New Roman"/>
        </w:rPr>
        <w:t xml:space="preserve">mechanizmu korygującego zostały powierzone ministrowi właściwemu do spraw </w:t>
      </w:r>
      <w:r w:rsidR="00091E88" w:rsidRPr="00B4457A">
        <w:rPr>
          <w:rFonts w:ascii="Times New Roman" w:hAnsi="Times New Roman" w:cs="Times New Roman"/>
        </w:rPr>
        <w:t xml:space="preserve">klimatu, </w:t>
      </w:r>
      <w:r w:rsidR="00091E88" w:rsidRPr="00B4457A">
        <w:rPr>
          <w:rFonts w:ascii="Times New Roman" w:eastAsia="SimSun" w:hAnsi="Times New Roman" w:cs="Times New Roman"/>
          <w:lang w:eastAsia="pl-PL"/>
        </w:rPr>
        <w:t>Prezesowi Urzędu Ochrony Konkurencji i Konsumentów, ministrowi właściwemu do spraw budownictwa oraz ministrowi właściwemu do spraw finansów publicznych</w:t>
      </w:r>
      <w:r w:rsidR="005B1C50" w:rsidRPr="00B4457A">
        <w:rPr>
          <w:rFonts w:ascii="Times New Roman" w:hAnsi="Times New Roman" w:cs="Times New Roman"/>
        </w:rPr>
        <w:t>.</w:t>
      </w:r>
      <w:bookmarkEnd w:id="0"/>
    </w:p>
    <w:p w14:paraId="256F4DE0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CD71735" w14:textId="5D13B790" w:rsidR="00F94F1C" w:rsidRDefault="00CB6C88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4</w:t>
      </w:r>
    </w:p>
    <w:p w14:paraId="58760660" w14:textId="77777777" w:rsidR="00B4457A" w:rsidRP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E0D810" w14:textId="21A9588F" w:rsidR="00776379" w:rsidRPr="00B4457A" w:rsidRDefault="00776379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ustawy, w ramach dodawanego art. 4, wprowadzone zostaną zmiany do ustawy z dnia 21 listopada 20</w:t>
      </w:r>
      <w:r w:rsidR="00FB64B7" w:rsidRPr="00B4457A">
        <w:rPr>
          <w:rFonts w:ascii="Times New Roman" w:hAnsi="Times New Roman" w:cs="Times New Roman"/>
        </w:rPr>
        <w:t>08</w:t>
      </w:r>
      <w:r w:rsidRPr="00B4457A">
        <w:rPr>
          <w:rFonts w:ascii="Times New Roman" w:hAnsi="Times New Roman" w:cs="Times New Roman"/>
        </w:rPr>
        <w:t xml:space="preserve"> r. </w:t>
      </w:r>
      <w:bookmarkStart w:id="1" w:name="_Hlk58775470"/>
      <w:r w:rsidRPr="00B4457A">
        <w:rPr>
          <w:rFonts w:ascii="Times New Roman" w:hAnsi="Times New Roman" w:cs="Times New Roman"/>
          <w:i/>
          <w:iCs/>
        </w:rPr>
        <w:t>o wspieraniu termomodernizacji i remontów</w:t>
      </w:r>
      <w:bookmarkEnd w:id="1"/>
      <w:r w:rsidR="00FB64B7" w:rsidRPr="00B4457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B64B7" w:rsidRPr="00B4457A">
        <w:rPr>
          <w:rFonts w:ascii="Times New Roman" w:hAnsi="Times New Roman" w:cs="Times New Roman"/>
          <w:i/>
          <w:iCs/>
        </w:rPr>
        <w:t>oraz o centralnej ewidencji emisyjności budynków</w:t>
      </w:r>
      <w:r w:rsidRPr="00B4457A">
        <w:rPr>
          <w:rFonts w:ascii="Times New Roman" w:hAnsi="Times New Roman" w:cs="Times New Roman"/>
        </w:rPr>
        <w:t>, w zakresie dotyczącym przedsięwzięć niskoemisyjnych (programu „Stop Smog”)</w:t>
      </w:r>
      <w:r w:rsidR="00761ACF" w:rsidRPr="00B4457A">
        <w:rPr>
          <w:rFonts w:ascii="Times New Roman" w:hAnsi="Times New Roman" w:cs="Times New Roman"/>
        </w:rPr>
        <w:t>. Podkreślić należy, że u</w:t>
      </w:r>
      <w:r w:rsidRPr="00B4457A">
        <w:rPr>
          <w:rFonts w:ascii="Times New Roman" w:hAnsi="Times New Roman" w:cs="Times New Roman"/>
        </w:rPr>
        <w:t xml:space="preserve">stawa z dnia 28 października 2020 r. </w:t>
      </w:r>
      <w:r w:rsidRPr="00B4457A">
        <w:rPr>
          <w:rFonts w:ascii="Times New Roman" w:hAnsi="Times New Roman" w:cs="Times New Roman"/>
          <w:i/>
          <w:iCs/>
        </w:rPr>
        <w:t>o zmianie ustawy o wspieraniu termomodernizacji i remontów oraz niektórych innych ustaw</w:t>
      </w:r>
      <w:r w:rsidRPr="00B4457A">
        <w:rPr>
          <w:rFonts w:ascii="Times New Roman" w:hAnsi="Times New Roman" w:cs="Times New Roman"/>
        </w:rPr>
        <w:t xml:space="preserve"> wprowadziła szereg zmian w</w:t>
      </w:r>
      <w:r w:rsidR="00761ACF" w:rsidRPr="00B4457A">
        <w:rPr>
          <w:rFonts w:ascii="Times New Roman" w:hAnsi="Times New Roman" w:cs="Times New Roman"/>
        </w:rPr>
        <w:t xml:space="preserve"> ustawie </w:t>
      </w:r>
      <w:r w:rsidR="00761ACF" w:rsidRPr="00B4457A">
        <w:rPr>
          <w:rFonts w:ascii="Times New Roman" w:hAnsi="Times New Roman" w:cs="Times New Roman"/>
          <w:i/>
          <w:iCs/>
        </w:rPr>
        <w:t>o wspieraniu termomodernizacji i remontów</w:t>
      </w:r>
      <w:r w:rsidRPr="00B4457A">
        <w:rPr>
          <w:rFonts w:ascii="Times New Roman" w:hAnsi="Times New Roman" w:cs="Times New Roman"/>
        </w:rPr>
        <w:t>. Niektóre konsekwencje tych zmian nie zostały odzwierciedlone w nienowelizowanych przepisach tej ustawy poprzez korekty odesłań (tj. w art. 11c ust. 5 pkt 8 oraz w art. 11d ust. 3 pkt 8, ust. 4, 5 i 11</w:t>
      </w:r>
      <w:r w:rsidR="00BA1C07" w:rsidRPr="00B4457A">
        <w:rPr>
          <w:rFonts w:ascii="Times New Roman" w:hAnsi="Times New Roman" w:cs="Times New Roman"/>
        </w:rPr>
        <w:t>)</w:t>
      </w:r>
      <w:r w:rsidRPr="00B4457A">
        <w:rPr>
          <w:rFonts w:ascii="Times New Roman" w:hAnsi="Times New Roman" w:cs="Times New Roman"/>
        </w:rPr>
        <w:t>.</w:t>
      </w:r>
    </w:p>
    <w:p w14:paraId="18EC1485" w14:textId="57784022" w:rsidR="00FB64B7" w:rsidRPr="00B4457A" w:rsidRDefault="00FB64B7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lastRenderedPageBreak/>
        <w:t xml:space="preserve">Dodatkowo ustawa wprowadza zmianę organu właściwego do wydawania decyzji, o których mowa </w:t>
      </w:r>
      <w:r w:rsidR="00BA1C07" w:rsidRPr="00B4457A">
        <w:rPr>
          <w:rFonts w:ascii="Times New Roman" w:hAnsi="Times New Roman" w:cs="Times New Roman"/>
        </w:rPr>
        <w:t>w art. 22c ust. 5a</w:t>
      </w:r>
      <w:r w:rsidR="00A40EB9" w:rsidRPr="00B4457A">
        <w:rPr>
          <w:rFonts w:ascii="Times New Roman" w:hAnsi="Times New Roman" w:cs="Times New Roman"/>
        </w:rPr>
        <w:t xml:space="preserve"> wskazując </w:t>
      </w:r>
      <w:r w:rsidR="000E604F" w:rsidRPr="00B4457A">
        <w:rPr>
          <w:rFonts w:ascii="Times New Roman" w:hAnsi="Times New Roman" w:cs="Times New Roman"/>
        </w:rPr>
        <w:t xml:space="preserve">bezpośrednio </w:t>
      </w:r>
      <w:r w:rsidR="00A40EB9" w:rsidRPr="00B4457A">
        <w:rPr>
          <w:rFonts w:ascii="Times New Roman" w:hAnsi="Times New Roman" w:cs="Times New Roman"/>
        </w:rPr>
        <w:t xml:space="preserve">Prezesa </w:t>
      </w:r>
      <w:r w:rsidR="00A3548E" w:rsidRPr="00B4457A">
        <w:rPr>
          <w:rFonts w:ascii="Times New Roman" w:hAnsi="Times New Roman" w:cs="Times New Roman"/>
        </w:rPr>
        <w:t xml:space="preserve">Zarządu </w:t>
      </w:r>
      <w:r w:rsidR="00A40EB9" w:rsidRPr="00B4457A">
        <w:rPr>
          <w:rFonts w:ascii="Times New Roman" w:hAnsi="Times New Roman" w:cs="Times New Roman"/>
        </w:rPr>
        <w:t>Narodowego Funduszu</w:t>
      </w:r>
      <w:r w:rsidR="00D01746" w:rsidRPr="00B4457A">
        <w:rPr>
          <w:rFonts w:ascii="Times New Roman" w:hAnsi="Times New Roman" w:cs="Times New Roman"/>
        </w:rPr>
        <w:t xml:space="preserve"> Ochrony Środowiska i Gospodarki Wodnej</w:t>
      </w:r>
      <w:r w:rsidR="00A40EB9" w:rsidRPr="00B4457A">
        <w:rPr>
          <w:rFonts w:ascii="Times New Roman" w:hAnsi="Times New Roman" w:cs="Times New Roman"/>
        </w:rPr>
        <w:t xml:space="preserve"> jako organ</w:t>
      </w:r>
      <w:r w:rsidR="007218FB" w:rsidRPr="00B4457A">
        <w:rPr>
          <w:rFonts w:ascii="Times New Roman" w:hAnsi="Times New Roman" w:cs="Times New Roman"/>
        </w:rPr>
        <w:t>u właściwego</w:t>
      </w:r>
      <w:r w:rsidR="00A40EB9" w:rsidRPr="00B4457A">
        <w:rPr>
          <w:rFonts w:ascii="Times New Roman" w:hAnsi="Times New Roman" w:cs="Times New Roman"/>
        </w:rPr>
        <w:t xml:space="preserve"> do wydawania decyzji o których mowa w ust. 1 pkt 2.</w:t>
      </w:r>
    </w:p>
    <w:p w14:paraId="1CAAF067" w14:textId="6103FE10" w:rsidR="001D384F" w:rsidRPr="00B4457A" w:rsidRDefault="001D384F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Koniecznym było także doprecyzowanie</w:t>
      </w:r>
      <w:r w:rsidR="00A40EB9" w:rsidRPr="00B4457A">
        <w:rPr>
          <w:rFonts w:ascii="Times New Roman" w:hAnsi="Times New Roman" w:cs="Times New Roman"/>
        </w:rPr>
        <w:t xml:space="preserve"> przepisów</w:t>
      </w:r>
      <w:r w:rsidR="00CC030E" w:rsidRPr="00B4457A">
        <w:rPr>
          <w:rFonts w:ascii="Times New Roman" w:hAnsi="Times New Roman" w:cs="Times New Roman"/>
        </w:rPr>
        <w:t>,</w:t>
      </w:r>
      <w:r w:rsidR="00A40EB9" w:rsidRPr="00B4457A">
        <w:rPr>
          <w:rFonts w:ascii="Times New Roman" w:hAnsi="Times New Roman" w:cs="Times New Roman"/>
        </w:rPr>
        <w:t xml:space="preserve"> na podstawie których wydawana jest decyzja dotycząca zwrotu środków, o których mowa w art. 22c ust. 1 pkt 2 ustawy, w sytuacjach określonych z art. 22c ust. 3 ustawy</w:t>
      </w:r>
      <w:r w:rsidRPr="00B4457A">
        <w:rPr>
          <w:rFonts w:ascii="Times New Roman" w:hAnsi="Times New Roman" w:cs="Times New Roman"/>
        </w:rPr>
        <w:t xml:space="preserve"> (ust. 5c)</w:t>
      </w:r>
      <w:r w:rsidR="00506EDC" w:rsidRPr="00B4457A">
        <w:rPr>
          <w:rFonts w:ascii="Times New Roman" w:hAnsi="Times New Roman" w:cs="Times New Roman"/>
        </w:rPr>
        <w:t>.</w:t>
      </w:r>
    </w:p>
    <w:p w14:paraId="115B3127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845459" w14:textId="42DF7368" w:rsidR="00776379" w:rsidRPr="00B4457A" w:rsidRDefault="00776379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>Art. 5</w:t>
      </w:r>
      <w:r w:rsidR="00FE6A3A" w:rsidRPr="00B4457A">
        <w:rPr>
          <w:rFonts w:ascii="Times New Roman" w:hAnsi="Times New Roman" w:cs="Times New Roman"/>
          <w:b/>
          <w:bCs/>
        </w:rPr>
        <w:t>-8</w:t>
      </w:r>
    </w:p>
    <w:p w14:paraId="3752A0B2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B9D968" w14:textId="72796CDF" w:rsidR="00FE6A3A" w:rsidRPr="00B4457A" w:rsidRDefault="00FE6A3A" w:rsidP="00B4457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457A">
        <w:rPr>
          <w:rFonts w:ascii="Times New Roman" w:hAnsi="Times New Roman" w:cs="Times New Roman"/>
        </w:rPr>
        <w:t>W projekcie ustawy przewidziano przepisy przejściowe regulujące kwestie intertemporalne związane z wejściem w życie ustawy.</w:t>
      </w:r>
    </w:p>
    <w:p w14:paraId="26487592" w14:textId="77777777" w:rsidR="00B4457A" w:rsidRDefault="00B4457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4AA504" w14:textId="77EBA5E7" w:rsidR="00FE6A3A" w:rsidRPr="00B4457A" w:rsidRDefault="00FE6A3A" w:rsidP="00B4457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4457A">
        <w:rPr>
          <w:rFonts w:ascii="Times New Roman" w:hAnsi="Times New Roman" w:cs="Times New Roman"/>
          <w:b/>
          <w:bCs/>
        </w:rPr>
        <w:t xml:space="preserve">Art. 9 </w:t>
      </w:r>
    </w:p>
    <w:p w14:paraId="2CB10B6A" w14:textId="77777777" w:rsidR="00B4457A" w:rsidRDefault="00B4457A" w:rsidP="00B4457A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1FDDDF7D" w14:textId="3202B39B" w:rsidR="00DF0F9A" w:rsidRPr="00B4457A" w:rsidRDefault="00F94F1C" w:rsidP="00B4457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Zgodnie z projektem ustawy, ustawa wchodzi w życie po upływie 14 dni od dnia jej ogłoszenia.</w:t>
      </w:r>
      <w:r w:rsidR="00CB6C88" w:rsidRPr="00B4457A">
        <w:rPr>
          <w:rFonts w:ascii="Times New Roman" w:eastAsia="Calibri" w:hAnsi="Times New Roman" w:cs="Times New Roman"/>
          <w:lang w:eastAsia="ar-SA"/>
        </w:rPr>
        <w:t xml:space="preserve"> Wyjątek stanowią przepisy</w:t>
      </w:r>
      <w:r w:rsidR="00DF0F9A" w:rsidRPr="00B4457A">
        <w:rPr>
          <w:rFonts w:ascii="Times New Roman" w:eastAsia="Calibri" w:hAnsi="Times New Roman" w:cs="Times New Roman"/>
          <w:lang w:eastAsia="ar-SA"/>
        </w:rPr>
        <w:t>:</w:t>
      </w:r>
    </w:p>
    <w:p w14:paraId="4FCE6E9C" w14:textId="7A568E9E" w:rsidR="00DF0F9A" w:rsidRPr="00B4457A" w:rsidRDefault="00DF0F9A" w:rsidP="00B4457A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art. 1 pkt 1</w:t>
      </w:r>
      <w:r w:rsidR="004C4390" w:rsidRPr="00B4457A">
        <w:rPr>
          <w:rFonts w:ascii="Times New Roman" w:eastAsia="Calibri" w:hAnsi="Times New Roman" w:cs="Times New Roman"/>
          <w:lang w:eastAsia="ar-SA"/>
        </w:rPr>
        <w:t xml:space="preserve"> i art. 6</w:t>
      </w:r>
      <w:r w:rsidRPr="00B4457A">
        <w:rPr>
          <w:rFonts w:ascii="Times New Roman" w:eastAsia="Calibri" w:hAnsi="Times New Roman" w:cs="Times New Roman"/>
          <w:lang w:eastAsia="ar-SA"/>
        </w:rPr>
        <w:t xml:space="preserve">, które wejdą w życie </w:t>
      </w:r>
      <w:r w:rsidR="00952F09" w:rsidRPr="00B4457A">
        <w:rPr>
          <w:rFonts w:ascii="Times New Roman" w:eastAsia="Calibri" w:hAnsi="Times New Roman" w:cs="Times New Roman"/>
          <w:lang w:eastAsia="ar-SA"/>
        </w:rPr>
        <w:t>z dniem</w:t>
      </w:r>
      <w:r w:rsidRPr="00B4457A">
        <w:rPr>
          <w:rFonts w:ascii="Times New Roman" w:eastAsia="Calibri" w:hAnsi="Times New Roman" w:cs="Times New Roman"/>
          <w:lang w:eastAsia="ar-SA"/>
        </w:rPr>
        <w:t xml:space="preserve">  następującym po </w:t>
      </w:r>
      <w:r w:rsidR="00952F09" w:rsidRPr="00B4457A">
        <w:rPr>
          <w:rFonts w:ascii="Times New Roman" w:eastAsia="Calibri" w:hAnsi="Times New Roman" w:cs="Times New Roman"/>
          <w:lang w:eastAsia="ar-SA"/>
        </w:rPr>
        <w:t xml:space="preserve">dniu </w:t>
      </w:r>
      <w:r w:rsidRPr="00B4457A">
        <w:rPr>
          <w:rFonts w:ascii="Times New Roman" w:eastAsia="Calibri" w:hAnsi="Times New Roman" w:cs="Times New Roman"/>
          <w:lang w:eastAsia="ar-SA"/>
        </w:rPr>
        <w:t>ogłoszeni</w:t>
      </w:r>
      <w:r w:rsidR="00952F09" w:rsidRPr="00B4457A">
        <w:rPr>
          <w:rFonts w:ascii="Times New Roman" w:eastAsia="Calibri" w:hAnsi="Times New Roman" w:cs="Times New Roman"/>
          <w:lang w:eastAsia="ar-SA"/>
        </w:rPr>
        <w:t>a</w:t>
      </w:r>
      <w:r w:rsidRPr="00B4457A">
        <w:rPr>
          <w:rFonts w:ascii="Times New Roman" w:eastAsia="Calibri" w:hAnsi="Times New Roman" w:cs="Times New Roman"/>
          <w:lang w:eastAsia="ar-SA"/>
        </w:rPr>
        <w:t>, ze względu na konieczność przeprowadzenia oceny jakości powietrza za 202</w:t>
      </w:r>
      <w:r w:rsidR="00952F09" w:rsidRPr="00B4457A">
        <w:rPr>
          <w:rFonts w:ascii="Times New Roman" w:eastAsia="Calibri" w:hAnsi="Times New Roman" w:cs="Times New Roman"/>
          <w:lang w:eastAsia="ar-SA"/>
        </w:rPr>
        <w:t>1</w:t>
      </w:r>
      <w:r w:rsidRPr="00B4457A">
        <w:rPr>
          <w:rFonts w:ascii="Times New Roman" w:eastAsia="Calibri" w:hAnsi="Times New Roman" w:cs="Times New Roman"/>
          <w:lang w:eastAsia="ar-SA"/>
        </w:rPr>
        <w:t xml:space="preserve"> r. w nowym układzie stref, z uwzględnieniem zmiany klasyfikacji miasta Legnicy z strefy miasta powyżej 100 tysięcy mieszkańców na uwzględnienie go w strefie dolnośląskiej,</w:t>
      </w:r>
    </w:p>
    <w:p w14:paraId="565069B9" w14:textId="7D82256C" w:rsidR="00DF0F9A" w:rsidRPr="00B4457A" w:rsidRDefault="00CB6C88" w:rsidP="00B4457A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B4457A">
        <w:rPr>
          <w:rFonts w:ascii="Times New Roman" w:eastAsia="Calibri" w:hAnsi="Times New Roman" w:cs="Times New Roman"/>
          <w:lang w:eastAsia="ar-SA"/>
        </w:rPr>
        <w:t>art. 2, które wejdą w życie z dniem 1 stycznia 2022 r.</w:t>
      </w:r>
      <w:r w:rsidR="00DF0F9A" w:rsidRPr="00B4457A">
        <w:rPr>
          <w:rFonts w:ascii="Times New Roman" w:eastAsia="Calibri" w:hAnsi="Times New Roman" w:cs="Times New Roman"/>
          <w:lang w:eastAsia="ar-SA"/>
        </w:rPr>
        <w:t>,</w:t>
      </w:r>
    </w:p>
    <w:p w14:paraId="02A2056E" w14:textId="2B5A476A" w:rsidR="00F94F1C" w:rsidRPr="00B4457A" w:rsidRDefault="00B4457A" w:rsidP="00B4457A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a</w:t>
      </w:r>
      <w:r w:rsidR="00CB6C88" w:rsidRPr="00B4457A">
        <w:rPr>
          <w:rFonts w:ascii="Times New Roman" w:eastAsia="Calibri" w:hAnsi="Times New Roman" w:cs="Times New Roman"/>
          <w:lang w:eastAsia="ar-SA"/>
        </w:rPr>
        <w:t xml:space="preserve">rt. 3, które wejdą w życie z dniem 1 stycznia 2024 r. </w:t>
      </w:r>
    </w:p>
    <w:p w14:paraId="52A2024F" w14:textId="77777777" w:rsidR="006E5E65" w:rsidRPr="00B4457A" w:rsidRDefault="006E5E65" w:rsidP="00B4457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8EA38AA" w14:textId="77777777" w:rsidR="00F94F1C" w:rsidRPr="00B4457A" w:rsidRDefault="00F94F1C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>Projekt ustawy nie wpływa na działalność mikro, małych i średnich przedsiębiorców.</w:t>
      </w:r>
    </w:p>
    <w:p w14:paraId="4E09E299" w14:textId="77777777" w:rsidR="00F94F1C" w:rsidRPr="00B4457A" w:rsidRDefault="00F94F1C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 xml:space="preserve">Projekt ustawy nie zawiera przepisów technicznych w rozumieniu rozporządzenia Rady Ministrów z dnia 23 grudnia 2002 r. </w:t>
      </w:r>
      <w:r w:rsidRPr="00B4457A">
        <w:rPr>
          <w:rFonts w:ascii="Times New Roman" w:eastAsia="Times New Roman" w:hAnsi="Times New Roman" w:cs="Times New Roman"/>
          <w:bCs/>
          <w:i/>
          <w:iCs/>
          <w:lang w:eastAsia="pl-PL"/>
        </w:rPr>
        <w:t>w sprawie sposobu funkcjonowania krajowego systemu notyfikacji norm i aktów prawnych</w:t>
      </w:r>
      <w:r w:rsidRPr="00B4457A">
        <w:rPr>
          <w:rFonts w:ascii="Times New Roman" w:eastAsia="Times New Roman" w:hAnsi="Times New Roman" w:cs="Times New Roman"/>
          <w:bCs/>
          <w:lang w:eastAsia="pl-PL"/>
        </w:rPr>
        <w:t xml:space="preserve"> (Dz. U. poz. 2039 oraz z 2004 r. poz. 597) i nie podlega notyfikacji Komisji Europejskiej.</w:t>
      </w:r>
    </w:p>
    <w:p w14:paraId="6C46EB3C" w14:textId="77777777" w:rsidR="00F94F1C" w:rsidRPr="00B4457A" w:rsidRDefault="00F94F1C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>Projekt ustawy nie będzie podlegał opiniowaniu, konsultacjom ani uzgodnieniom z</w:t>
      </w:r>
      <w:r w:rsidR="00CB6C88" w:rsidRPr="00B4457A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4457A">
        <w:rPr>
          <w:rFonts w:ascii="Times New Roman" w:eastAsia="Times New Roman" w:hAnsi="Times New Roman" w:cs="Times New Roman"/>
          <w:bCs/>
          <w:lang w:eastAsia="pl-PL"/>
        </w:rPr>
        <w:t>organami i</w:t>
      </w:r>
      <w:r w:rsidR="00170C5D" w:rsidRPr="00B4457A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4457A">
        <w:rPr>
          <w:rFonts w:ascii="Times New Roman" w:eastAsia="Times New Roman" w:hAnsi="Times New Roman" w:cs="Times New Roman"/>
          <w:bCs/>
          <w:lang w:eastAsia="pl-PL"/>
        </w:rPr>
        <w:t>instytucjami Unii Europejskiej, w tym z Europejskim Bankiem Centralnym.</w:t>
      </w:r>
    </w:p>
    <w:p w14:paraId="5FBFED37" w14:textId="6C8EAED7" w:rsidR="00F94F1C" w:rsidRPr="00B4457A" w:rsidRDefault="00971A22" w:rsidP="00B4457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57A">
        <w:rPr>
          <w:rFonts w:ascii="Times New Roman" w:eastAsia="Times New Roman" w:hAnsi="Times New Roman" w:cs="Times New Roman"/>
          <w:bCs/>
          <w:lang w:eastAsia="pl-PL"/>
        </w:rPr>
        <w:t xml:space="preserve">Projekt </w:t>
      </w:r>
      <w:r w:rsidR="00F94F1C" w:rsidRPr="00B4457A">
        <w:rPr>
          <w:rFonts w:ascii="Times New Roman" w:eastAsia="Times New Roman" w:hAnsi="Times New Roman" w:cs="Times New Roman"/>
          <w:bCs/>
          <w:lang w:eastAsia="pl-PL"/>
        </w:rPr>
        <w:t>ustawy jest zgodny z</w:t>
      </w:r>
      <w:r w:rsidR="00CB6C88" w:rsidRPr="00B4457A">
        <w:rPr>
          <w:rFonts w:ascii="Times New Roman" w:eastAsia="Times New Roman" w:hAnsi="Times New Roman" w:cs="Times New Roman"/>
          <w:bCs/>
          <w:lang w:eastAsia="pl-PL"/>
        </w:rPr>
        <w:t> </w:t>
      </w:r>
      <w:r w:rsidR="00F94F1C" w:rsidRPr="00B4457A">
        <w:rPr>
          <w:rFonts w:ascii="Times New Roman" w:eastAsia="Times New Roman" w:hAnsi="Times New Roman" w:cs="Times New Roman"/>
          <w:bCs/>
          <w:lang w:eastAsia="pl-PL"/>
        </w:rPr>
        <w:t>prawem Unii Europejskiej.</w:t>
      </w:r>
    </w:p>
    <w:sectPr w:rsidR="00F94F1C" w:rsidRPr="00B4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EE9A" w14:textId="77777777" w:rsidR="00802D8F" w:rsidRDefault="00802D8F" w:rsidP="00F323AD">
      <w:pPr>
        <w:spacing w:after="0" w:line="240" w:lineRule="auto"/>
      </w:pPr>
      <w:r>
        <w:separator/>
      </w:r>
    </w:p>
  </w:endnote>
  <w:endnote w:type="continuationSeparator" w:id="0">
    <w:p w14:paraId="324D1DA2" w14:textId="77777777" w:rsidR="00802D8F" w:rsidRDefault="00802D8F" w:rsidP="00F3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5EB6" w14:textId="77777777" w:rsidR="00802D8F" w:rsidRDefault="00802D8F" w:rsidP="00F323AD">
      <w:pPr>
        <w:spacing w:after="0" w:line="240" w:lineRule="auto"/>
      </w:pPr>
      <w:r>
        <w:separator/>
      </w:r>
    </w:p>
  </w:footnote>
  <w:footnote w:type="continuationSeparator" w:id="0">
    <w:p w14:paraId="6DEB8D17" w14:textId="77777777" w:rsidR="00802D8F" w:rsidRDefault="00802D8F" w:rsidP="00F3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C7D"/>
    <w:multiLevelType w:val="hybridMultilevel"/>
    <w:tmpl w:val="8DD82818"/>
    <w:lvl w:ilvl="0" w:tplc="028ABB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05D"/>
    <w:multiLevelType w:val="hybridMultilevel"/>
    <w:tmpl w:val="E4BA5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406C"/>
    <w:multiLevelType w:val="hybridMultilevel"/>
    <w:tmpl w:val="670E08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F"/>
    <w:rsid w:val="00021112"/>
    <w:rsid w:val="00091E88"/>
    <w:rsid w:val="000A299E"/>
    <w:rsid w:val="000B1CF2"/>
    <w:rsid w:val="000B265B"/>
    <w:rsid w:val="000C745D"/>
    <w:rsid w:val="000E1166"/>
    <w:rsid w:val="000E604F"/>
    <w:rsid w:val="00107D9E"/>
    <w:rsid w:val="00117A15"/>
    <w:rsid w:val="00170C5D"/>
    <w:rsid w:val="001728E2"/>
    <w:rsid w:val="001B6E1D"/>
    <w:rsid w:val="001D384F"/>
    <w:rsid w:val="00211878"/>
    <w:rsid w:val="002360A1"/>
    <w:rsid w:val="00245422"/>
    <w:rsid w:val="002941D5"/>
    <w:rsid w:val="002E6BE7"/>
    <w:rsid w:val="00335860"/>
    <w:rsid w:val="003362DB"/>
    <w:rsid w:val="00340DF1"/>
    <w:rsid w:val="003530D6"/>
    <w:rsid w:val="00365D61"/>
    <w:rsid w:val="003D2401"/>
    <w:rsid w:val="003F25EC"/>
    <w:rsid w:val="00415042"/>
    <w:rsid w:val="00424148"/>
    <w:rsid w:val="00433487"/>
    <w:rsid w:val="0043397F"/>
    <w:rsid w:val="00467223"/>
    <w:rsid w:val="004C4390"/>
    <w:rsid w:val="00506EDC"/>
    <w:rsid w:val="00546C2F"/>
    <w:rsid w:val="00587B83"/>
    <w:rsid w:val="005B1C50"/>
    <w:rsid w:val="00622216"/>
    <w:rsid w:val="00633387"/>
    <w:rsid w:val="00641324"/>
    <w:rsid w:val="00662764"/>
    <w:rsid w:val="00684791"/>
    <w:rsid w:val="006E5E65"/>
    <w:rsid w:val="00700C44"/>
    <w:rsid w:val="007218FB"/>
    <w:rsid w:val="00736373"/>
    <w:rsid w:val="00761ACF"/>
    <w:rsid w:val="00776379"/>
    <w:rsid w:val="0079765D"/>
    <w:rsid w:val="007A6A7F"/>
    <w:rsid w:val="007C1730"/>
    <w:rsid w:val="007F2C37"/>
    <w:rsid w:val="00802D8F"/>
    <w:rsid w:val="0080335E"/>
    <w:rsid w:val="008651E2"/>
    <w:rsid w:val="00885DAF"/>
    <w:rsid w:val="008A331E"/>
    <w:rsid w:val="0091140D"/>
    <w:rsid w:val="00923B1F"/>
    <w:rsid w:val="009512F6"/>
    <w:rsid w:val="00952F09"/>
    <w:rsid w:val="00971A22"/>
    <w:rsid w:val="009C5677"/>
    <w:rsid w:val="009E2177"/>
    <w:rsid w:val="00A077BD"/>
    <w:rsid w:val="00A3548E"/>
    <w:rsid w:val="00A35895"/>
    <w:rsid w:val="00A40EB9"/>
    <w:rsid w:val="00A50C5A"/>
    <w:rsid w:val="00A6099D"/>
    <w:rsid w:val="00B4457A"/>
    <w:rsid w:val="00B73A77"/>
    <w:rsid w:val="00B82B2F"/>
    <w:rsid w:val="00BA13D4"/>
    <w:rsid w:val="00BA1C07"/>
    <w:rsid w:val="00BE6A7E"/>
    <w:rsid w:val="00BF5306"/>
    <w:rsid w:val="00C104A4"/>
    <w:rsid w:val="00C237AF"/>
    <w:rsid w:val="00C50C37"/>
    <w:rsid w:val="00C51C53"/>
    <w:rsid w:val="00C76EA8"/>
    <w:rsid w:val="00C9716B"/>
    <w:rsid w:val="00CB0C4A"/>
    <w:rsid w:val="00CB2D03"/>
    <w:rsid w:val="00CB6C88"/>
    <w:rsid w:val="00CC030E"/>
    <w:rsid w:val="00CC5A20"/>
    <w:rsid w:val="00CE692A"/>
    <w:rsid w:val="00CF2B53"/>
    <w:rsid w:val="00D01746"/>
    <w:rsid w:val="00D3723C"/>
    <w:rsid w:val="00D81A59"/>
    <w:rsid w:val="00DC5880"/>
    <w:rsid w:val="00DF0F9A"/>
    <w:rsid w:val="00E2257F"/>
    <w:rsid w:val="00E55D49"/>
    <w:rsid w:val="00E567CA"/>
    <w:rsid w:val="00E90B3F"/>
    <w:rsid w:val="00EA03EF"/>
    <w:rsid w:val="00EA3E3D"/>
    <w:rsid w:val="00EA45DE"/>
    <w:rsid w:val="00ED39DD"/>
    <w:rsid w:val="00F323AD"/>
    <w:rsid w:val="00F52E5D"/>
    <w:rsid w:val="00F72099"/>
    <w:rsid w:val="00F73091"/>
    <w:rsid w:val="00F84247"/>
    <w:rsid w:val="00F94F1C"/>
    <w:rsid w:val="00FB64B7"/>
    <w:rsid w:val="00FE6A3A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F57"/>
  <w15:docId w15:val="{6D507FAA-8A6C-413D-8571-01358D5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7F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3397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3397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3397F"/>
    <w:rPr>
      <w:b/>
    </w:rPr>
  </w:style>
  <w:style w:type="paragraph" w:styleId="Akapitzlist">
    <w:name w:val="List Paragraph"/>
    <w:basedOn w:val="Normalny"/>
    <w:uiPriority w:val="34"/>
    <w:qFormat/>
    <w:rsid w:val="00433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C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C3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3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57A"/>
  </w:style>
  <w:style w:type="paragraph" w:styleId="Stopka">
    <w:name w:val="footer"/>
    <w:basedOn w:val="Normalny"/>
    <w:link w:val="StopkaZnak"/>
    <w:uiPriority w:val="99"/>
    <w:unhideWhenUsed/>
    <w:rsid w:val="00B4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cp:keywords/>
  <dc:description/>
  <cp:lastModifiedBy>PIĄTEK Magdalena</cp:lastModifiedBy>
  <cp:revision>2</cp:revision>
  <dcterms:created xsi:type="dcterms:W3CDTF">2021-04-16T06:37:00Z</dcterms:created>
  <dcterms:modified xsi:type="dcterms:W3CDTF">2021-04-16T06:37:00Z</dcterms:modified>
</cp:coreProperties>
</file>