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2DF3C" w14:textId="77777777" w:rsidR="00FD6097" w:rsidRDefault="00FD6097" w:rsidP="0009364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Stanowisko Zarządu Związku Miast Polskich</w:t>
      </w:r>
    </w:p>
    <w:p w14:paraId="56AAD482" w14:textId="60580B09" w:rsidR="00FD6097" w:rsidRPr="00ED1804" w:rsidRDefault="00FD6097" w:rsidP="0009364A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</w:t>
      </w:r>
      <w:r w:rsidR="009E43A9" w:rsidRPr="009E43A9">
        <w:rPr>
          <w:b/>
          <w:sz w:val="24"/>
          <w:szCs w:val="24"/>
        </w:rPr>
        <w:t xml:space="preserve"> nowej wersji KPO, zaprezentowanej 28 kwietnia 2021 roku</w:t>
      </w:r>
    </w:p>
    <w:p w14:paraId="1A41A5B3" w14:textId="77777777" w:rsidR="00F77771" w:rsidRPr="00500559" w:rsidRDefault="009E43A9" w:rsidP="00BC6F65">
      <w:pPr>
        <w:spacing w:after="120" w:line="240" w:lineRule="auto"/>
        <w:ind w:firstLine="357"/>
        <w:jc w:val="both"/>
        <w:rPr>
          <w:b/>
          <w:bCs/>
          <w:spacing w:val="6"/>
        </w:rPr>
      </w:pPr>
      <w:r w:rsidRPr="00500559">
        <w:rPr>
          <w:b/>
          <w:bCs/>
          <w:spacing w:val="6"/>
        </w:rPr>
        <w:t>W stosunku do wersji przedłożonej do konsultacji w dniu 19 lutego br. nowa wersja zawiera liczne zmiany i uzupełnienia</w:t>
      </w:r>
      <w:r w:rsidR="00962873" w:rsidRPr="00500559">
        <w:rPr>
          <w:b/>
          <w:bCs/>
          <w:spacing w:val="6"/>
        </w:rPr>
        <w:t xml:space="preserve">, </w:t>
      </w:r>
      <w:r w:rsidR="00F77771" w:rsidRPr="00500559">
        <w:rPr>
          <w:b/>
          <w:bCs/>
          <w:spacing w:val="6"/>
        </w:rPr>
        <w:t>jednak nie uwzględnia kluczowych z punktu widzenia naszych mieszkańców uwag i postulatów,  zgłaszanych w trakcie konsultacji.</w:t>
      </w:r>
    </w:p>
    <w:p w14:paraId="555A74A9" w14:textId="1B968D9D" w:rsidR="00F9409D" w:rsidRPr="00500559" w:rsidRDefault="00F77771" w:rsidP="00BC6F65">
      <w:pPr>
        <w:spacing w:after="120" w:line="240" w:lineRule="auto"/>
        <w:ind w:firstLine="357"/>
        <w:jc w:val="both"/>
        <w:rPr>
          <w:b/>
          <w:bCs/>
          <w:spacing w:val="6"/>
        </w:rPr>
      </w:pPr>
      <w:r w:rsidRPr="00500559">
        <w:rPr>
          <w:b/>
          <w:bCs/>
          <w:spacing w:val="6"/>
        </w:rPr>
        <w:t>Dlatego nie możemy dzi</w:t>
      </w:r>
      <w:r w:rsidR="00012040" w:rsidRPr="00500559">
        <w:rPr>
          <w:b/>
          <w:bCs/>
          <w:spacing w:val="6"/>
        </w:rPr>
        <w:t>ś</w:t>
      </w:r>
      <w:r w:rsidRPr="00500559">
        <w:rPr>
          <w:b/>
          <w:bCs/>
          <w:spacing w:val="6"/>
        </w:rPr>
        <w:t xml:space="preserve"> pozytywnie zaopiniować </w:t>
      </w:r>
      <w:r w:rsidR="00295256" w:rsidRPr="00500559">
        <w:rPr>
          <w:b/>
          <w:bCs/>
          <w:spacing w:val="6"/>
        </w:rPr>
        <w:t>nowej wersji</w:t>
      </w:r>
      <w:r w:rsidRPr="00500559">
        <w:rPr>
          <w:b/>
          <w:bCs/>
          <w:spacing w:val="6"/>
        </w:rPr>
        <w:t xml:space="preserve"> </w:t>
      </w:r>
      <w:r w:rsidR="00012040" w:rsidRPr="00500559">
        <w:rPr>
          <w:b/>
          <w:bCs/>
          <w:spacing w:val="6"/>
        </w:rPr>
        <w:t xml:space="preserve">projektu </w:t>
      </w:r>
      <w:r w:rsidRPr="00500559">
        <w:rPr>
          <w:b/>
          <w:bCs/>
          <w:spacing w:val="6"/>
        </w:rPr>
        <w:t>KPO i postulujemy dalsze prace nad tym niezwykle ważnym dla Polek i Polaków dokumentem.</w:t>
      </w:r>
    </w:p>
    <w:p w14:paraId="7DC1A88B" w14:textId="7E87C903" w:rsidR="007F1522" w:rsidRPr="00F77771" w:rsidRDefault="009E43A9" w:rsidP="00F77771">
      <w:pPr>
        <w:pStyle w:val="Akapitzlist"/>
        <w:numPr>
          <w:ilvl w:val="0"/>
          <w:numId w:val="1"/>
        </w:numPr>
        <w:spacing w:after="120"/>
        <w:ind w:left="568" w:hanging="284"/>
        <w:jc w:val="both"/>
        <w:rPr>
          <w:color w:val="000000" w:themeColor="text1"/>
          <w:spacing w:val="-5"/>
        </w:rPr>
      </w:pPr>
      <w:r w:rsidRPr="00F9409D">
        <w:rPr>
          <w:spacing w:val="-5"/>
        </w:rPr>
        <w:t xml:space="preserve">Projekt zawiera założenia sposobu wdrażania planu, w tym </w:t>
      </w:r>
      <w:r w:rsidR="00F77771">
        <w:rPr>
          <w:spacing w:val="-5"/>
        </w:rPr>
        <w:t xml:space="preserve">ogólne </w:t>
      </w:r>
      <w:r w:rsidRPr="00F9409D">
        <w:rPr>
          <w:spacing w:val="-5"/>
        </w:rPr>
        <w:t>zasady utworzenia i działania Komitetu Monitorującego KPO</w:t>
      </w:r>
      <w:r w:rsidR="00962873" w:rsidRPr="00F9409D">
        <w:rPr>
          <w:spacing w:val="-5"/>
        </w:rPr>
        <w:t xml:space="preserve"> (str. 472-3). </w:t>
      </w:r>
      <w:r w:rsidR="002D5137" w:rsidRPr="00BC6F65">
        <w:rPr>
          <w:b/>
          <w:spacing w:val="-5"/>
        </w:rPr>
        <w:t>Komitet Monitorujący</w:t>
      </w:r>
      <w:r w:rsidR="002D5137" w:rsidRPr="00F9409D">
        <w:rPr>
          <w:spacing w:val="-5"/>
        </w:rPr>
        <w:t xml:space="preserve"> </w:t>
      </w:r>
      <w:r w:rsidR="002D5137" w:rsidRPr="00F9409D">
        <w:rPr>
          <w:color w:val="000000" w:themeColor="text1"/>
          <w:spacing w:val="-5"/>
        </w:rPr>
        <w:t xml:space="preserve">nie ma jednak </w:t>
      </w:r>
      <w:r w:rsidR="0042335F" w:rsidRPr="00F9409D">
        <w:rPr>
          <w:color w:val="000000" w:themeColor="text1"/>
          <w:spacing w:val="-5"/>
        </w:rPr>
        <w:t xml:space="preserve">bezpośredniego </w:t>
      </w:r>
      <w:r w:rsidR="002D5137" w:rsidRPr="00F9409D">
        <w:rPr>
          <w:color w:val="000000" w:themeColor="text1"/>
          <w:spacing w:val="-5"/>
        </w:rPr>
        <w:t xml:space="preserve">wpływu na proces wyboru projektów i wdrażanie </w:t>
      </w:r>
      <w:r w:rsidR="008E0A7F" w:rsidRPr="00F9409D">
        <w:rPr>
          <w:color w:val="000000" w:themeColor="text1"/>
          <w:spacing w:val="-5"/>
        </w:rPr>
        <w:t xml:space="preserve">KPO. </w:t>
      </w:r>
      <w:r w:rsidR="008E0A7F" w:rsidRPr="00F9409D">
        <w:rPr>
          <w:spacing w:val="-5"/>
        </w:rPr>
        <w:t xml:space="preserve">Dokument nie określa również </w:t>
      </w:r>
      <w:r w:rsidR="00666F06" w:rsidRPr="00F9409D">
        <w:rPr>
          <w:spacing w:val="-5"/>
        </w:rPr>
        <w:t xml:space="preserve">proporcji i liczby </w:t>
      </w:r>
      <w:r w:rsidR="00B55572" w:rsidRPr="00F77771">
        <w:rPr>
          <w:color w:val="000000" w:themeColor="text1"/>
          <w:spacing w:val="-5"/>
        </w:rPr>
        <w:t>poszcze</w:t>
      </w:r>
      <w:r w:rsidR="001114F5" w:rsidRPr="00F77771">
        <w:rPr>
          <w:color w:val="000000" w:themeColor="text1"/>
          <w:spacing w:val="-5"/>
        </w:rPr>
        <w:softHyphen/>
      </w:r>
      <w:r w:rsidR="00B55572" w:rsidRPr="00F77771">
        <w:rPr>
          <w:color w:val="000000" w:themeColor="text1"/>
          <w:spacing w:val="-5"/>
        </w:rPr>
        <w:t>gólnych grup desygnujących</w:t>
      </w:r>
      <w:r w:rsidR="00EC7485" w:rsidRPr="00F77771">
        <w:rPr>
          <w:color w:val="000000" w:themeColor="text1"/>
          <w:spacing w:val="-5"/>
        </w:rPr>
        <w:t xml:space="preserve"> </w:t>
      </w:r>
      <w:r w:rsidR="00B55572" w:rsidRPr="00F77771">
        <w:rPr>
          <w:color w:val="000000" w:themeColor="text1"/>
          <w:spacing w:val="-5"/>
        </w:rPr>
        <w:t>członków</w:t>
      </w:r>
      <w:r w:rsidR="00AA0DAC" w:rsidRPr="00F77771">
        <w:rPr>
          <w:color w:val="000000" w:themeColor="text1"/>
          <w:spacing w:val="-5"/>
        </w:rPr>
        <w:t xml:space="preserve"> do</w:t>
      </w:r>
      <w:r w:rsidR="00666F06" w:rsidRPr="00F77771">
        <w:rPr>
          <w:color w:val="000000" w:themeColor="text1"/>
          <w:spacing w:val="-5"/>
        </w:rPr>
        <w:t xml:space="preserve"> </w:t>
      </w:r>
      <w:r w:rsidR="00F77771" w:rsidRPr="00F77771">
        <w:rPr>
          <w:color w:val="000000" w:themeColor="text1"/>
          <w:spacing w:val="-5"/>
        </w:rPr>
        <w:t>jego składu</w:t>
      </w:r>
      <w:r w:rsidR="00B55572" w:rsidRPr="00F77771">
        <w:rPr>
          <w:color w:val="000000" w:themeColor="text1"/>
          <w:spacing w:val="-5"/>
        </w:rPr>
        <w:t>.</w:t>
      </w:r>
      <w:r w:rsidR="008C3DAE" w:rsidRPr="00F77771">
        <w:rPr>
          <w:color w:val="000000" w:themeColor="text1"/>
          <w:spacing w:val="-5"/>
        </w:rPr>
        <w:t xml:space="preserve"> Zaletą propozycji jest natomiast możliwość powoływania podkomitetów tematycznych.</w:t>
      </w:r>
    </w:p>
    <w:p w14:paraId="0B90FEAC" w14:textId="7A6A1A67" w:rsidR="007F1522" w:rsidRDefault="008E51B2" w:rsidP="007F1522">
      <w:pPr>
        <w:pStyle w:val="Akapitzlist"/>
        <w:numPr>
          <w:ilvl w:val="0"/>
          <w:numId w:val="1"/>
        </w:numPr>
        <w:ind w:left="568" w:hanging="284"/>
        <w:jc w:val="both"/>
        <w:rPr>
          <w:spacing w:val="-5"/>
        </w:rPr>
      </w:pPr>
      <w:r w:rsidRPr="00500559">
        <w:rPr>
          <w:spacing w:val="-6"/>
        </w:rPr>
        <w:t xml:space="preserve">Za wdrażanie KPO </w:t>
      </w:r>
      <w:r w:rsidR="001C1A8B" w:rsidRPr="00500559">
        <w:rPr>
          <w:spacing w:val="-6"/>
        </w:rPr>
        <w:t>wciąż</w:t>
      </w:r>
      <w:r w:rsidRPr="00500559">
        <w:rPr>
          <w:spacing w:val="-6"/>
        </w:rPr>
        <w:t xml:space="preserve"> </w:t>
      </w:r>
      <w:r w:rsidR="00F77771" w:rsidRPr="00500559">
        <w:rPr>
          <w:spacing w:val="-6"/>
        </w:rPr>
        <w:t xml:space="preserve">ma </w:t>
      </w:r>
      <w:r w:rsidRPr="00500559">
        <w:rPr>
          <w:spacing w:val="-6"/>
        </w:rPr>
        <w:t>odpowiada</w:t>
      </w:r>
      <w:r w:rsidR="00F77771" w:rsidRPr="00500559">
        <w:rPr>
          <w:spacing w:val="-6"/>
        </w:rPr>
        <w:t>ć</w:t>
      </w:r>
      <w:r w:rsidRPr="00500559">
        <w:rPr>
          <w:spacing w:val="-6"/>
        </w:rPr>
        <w:t xml:space="preserve"> </w:t>
      </w:r>
      <w:r w:rsidR="004438AF" w:rsidRPr="00500559">
        <w:rPr>
          <w:spacing w:val="-6"/>
        </w:rPr>
        <w:t>jedynie administracja rządowa</w:t>
      </w:r>
      <w:r w:rsidRPr="00500559">
        <w:rPr>
          <w:spacing w:val="-6"/>
        </w:rPr>
        <w:t xml:space="preserve"> na czele z ministrem</w:t>
      </w:r>
      <w:r w:rsidRPr="008E51B2">
        <w:rPr>
          <w:spacing w:val="-5"/>
        </w:rPr>
        <w:t xml:space="preserve"> właści</w:t>
      </w:r>
      <w:r w:rsidR="00500559">
        <w:rPr>
          <w:spacing w:val="-5"/>
        </w:rPr>
        <w:softHyphen/>
      </w:r>
      <w:r w:rsidRPr="00500559">
        <w:rPr>
          <w:spacing w:val="-8"/>
        </w:rPr>
        <w:t>wym spraw rozwoju regionalnego i obsługujące go Ministerstwo Funduszy i Polityki Regionalnej</w:t>
      </w:r>
      <w:r w:rsidRPr="008E51B2">
        <w:rPr>
          <w:spacing w:val="-5"/>
        </w:rPr>
        <w:t xml:space="preserve"> (MFiPR). Pojawił się zapis o roli samorządów województw we wdrażaniu KPO (str. 469), </w:t>
      </w:r>
      <w:r w:rsidR="00474564">
        <w:rPr>
          <w:spacing w:val="-5"/>
        </w:rPr>
        <w:t xml:space="preserve">jednakże zapis ten nie wskazuje wprost </w:t>
      </w:r>
      <w:r w:rsidR="00671F4A">
        <w:rPr>
          <w:spacing w:val="-5"/>
        </w:rPr>
        <w:t>funkcji</w:t>
      </w:r>
      <w:r w:rsidR="00474564">
        <w:rPr>
          <w:spacing w:val="-5"/>
        </w:rPr>
        <w:t xml:space="preserve"> samorządów województw w systemie </w:t>
      </w:r>
      <w:r w:rsidR="00990FF6">
        <w:rPr>
          <w:spacing w:val="-5"/>
        </w:rPr>
        <w:t>wdrażania</w:t>
      </w:r>
      <w:r w:rsidR="00474564">
        <w:rPr>
          <w:spacing w:val="-5"/>
        </w:rPr>
        <w:t>. Nie precyzuje</w:t>
      </w:r>
      <w:r w:rsidR="00ED1804">
        <w:rPr>
          <w:spacing w:val="-5"/>
        </w:rPr>
        <w:t>,</w:t>
      </w:r>
      <w:r w:rsidR="00710399">
        <w:rPr>
          <w:spacing w:val="-5"/>
        </w:rPr>
        <w:t xml:space="preserve"> na</w:t>
      </w:r>
      <w:r w:rsidRPr="008E51B2">
        <w:rPr>
          <w:spacing w:val="-5"/>
        </w:rPr>
        <w:t xml:space="preserve"> ile wiążąca będzie rola samorządów województw</w:t>
      </w:r>
      <w:r w:rsidR="00990FF6">
        <w:rPr>
          <w:spacing w:val="-5"/>
        </w:rPr>
        <w:t>.</w:t>
      </w:r>
      <w:r w:rsidRPr="008E51B2">
        <w:rPr>
          <w:spacing w:val="-5"/>
        </w:rPr>
        <w:t xml:space="preserve"> </w:t>
      </w:r>
      <w:r w:rsidR="00710399">
        <w:rPr>
          <w:spacing w:val="-5"/>
        </w:rPr>
        <w:t>Przedmiotowy zapi</w:t>
      </w:r>
      <w:r w:rsidR="00990FF6">
        <w:rPr>
          <w:spacing w:val="-5"/>
        </w:rPr>
        <w:t>s</w:t>
      </w:r>
      <w:r w:rsidRPr="008E51B2">
        <w:rPr>
          <w:spacing w:val="-5"/>
        </w:rPr>
        <w:t xml:space="preserve"> stwarza </w:t>
      </w:r>
      <w:r w:rsidR="00990FF6">
        <w:rPr>
          <w:spacing w:val="-5"/>
        </w:rPr>
        <w:t xml:space="preserve">jedynie </w:t>
      </w:r>
      <w:r w:rsidRPr="008E51B2">
        <w:rPr>
          <w:spacing w:val="-5"/>
        </w:rPr>
        <w:t>wrażenie udziału samo</w:t>
      </w:r>
      <w:r w:rsidR="00ED1804">
        <w:rPr>
          <w:spacing w:val="-5"/>
        </w:rPr>
        <w:softHyphen/>
      </w:r>
      <w:r w:rsidRPr="008E51B2">
        <w:rPr>
          <w:spacing w:val="-5"/>
        </w:rPr>
        <w:t>rządów we wdrażaniu</w:t>
      </w:r>
      <w:r w:rsidR="002A7247">
        <w:rPr>
          <w:spacing w:val="-5"/>
        </w:rPr>
        <w:t xml:space="preserve"> KPO</w:t>
      </w:r>
      <w:r w:rsidR="00990FF6">
        <w:rPr>
          <w:spacing w:val="-5"/>
        </w:rPr>
        <w:t>, nie przyznając im żadnych kompetencji w tym zakresie</w:t>
      </w:r>
      <w:r w:rsidR="00197D5F">
        <w:rPr>
          <w:spacing w:val="-5"/>
        </w:rPr>
        <w:t xml:space="preserve"> (szczególnie w procesie wyboru projektów do dofinansowania)</w:t>
      </w:r>
      <w:r w:rsidR="00D36BE9">
        <w:rPr>
          <w:spacing w:val="-5"/>
        </w:rPr>
        <w:t>.</w:t>
      </w:r>
      <w:r w:rsidR="00F77771">
        <w:rPr>
          <w:spacing w:val="-5"/>
        </w:rPr>
        <w:t xml:space="preserve"> Uważamy, że dobrym polskim doświadczeniem jest formuła instytucji zarządzającej w regionie albo obszarze funkcjonalnym (ZIT), które mogłoby być wykorzystane w zarządzaniu środkami z KPO.</w:t>
      </w:r>
      <w:r w:rsidR="00BC6F65">
        <w:rPr>
          <w:spacing w:val="-5"/>
        </w:rPr>
        <w:t xml:space="preserve"> </w:t>
      </w:r>
      <w:r w:rsidR="00BC6F65" w:rsidRPr="00BC6F65">
        <w:rPr>
          <w:b/>
          <w:spacing w:val="-5"/>
        </w:rPr>
        <w:t>Samorząd powinien być współgospodarzem KPO</w:t>
      </w:r>
      <w:r w:rsidR="00BC6F65">
        <w:rPr>
          <w:spacing w:val="-5"/>
        </w:rPr>
        <w:t>.</w:t>
      </w:r>
    </w:p>
    <w:p w14:paraId="14943233" w14:textId="164BDA8C" w:rsidR="009E43A9" w:rsidRPr="00F77771" w:rsidRDefault="00283217" w:rsidP="007F1522">
      <w:pPr>
        <w:pStyle w:val="Akapitzlist"/>
        <w:numPr>
          <w:ilvl w:val="0"/>
          <w:numId w:val="1"/>
        </w:numPr>
        <w:ind w:left="568" w:hanging="284"/>
        <w:jc w:val="both"/>
        <w:rPr>
          <w:color w:val="000000" w:themeColor="text1"/>
          <w:spacing w:val="-5"/>
        </w:rPr>
      </w:pPr>
      <w:r w:rsidRPr="00F77771">
        <w:rPr>
          <w:color w:val="000000" w:themeColor="text1"/>
          <w:spacing w:val="-5"/>
        </w:rPr>
        <w:t>Oczekujemy, że w najbliższym czasie otrzy</w:t>
      </w:r>
      <w:r w:rsidR="00EF146D" w:rsidRPr="00F77771">
        <w:rPr>
          <w:color w:val="000000" w:themeColor="text1"/>
          <w:spacing w:val="-5"/>
        </w:rPr>
        <w:softHyphen/>
      </w:r>
      <w:r w:rsidRPr="00F77771">
        <w:rPr>
          <w:color w:val="000000" w:themeColor="text1"/>
          <w:spacing w:val="-5"/>
        </w:rPr>
        <w:t xml:space="preserve">mamy do konsultacji </w:t>
      </w:r>
      <w:r w:rsidR="00ED1804" w:rsidRPr="00F77771">
        <w:rPr>
          <w:color w:val="000000" w:themeColor="text1"/>
          <w:spacing w:val="-5"/>
        </w:rPr>
        <w:t xml:space="preserve">założenia </w:t>
      </w:r>
      <w:r w:rsidRPr="00F77771">
        <w:rPr>
          <w:b/>
          <w:color w:val="000000" w:themeColor="text1"/>
          <w:spacing w:val="-5"/>
        </w:rPr>
        <w:t>projekt</w:t>
      </w:r>
      <w:r w:rsidR="00ED1804" w:rsidRPr="00F77771">
        <w:rPr>
          <w:b/>
          <w:color w:val="000000" w:themeColor="text1"/>
          <w:spacing w:val="-5"/>
        </w:rPr>
        <w:t>u</w:t>
      </w:r>
      <w:r w:rsidRPr="00F77771">
        <w:rPr>
          <w:b/>
          <w:color w:val="000000" w:themeColor="text1"/>
          <w:spacing w:val="-5"/>
        </w:rPr>
        <w:t xml:space="preserve"> „ustawy wdroże</w:t>
      </w:r>
      <w:r w:rsidR="0042335F" w:rsidRPr="00F77771">
        <w:rPr>
          <w:b/>
          <w:color w:val="000000" w:themeColor="text1"/>
          <w:spacing w:val="-5"/>
        </w:rPr>
        <w:softHyphen/>
      </w:r>
      <w:r w:rsidRPr="00F77771">
        <w:rPr>
          <w:b/>
          <w:color w:val="000000" w:themeColor="text1"/>
          <w:spacing w:val="-5"/>
        </w:rPr>
        <w:t>niowej KPO”</w:t>
      </w:r>
      <w:r w:rsidRPr="00F77771">
        <w:rPr>
          <w:color w:val="000000" w:themeColor="text1"/>
          <w:spacing w:val="-5"/>
        </w:rPr>
        <w:t xml:space="preserve">, który </w:t>
      </w:r>
      <w:r w:rsidR="00D36BE9" w:rsidRPr="00F77771">
        <w:rPr>
          <w:color w:val="000000" w:themeColor="text1"/>
          <w:spacing w:val="-5"/>
        </w:rPr>
        <w:t>określi szczegółowo skład Komitetu Monitorującego</w:t>
      </w:r>
      <w:r w:rsidR="0042335F" w:rsidRPr="00F77771">
        <w:rPr>
          <w:color w:val="000000" w:themeColor="text1"/>
          <w:spacing w:val="-5"/>
        </w:rPr>
        <w:t>, rozszerzy jego kompetencje</w:t>
      </w:r>
      <w:r w:rsidR="00D36BE9" w:rsidRPr="00F77771">
        <w:rPr>
          <w:color w:val="000000" w:themeColor="text1"/>
          <w:spacing w:val="-5"/>
        </w:rPr>
        <w:t xml:space="preserve"> oraz </w:t>
      </w:r>
      <w:r w:rsidR="003C2842" w:rsidRPr="00F77771">
        <w:rPr>
          <w:color w:val="000000" w:themeColor="text1"/>
          <w:spacing w:val="-5"/>
        </w:rPr>
        <w:t>wyposaży samorządy wojewódzkie w kompetencje dotyczące wyboru projektów</w:t>
      </w:r>
      <w:r w:rsidR="00ED1804" w:rsidRPr="00F77771">
        <w:rPr>
          <w:color w:val="000000" w:themeColor="text1"/>
          <w:spacing w:val="-5"/>
        </w:rPr>
        <w:t>.</w:t>
      </w:r>
      <w:r w:rsidR="008C3DAE" w:rsidRPr="00F77771">
        <w:rPr>
          <w:color w:val="000000" w:themeColor="text1"/>
          <w:spacing w:val="-5"/>
        </w:rPr>
        <w:t xml:space="preserve"> Liczymy na wspólne wypracowanie projektu ustawy wdrożeniowej.</w:t>
      </w:r>
    </w:p>
    <w:p w14:paraId="145678A4" w14:textId="06B55407" w:rsidR="00ED1BF9" w:rsidRPr="00897AC4" w:rsidRDefault="00ED1BF9" w:rsidP="00ED1BF9">
      <w:pPr>
        <w:pStyle w:val="Akapitzlist"/>
        <w:numPr>
          <w:ilvl w:val="0"/>
          <w:numId w:val="1"/>
        </w:numPr>
        <w:ind w:left="568" w:hanging="284"/>
        <w:jc w:val="both"/>
        <w:rPr>
          <w:spacing w:val="-4"/>
        </w:rPr>
      </w:pPr>
      <w:r w:rsidRPr="00897AC4">
        <w:rPr>
          <w:spacing w:val="-4"/>
        </w:rPr>
        <w:t xml:space="preserve">Projekt już we wstępie odnotowuje – zgodnie z postulatem </w:t>
      </w:r>
      <w:r>
        <w:rPr>
          <w:spacing w:val="-4"/>
        </w:rPr>
        <w:t>Zarządu</w:t>
      </w:r>
      <w:r w:rsidRPr="00897AC4">
        <w:rPr>
          <w:spacing w:val="-4"/>
        </w:rPr>
        <w:t xml:space="preserve"> ZMP – </w:t>
      </w:r>
      <w:r w:rsidRPr="00897AC4">
        <w:rPr>
          <w:b/>
          <w:spacing w:val="-4"/>
        </w:rPr>
        <w:t>zmianę sytuacji dużych miast</w:t>
      </w:r>
      <w:r w:rsidRPr="00897AC4">
        <w:rPr>
          <w:spacing w:val="-4"/>
        </w:rPr>
        <w:t>, które w wyniku skutków pandemii z tzw. motorów wzrostu stają się ponownie grupą docelową wsparcia (str. 10), gdyż „</w:t>
      </w:r>
      <w:r w:rsidRPr="00897AC4">
        <w:rPr>
          <w:rFonts w:eastAsia="Calibri" w:cs="Calibri Light"/>
          <w:spacing w:val="-4"/>
        </w:rPr>
        <w:t>ze względu na dużą gęstość zaludnienia, największ</w:t>
      </w:r>
      <w:r>
        <w:rPr>
          <w:rFonts w:eastAsia="Calibri" w:cs="Calibri Light"/>
          <w:spacing w:val="-4"/>
        </w:rPr>
        <w:t>a</w:t>
      </w:r>
      <w:r w:rsidRPr="00897AC4">
        <w:rPr>
          <w:rFonts w:eastAsia="Calibri" w:cs="Calibri Light"/>
          <w:spacing w:val="-4"/>
        </w:rPr>
        <w:t xml:space="preserve"> jest w nich presja ekologiczna oraz skala konsekwencji społecznych i gospodarczych”.</w:t>
      </w:r>
      <w:r>
        <w:rPr>
          <w:rFonts w:eastAsia="Calibri" w:cs="Calibri Light"/>
          <w:spacing w:val="-4"/>
        </w:rPr>
        <w:t xml:space="preserve"> Oznacza to, że dostęp do wsparcia z Funduszu Odbudowy będą miały</w:t>
      </w:r>
      <w:r w:rsidR="00F77771">
        <w:rPr>
          <w:rFonts w:eastAsia="Calibri" w:cs="Calibri Light"/>
          <w:spacing w:val="-4"/>
        </w:rPr>
        <w:t xml:space="preserve"> zarówno </w:t>
      </w:r>
      <w:r w:rsidR="00F77771" w:rsidRPr="00BC6F65">
        <w:rPr>
          <w:rFonts w:eastAsia="Calibri" w:cs="Calibri Light"/>
          <w:b/>
          <w:spacing w:val="-4"/>
        </w:rPr>
        <w:t>małe, średnie jak i duże</w:t>
      </w:r>
      <w:r w:rsidR="00F77771">
        <w:rPr>
          <w:rFonts w:eastAsia="Calibri" w:cs="Calibri Light"/>
          <w:spacing w:val="-4"/>
        </w:rPr>
        <w:t xml:space="preserve"> – </w:t>
      </w:r>
      <w:r w:rsidRPr="00ED1BF9">
        <w:rPr>
          <w:rFonts w:eastAsia="Calibri" w:cs="Calibri Light"/>
          <w:b/>
          <w:spacing w:val="-4"/>
        </w:rPr>
        <w:t>wszystkie miasta</w:t>
      </w:r>
      <w:r>
        <w:rPr>
          <w:rFonts w:eastAsia="Calibri" w:cs="Calibri Light"/>
          <w:spacing w:val="-4"/>
        </w:rPr>
        <w:t>.</w:t>
      </w:r>
    </w:p>
    <w:p w14:paraId="105A43FD" w14:textId="49BB5C4E" w:rsidR="00F77771" w:rsidRDefault="00F77771" w:rsidP="00897AC4">
      <w:pPr>
        <w:pStyle w:val="Akapitzlist"/>
        <w:numPr>
          <w:ilvl w:val="0"/>
          <w:numId w:val="1"/>
        </w:numPr>
        <w:ind w:left="568" w:hanging="284"/>
        <w:jc w:val="both"/>
        <w:rPr>
          <w:spacing w:val="-5"/>
        </w:rPr>
      </w:pPr>
      <w:r>
        <w:rPr>
          <w:spacing w:val="-5"/>
        </w:rPr>
        <w:t>Projekt na str. 458 przedstawia wynikający z proponowanych działań rozdział środków z KPO. Widać uprzywilejowanie sektora rządowego i marginalizacj</w:t>
      </w:r>
      <w:r w:rsidR="00671F4A">
        <w:rPr>
          <w:spacing w:val="-5"/>
        </w:rPr>
        <w:t>ę</w:t>
      </w:r>
      <w:r>
        <w:rPr>
          <w:spacing w:val="-5"/>
        </w:rPr>
        <w:t xml:space="preserve"> sektora samorządowego, który ma</w:t>
      </w:r>
      <w:r w:rsidR="00C606AB">
        <w:rPr>
          <w:spacing w:val="-5"/>
        </w:rPr>
        <w:t xml:space="preserve"> być benefi</w:t>
      </w:r>
      <w:r w:rsidR="00C606AB">
        <w:rPr>
          <w:spacing w:val="-5"/>
        </w:rPr>
        <w:softHyphen/>
        <w:t xml:space="preserve">cjentem </w:t>
      </w:r>
      <w:r w:rsidR="00C606AB" w:rsidRPr="00BC6F65">
        <w:rPr>
          <w:b/>
          <w:spacing w:val="-5"/>
        </w:rPr>
        <w:t>mniej niż 30% środków</w:t>
      </w:r>
      <w:r w:rsidR="00C606AB">
        <w:rPr>
          <w:spacing w:val="-5"/>
        </w:rPr>
        <w:t xml:space="preserve">, </w:t>
      </w:r>
      <w:r w:rsidR="00671F4A">
        <w:rPr>
          <w:spacing w:val="-5"/>
        </w:rPr>
        <w:t>z czego</w:t>
      </w:r>
      <w:r w:rsidR="00BC6F65">
        <w:rPr>
          <w:spacing w:val="-5"/>
        </w:rPr>
        <w:t xml:space="preserve"> </w:t>
      </w:r>
      <w:r w:rsidR="00BC6F65" w:rsidRPr="00BC6F65">
        <w:rPr>
          <w:b/>
          <w:spacing w:val="-5"/>
        </w:rPr>
        <w:t>ponad</w:t>
      </w:r>
      <w:r w:rsidR="00C606AB" w:rsidRPr="00BC6F65">
        <w:rPr>
          <w:b/>
          <w:spacing w:val="-5"/>
        </w:rPr>
        <w:t xml:space="preserve"> połowa </w:t>
      </w:r>
      <w:r w:rsidR="00BC6F65" w:rsidRPr="00BC6F65">
        <w:rPr>
          <w:b/>
          <w:spacing w:val="-5"/>
        </w:rPr>
        <w:t xml:space="preserve">(55,3%) </w:t>
      </w:r>
      <w:r w:rsidR="00C606AB" w:rsidRPr="00BC6F65">
        <w:rPr>
          <w:b/>
          <w:spacing w:val="-5"/>
        </w:rPr>
        <w:t>ma pochodzić z części pożyczkowej KPO</w:t>
      </w:r>
      <w:r w:rsidR="00C606AB">
        <w:rPr>
          <w:spacing w:val="-5"/>
        </w:rPr>
        <w:t xml:space="preserve"> (w sektorze rządowym </w:t>
      </w:r>
      <w:r w:rsidR="00500559">
        <w:rPr>
          <w:spacing w:val="-5"/>
        </w:rPr>
        <w:t>-</w:t>
      </w:r>
      <w:r w:rsidR="00C606AB">
        <w:rPr>
          <w:spacing w:val="-5"/>
        </w:rPr>
        <w:t xml:space="preserve"> tylko 20%). </w:t>
      </w:r>
      <w:r w:rsidR="00C606AB" w:rsidRPr="00C606AB">
        <w:rPr>
          <w:b/>
          <w:spacing w:val="-5"/>
        </w:rPr>
        <w:t xml:space="preserve">Taki </w:t>
      </w:r>
      <w:r w:rsidR="00BC6F65">
        <w:rPr>
          <w:b/>
          <w:spacing w:val="-5"/>
        </w:rPr>
        <w:t xml:space="preserve">nierówny </w:t>
      </w:r>
      <w:r w:rsidR="00C606AB" w:rsidRPr="00C606AB">
        <w:rPr>
          <w:b/>
          <w:spacing w:val="-5"/>
        </w:rPr>
        <w:t>podział jest niemożliwy do przyjęcia</w:t>
      </w:r>
      <w:r w:rsidR="00C606AB">
        <w:rPr>
          <w:spacing w:val="-5"/>
        </w:rPr>
        <w:t xml:space="preserve">. </w:t>
      </w:r>
      <w:r w:rsidR="00500559">
        <w:rPr>
          <w:spacing w:val="-5"/>
        </w:rPr>
        <w:t>Ponadto oczekiwaniom zwiększonego korzystania przez samorządy z pożyczek musi towa</w:t>
      </w:r>
      <w:r w:rsidR="00BC6F65">
        <w:rPr>
          <w:spacing w:val="-5"/>
        </w:rPr>
        <w:softHyphen/>
      </w:r>
      <w:r w:rsidR="00500559">
        <w:rPr>
          <w:spacing w:val="-5"/>
        </w:rPr>
        <w:t xml:space="preserve">rzyszyć zmiana </w:t>
      </w:r>
      <w:r w:rsidR="00BC6F65">
        <w:rPr>
          <w:spacing w:val="-5"/>
        </w:rPr>
        <w:t xml:space="preserve">reguł zawartych w </w:t>
      </w:r>
      <w:r w:rsidR="00500559">
        <w:rPr>
          <w:spacing w:val="-5"/>
        </w:rPr>
        <w:t>art. 242-3 u</w:t>
      </w:r>
      <w:r w:rsidR="00BC6F65">
        <w:rPr>
          <w:spacing w:val="-5"/>
        </w:rPr>
        <w:t>stawy o finansach publicznych</w:t>
      </w:r>
      <w:r w:rsidR="00500559">
        <w:rPr>
          <w:spacing w:val="-5"/>
        </w:rPr>
        <w:t>.</w:t>
      </w:r>
    </w:p>
    <w:p w14:paraId="545EE233" w14:textId="749795F6" w:rsidR="00ED1BF9" w:rsidRPr="00ED1BF9" w:rsidRDefault="00962873" w:rsidP="00897AC4">
      <w:pPr>
        <w:pStyle w:val="Akapitzlist"/>
        <w:numPr>
          <w:ilvl w:val="0"/>
          <w:numId w:val="1"/>
        </w:numPr>
        <w:ind w:left="568" w:hanging="284"/>
        <w:jc w:val="both"/>
        <w:rPr>
          <w:spacing w:val="-5"/>
        </w:rPr>
      </w:pPr>
      <w:r w:rsidRPr="00ED1BF9">
        <w:rPr>
          <w:spacing w:val="-5"/>
        </w:rPr>
        <w:t xml:space="preserve">Projekt został uzupełniony o </w:t>
      </w:r>
      <w:r w:rsidRPr="00ED1BF9">
        <w:rPr>
          <w:b/>
          <w:spacing w:val="-5"/>
        </w:rPr>
        <w:t>założenia dotyczące części pożyczkowej KPO</w:t>
      </w:r>
      <w:r w:rsidRPr="00ED1BF9">
        <w:rPr>
          <w:spacing w:val="-5"/>
        </w:rPr>
        <w:t xml:space="preserve">. Mają one charakter ogólny, co umożliwia, zgodnie z rozporządzeniem Parlamentu i Rady UE, ich dostosowanie do efektów pierwszej fazy realizacji Planu. </w:t>
      </w:r>
      <w:r w:rsidR="00671F4A">
        <w:rPr>
          <w:spacing w:val="-5"/>
        </w:rPr>
        <w:t>KPO</w:t>
      </w:r>
      <w:r w:rsidRPr="00ED1BF9">
        <w:rPr>
          <w:spacing w:val="-5"/>
        </w:rPr>
        <w:t xml:space="preserve"> przewiduje jednak </w:t>
      </w:r>
      <w:r w:rsidRPr="00ED1BF9">
        <w:rPr>
          <w:b/>
          <w:spacing w:val="-5"/>
        </w:rPr>
        <w:t xml:space="preserve">dysproporcję w rozkładzie alokacji z tej części, </w:t>
      </w:r>
      <w:r w:rsidR="00CD77F7" w:rsidRPr="00ED1BF9">
        <w:rPr>
          <w:b/>
          <w:spacing w:val="-5"/>
        </w:rPr>
        <w:t xml:space="preserve">kierując główną jej część do filaru </w:t>
      </w:r>
      <w:r w:rsidR="00CD77F7" w:rsidRPr="00C606AB">
        <w:rPr>
          <w:b/>
          <w:i/>
          <w:spacing w:val="-5"/>
        </w:rPr>
        <w:t>Zielona energia</w:t>
      </w:r>
      <w:r w:rsidR="00CD77F7" w:rsidRPr="00ED1BF9">
        <w:rPr>
          <w:spacing w:val="-5"/>
        </w:rPr>
        <w:t xml:space="preserve">. Dzięki temu z jednej strony nakłady na ten filar znacząco rosną, jednak większa ich część ma pochodzić z pożyczek. Uważamy, że </w:t>
      </w:r>
      <w:r w:rsidR="00CD77F7" w:rsidRPr="00C606AB">
        <w:rPr>
          <w:b/>
          <w:spacing w:val="-5"/>
        </w:rPr>
        <w:t>alokacja pożyczko</w:t>
      </w:r>
      <w:r w:rsidR="00C606AB">
        <w:rPr>
          <w:b/>
          <w:spacing w:val="-5"/>
        </w:rPr>
        <w:softHyphen/>
      </w:r>
      <w:r w:rsidR="00CD77F7" w:rsidRPr="00C606AB">
        <w:rPr>
          <w:b/>
          <w:spacing w:val="-5"/>
        </w:rPr>
        <w:t>wa powinna być kiero</w:t>
      </w:r>
      <w:r w:rsidR="00CD77F7" w:rsidRPr="00C606AB">
        <w:rPr>
          <w:b/>
          <w:spacing w:val="-5"/>
        </w:rPr>
        <w:softHyphen/>
        <w:t>wana przede wszystkim do tych sektorów, które „zarabiają na siebie”</w:t>
      </w:r>
      <w:r w:rsidR="00CD77F7" w:rsidRPr="00ED1BF9">
        <w:rPr>
          <w:spacing w:val="-5"/>
        </w:rPr>
        <w:t xml:space="preserve"> i mogą łatwiej spłacić zaciągnięte kredyty. Dotyczy to zwłaszcza sektora gospodarki.</w:t>
      </w:r>
      <w:r w:rsidR="00230456" w:rsidRPr="00ED1BF9">
        <w:rPr>
          <w:spacing w:val="-5"/>
        </w:rPr>
        <w:t xml:space="preserve"> </w:t>
      </w:r>
      <w:r w:rsidR="00ED1BF9" w:rsidRPr="00ED1BF9">
        <w:rPr>
          <w:spacing w:val="-5"/>
        </w:rPr>
        <w:t xml:space="preserve">Innym rozwiązaniem </w:t>
      </w:r>
      <w:r w:rsidR="00ED1BF9">
        <w:rPr>
          <w:spacing w:val="-5"/>
        </w:rPr>
        <w:t xml:space="preserve">może być </w:t>
      </w:r>
      <w:r w:rsidR="00ED1BF9" w:rsidRPr="00ED1BF9">
        <w:rPr>
          <w:b/>
          <w:spacing w:val="-5"/>
        </w:rPr>
        <w:t>zaciągnięcie pożyczki na t</w:t>
      </w:r>
      <w:r w:rsidR="00DC1200">
        <w:rPr>
          <w:b/>
          <w:spacing w:val="-5"/>
        </w:rPr>
        <w:t>ę</w:t>
      </w:r>
      <w:r w:rsidR="00ED1BF9" w:rsidRPr="00ED1BF9">
        <w:rPr>
          <w:b/>
          <w:spacing w:val="-5"/>
        </w:rPr>
        <w:t xml:space="preserve"> część KPO przez państwo</w:t>
      </w:r>
      <w:r w:rsidR="00ED1BF9">
        <w:rPr>
          <w:spacing w:val="-5"/>
        </w:rPr>
        <w:t xml:space="preserve"> (np. obligacje skarbowe na odbu</w:t>
      </w:r>
      <w:r w:rsidR="00C606AB">
        <w:rPr>
          <w:spacing w:val="-5"/>
        </w:rPr>
        <w:softHyphen/>
      </w:r>
      <w:r w:rsidR="00ED1BF9">
        <w:rPr>
          <w:spacing w:val="-5"/>
        </w:rPr>
        <w:t xml:space="preserve">dowę) i </w:t>
      </w:r>
      <w:r w:rsidR="00ED1BF9" w:rsidRPr="00BC6F65">
        <w:rPr>
          <w:b/>
          <w:spacing w:val="-5"/>
        </w:rPr>
        <w:t>kiero</w:t>
      </w:r>
      <w:r w:rsidR="00ED1BF9" w:rsidRPr="00BC6F65">
        <w:rPr>
          <w:b/>
          <w:spacing w:val="-5"/>
        </w:rPr>
        <w:softHyphen/>
        <w:t>wanie na obszary deficytowe wsparcia dotacyjnego</w:t>
      </w:r>
      <w:r w:rsidR="00ED1BF9">
        <w:rPr>
          <w:spacing w:val="-5"/>
        </w:rPr>
        <w:t xml:space="preserve"> ze współfinansowaniem z JST).</w:t>
      </w:r>
    </w:p>
    <w:p w14:paraId="11008E48" w14:textId="10CA0DD1" w:rsidR="00C062C9" w:rsidRPr="00F77771" w:rsidRDefault="00230456" w:rsidP="00F77771">
      <w:pPr>
        <w:pStyle w:val="Akapitzlist"/>
        <w:ind w:left="567" w:firstLine="284"/>
        <w:jc w:val="both"/>
        <w:rPr>
          <w:spacing w:val="-6"/>
        </w:rPr>
      </w:pPr>
      <w:r w:rsidRPr="00FE2C55">
        <w:rPr>
          <w:spacing w:val="-6"/>
        </w:rPr>
        <w:t>Nie można natomiast zgodzić się z podejściem, z którego wynika np., że transport publiczny krajowy będzie finansowany z części grantowej, a transport miejski i regionalny – z części pożyczkowej („obcią</w:t>
      </w:r>
      <w:r w:rsidR="00FE2C55">
        <w:rPr>
          <w:spacing w:val="-6"/>
        </w:rPr>
        <w:softHyphen/>
      </w:r>
      <w:r w:rsidRPr="00FE2C55">
        <w:rPr>
          <w:spacing w:val="-6"/>
        </w:rPr>
        <w:t>żenie” zobowiązaniami powinno być tutaj równomierne).</w:t>
      </w:r>
      <w:r w:rsidR="000F596B">
        <w:rPr>
          <w:spacing w:val="-6"/>
        </w:rPr>
        <w:t xml:space="preserve"> Podobnie </w:t>
      </w:r>
      <w:r w:rsidR="00ED1804">
        <w:rPr>
          <w:spacing w:val="-6"/>
        </w:rPr>
        <w:t>trudno sobie wyobrazić</w:t>
      </w:r>
      <w:r w:rsidR="000F596B">
        <w:rPr>
          <w:spacing w:val="-6"/>
        </w:rPr>
        <w:t xml:space="preserve"> finanso</w:t>
      </w:r>
      <w:r w:rsidR="0042335F">
        <w:rPr>
          <w:spacing w:val="-6"/>
        </w:rPr>
        <w:softHyphen/>
      </w:r>
      <w:r w:rsidR="000F596B">
        <w:rPr>
          <w:spacing w:val="-6"/>
        </w:rPr>
        <w:t xml:space="preserve">wanie </w:t>
      </w:r>
      <w:r w:rsidR="0042335F">
        <w:rPr>
          <w:spacing w:val="-6"/>
        </w:rPr>
        <w:t>z części pożyczkowej</w:t>
      </w:r>
      <w:r w:rsidR="000F596B">
        <w:rPr>
          <w:spacing w:val="-6"/>
        </w:rPr>
        <w:t xml:space="preserve"> </w:t>
      </w:r>
      <w:r w:rsidR="00F3771B">
        <w:rPr>
          <w:spacing w:val="-6"/>
        </w:rPr>
        <w:t xml:space="preserve">działań w ramach </w:t>
      </w:r>
      <w:r w:rsidR="00AC008F" w:rsidRPr="00AC008F">
        <w:rPr>
          <w:spacing w:val="-6"/>
        </w:rPr>
        <w:t>„Zielon</w:t>
      </w:r>
      <w:r w:rsidR="00F3771B">
        <w:rPr>
          <w:spacing w:val="-6"/>
        </w:rPr>
        <w:t>ej</w:t>
      </w:r>
      <w:r w:rsidR="00AC008F" w:rsidRPr="00AC008F">
        <w:rPr>
          <w:spacing w:val="-6"/>
        </w:rPr>
        <w:t xml:space="preserve"> transformacj</w:t>
      </w:r>
      <w:r w:rsidR="00F3771B">
        <w:rPr>
          <w:spacing w:val="-6"/>
        </w:rPr>
        <w:t>i</w:t>
      </w:r>
      <w:r w:rsidR="00AC008F" w:rsidRPr="00AC008F">
        <w:rPr>
          <w:spacing w:val="-6"/>
        </w:rPr>
        <w:t xml:space="preserve"> miast i [miejskich] obszarów funkcjonalnych”</w:t>
      </w:r>
      <w:r w:rsidR="00092F81">
        <w:rPr>
          <w:spacing w:val="-6"/>
        </w:rPr>
        <w:t xml:space="preserve">, w tym </w:t>
      </w:r>
      <w:r w:rsidR="0042335F">
        <w:rPr>
          <w:spacing w:val="-6"/>
        </w:rPr>
        <w:t xml:space="preserve">budowę </w:t>
      </w:r>
      <w:r w:rsidR="00092F81">
        <w:rPr>
          <w:spacing w:val="-6"/>
        </w:rPr>
        <w:t xml:space="preserve">ścieżek rowerowych czy </w:t>
      </w:r>
      <w:r w:rsidR="0042335F">
        <w:rPr>
          <w:spacing w:val="-6"/>
        </w:rPr>
        <w:t xml:space="preserve">urządzanie </w:t>
      </w:r>
      <w:r w:rsidR="00092F81">
        <w:rPr>
          <w:spacing w:val="-6"/>
        </w:rPr>
        <w:t>terenów zielonych.</w:t>
      </w:r>
    </w:p>
    <w:p w14:paraId="67FE6446" w14:textId="7660FEDE" w:rsidR="00485936" w:rsidRPr="00ED1BF9" w:rsidRDefault="00485936" w:rsidP="00897AC4">
      <w:pPr>
        <w:pStyle w:val="Akapitzlist"/>
        <w:numPr>
          <w:ilvl w:val="0"/>
          <w:numId w:val="1"/>
        </w:numPr>
        <w:ind w:left="568" w:hanging="284"/>
        <w:jc w:val="both"/>
        <w:rPr>
          <w:spacing w:val="-5"/>
        </w:rPr>
      </w:pPr>
      <w:r w:rsidRPr="00ED1BF9">
        <w:rPr>
          <w:spacing w:val="-5"/>
        </w:rPr>
        <w:lastRenderedPageBreak/>
        <w:t xml:space="preserve">Projekt </w:t>
      </w:r>
      <w:r w:rsidR="004E7283" w:rsidRPr="00ED1BF9">
        <w:rPr>
          <w:spacing w:val="-5"/>
        </w:rPr>
        <w:t>został uzupełniony o opis filaru IV -</w:t>
      </w:r>
      <w:r w:rsidRPr="00ED1BF9">
        <w:rPr>
          <w:spacing w:val="-5"/>
        </w:rPr>
        <w:t xml:space="preserve"> </w:t>
      </w:r>
      <w:r w:rsidRPr="00ED1BF9">
        <w:rPr>
          <w:b/>
          <w:spacing w:val="-5"/>
        </w:rPr>
        <w:t>spójnoś</w:t>
      </w:r>
      <w:r w:rsidR="004E7283" w:rsidRPr="00ED1BF9">
        <w:rPr>
          <w:b/>
          <w:spacing w:val="-5"/>
        </w:rPr>
        <w:t>ć</w:t>
      </w:r>
      <w:r w:rsidRPr="00ED1BF9">
        <w:rPr>
          <w:b/>
          <w:spacing w:val="-5"/>
        </w:rPr>
        <w:t xml:space="preserve"> terytorialn</w:t>
      </w:r>
      <w:r w:rsidR="004E7283" w:rsidRPr="00ED1BF9">
        <w:rPr>
          <w:b/>
          <w:spacing w:val="-5"/>
        </w:rPr>
        <w:t>a</w:t>
      </w:r>
      <w:r w:rsidRPr="00ED1BF9">
        <w:rPr>
          <w:b/>
          <w:spacing w:val="-5"/>
        </w:rPr>
        <w:t xml:space="preserve"> i spo</w:t>
      </w:r>
      <w:r w:rsidRPr="00ED1BF9">
        <w:rPr>
          <w:b/>
          <w:spacing w:val="-5"/>
        </w:rPr>
        <w:softHyphen/>
        <w:t>łeczn</w:t>
      </w:r>
      <w:r w:rsidR="004E7283" w:rsidRPr="00ED1BF9">
        <w:rPr>
          <w:b/>
          <w:spacing w:val="-5"/>
        </w:rPr>
        <w:t>a</w:t>
      </w:r>
      <w:r w:rsidR="00230456" w:rsidRPr="00ED1BF9">
        <w:rPr>
          <w:spacing w:val="-5"/>
        </w:rPr>
        <w:t xml:space="preserve">. </w:t>
      </w:r>
      <w:r w:rsidR="004E7283" w:rsidRPr="00ED1BF9">
        <w:rPr>
          <w:spacing w:val="-5"/>
        </w:rPr>
        <w:t>Jednocześnie wskazano, że</w:t>
      </w:r>
      <w:r w:rsidR="00230456" w:rsidRPr="00ED1BF9">
        <w:rPr>
          <w:spacing w:val="-5"/>
        </w:rPr>
        <w:t xml:space="preserve"> kontekst spójności terytorialnej i społecznej jest zawarty </w:t>
      </w:r>
      <w:r w:rsidR="00DC1200">
        <w:rPr>
          <w:spacing w:val="-5"/>
        </w:rPr>
        <w:t>oraz</w:t>
      </w:r>
      <w:r w:rsidR="00230456" w:rsidRPr="00ED1BF9">
        <w:rPr>
          <w:spacing w:val="-5"/>
        </w:rPr>
        <w:t xml:space="preserve"> w</w:t>
      </w:r>
      <w:r w:rsidR="008C3DAE">
        <w:rPr>
          <w:spacing w:val="-5"/>
        </w:rPr>
        <w:t>y</w:t>
      </w:r>
      <w:r w:rsidR="00230456" w:rsidRPr="00ED1BF9">
        <w:rPr>
          <w:spacing w:val="-5"/>
        </w:rPr>
        <w:t>kazany w każdym z pozostałych pięciu filarów KPO.</w:t>
      </w:r>
    </w:p>
    <w:p w14:paraId="2559AF64" w14:textId="77777777" w:rsidR="00966C36" w:rsidRPr="00897AC4" w:rsidRDefault="00966C36" w:rsidP="00897AC4">
      <w:pPr>
        <w:pStyle w:val="Akapitzlist"/>
        <w:numPr>
          <w:ilvl w:val="0"/>
          <w:numId w:val="1"/>
        </w:numPr>
        <w:ind w:left="568" w:hanging="284"/>
        <w:jc w:val="both"/>
        <w:rPr>
          <w:spacing w:val="-4"/>
        </w:rPr>
      </w:pPr>
      <w:r w:rsidRPr="00897AC4">
        <w:rPr>
          <w:spacing w:val="-4"/>
        </w:rPr>
        <w:t xml:space="preserve">Projekt został także uzupełniony o </w:t>
      </w:r>
      <w:r w:rsidR="00485936" w:rsidRPr="00897AC4">
        <w:rPr>
          <w:b/>
          <w:spacing w:val="-4"/>
        </w:rPr>
        <w:t>ogólny opis spójności</w:t>
      </w:r>
      <w:r w:rsidR="00485936" w:rsidRPr="00897AC4">
        <w:rPr>
          <w:spacing w:val="-4"/>
        </w:rPr>
        <w:t xml:space="preserve"> proponowanych działań z innymi elemen</w:t>
      </w:r>
      <w:r w:rsidR="007A6109">
        <w:rPr>
          <w:spacing w:val="-4"/>
        </w:rPr>
        <w:softHyphen/>
      </w:r>
      <w:r w:rsidR="00485936" w:rsidRPr="00897AC4">
        <w:rPr>
          <w:spacing w:val="-4"/>
        </w:rPr>
        <w:t xml:space="preserve">tami polityki rozwoju (strategiami, programami itp.) państwa, w tym </w:t>
      </w:r>
      <w:r w:rsidR="00485936" w:rsidRPr="00897AC4">
        <w:rPr>
          <w:b/>
          <w:i/>
          <w:spacing w:val="-4"/>
        </w:rPr>
        <w:t>Krajową strategią rozwoju regionalnego</w:t>
      </w:r>
      <w:r w:rsidR="00485936" w:rsidRPr="00897AC4">
        <w:rPr>
          <w:spacing w:val="-4"/>
        </w:rPr>
        <w:t xml:space="preserve"> (KSRR) oraz </w:t>
      </w:r>
      <w:r w:rsidR="00485936" w:rsidRPr="00897AC4">
        <w:rPr>
          <w:b/>
          <w:i/>
          <w:spacing w:val="-4"/>
        </w:rPr>
        <w:t>Strategią zrównoważonego rozwoju wsi i rolnictwa</w:t>
      </w:r>
      <w:r w:rsidR="00485936" w:rsidRPr="00897AC4">
        <w:rPr>
          <w:spacing w:val="-4"/>
        </w:rPr>
        <w:t xml:space="preserve"> (</w:t>
      </w:r>
      <w:proofErr w:type="spellStart"/>
      <w:r w:rsidR="00485936" w:rsidRPr="00897AC4">
        <w:rPr>
          <w:spacing w:val="-4"/>
        </w:rPr>
        <w:t>SZRWiR</w:t>
      </w:r>
      <w:proofErr w:type="spellEnd"/>
      <w:r w:rsidR="00485936" w:rsidRPr="00897AC4">
        <w:rPr>
          <w:spacing w:val="-4"/>
        </w:rPr>
        <w:t xml:space="preserve">), jednak ogólnikowość sformułowań </w:t>
      </w:r>
      <w:r w:rsidR="00485936" w:rsidRPr="00C606AB">
        <w:rPr>
          <w:b/>
          <w:spacing w:val="-4"/>
        </w:rPr>
        <w:t>nie pozwala na ocenę</w:t>
      </w:r>
      <w:r w:rsidR="00485936" w:rsidRPr="00897AC4">
        <w:rPr>
          <w:spacing w:val="-4"/>
        </w:rPr>
        <w:t>, jak konkretne działania zaplanowane w KPO odnoszą się do części realizacyjnych tamtych dokumentów.</w:t>
      </w:r>
    </w:p>
    <w:p w14:paraId="4249F638" w14:textId="64507EE0" w:rsidR="00092F81" w:rsidRDefault="00230456" w:rsidP="00897AC4">
      <w:pPr>
        <w:pStyle w:val="Akapitzlist"/>
        <w:numPr>
          <w:ilvl w:val="0"/>
          <w:numId w:val="1"/>
        </w:numPr>
        <w:ind w:left="568" w:hanging="284"/>
        <w:jc w:val="both"/>
        <w:rPr>
          <w:spacing w:val="-4"/>
        </w:rPr>
      </w:pPr>
      <w:r w:rsidRPr="00092F81">
        <w:rPr>
          <w:spacing w:val="-4"/>
        </w:rPr>
        <w:t xml:space="preserve">Projekt </w:t>
      </w:r>
      <w:r w:rsidRPr="00092F81">
        <w:rPr>
          <w:b/>
          <w:spacing w:val="-4"/>
        </w:rPr>
        <w:t xml:space="preserve">nie zawiera wystarczającego wykazania spójności KPO z innymi </w:t>
      </w:r>
      <w:r w:rsidR="004E7283" w:rsidRPr="00092F81">
        <w:rPr>
          <w:b/>
          <w:spacing w:val="-4"/>
        </w:rPr>
        <w:t>instrumentami nowej perspektywy UE</w:t>
      </w:r>
      <w:r w:rsidR="004E7283" w:rsidRPr="00092F81">
        <w:rPr>
          <w:spacing w:val="-4"/>
        </w:rPr>
        <w:t>, ponieważ prace nad ich programowaniem nadal trwają</w:t>
      </w:r>
      <w:r w:rsidR="00C606AB">
        <w:rPr>
          <w:spacing w:val="-4"/>
        </w:rPr>
        <w:t>, a założenia programów sektorowych</w:t>
      </w:r>
      <w:r w:rsidR="007C2E91">
        <w:rPr>
          <w:spacing w:val="-4"/>
        </w:rPr>
        <w:t xml:space="preserve"> nie są znane.</w:t>
      </w:r>
    </w:p>
    <w:p w14:paraId="4AE611C8" w14:textId="78EEFB02" w:rsidR="00092F81" w:rsidRDefault="009019C5" w:rsidP="00897AC4">
      <w:pPr>
        <w:pStyle w:val="Akapitzlist"/>
        <w:numPr>
          <w:ilvl w:val="0"/>
          <w:numId w:val="1"/>
        </w:numPr>
        <w:ind w:left="568" w:hanging="284"/>
        <w:jc w:val="both"/>
        <w:rPr>
          <w:spacing w:val="-4"/>
        </w:rPr>
      </w:pPr>
      <w:r>
        <w:rPr>
          <w:spacing w:val="-4"/>
        </w:rPr>
        <w:t xml:space="preserve">Projekt KPO przyznaje alokację na </w:t>
      </w:r>
      <w:r w:rsidRPr="0009364A">
        <w:rPr>
          <w:b/>
          <w:spacing w:val="-4"/>
        </w:rPr>
        <w:t>transport szynowy w miastach</w:t>
      </w:r>
      <w:r>
        <w:rPr>
          <w:spacing w:val="-4"/>
        </w:rPr>
        <w:t xml:space="preserve">, jednakże </w:t>
      </w:r>
      <w:r w:rsidR="00C94964">
        <w:rPr>
          <w:spacing w:val="-4"/>
        </w:rPr>
        <w:t>interwencja ograniczona jest jedynie do formy pożyczkowej.</w:t>
      </w:r>
      <w:r w:rsidR="00C606AB">
        <w:rPr>
          <w:spacing w:val="-4"/>
        </w:rPr>
        <w:t xml:space="preserve"> Tymczasem transport ten jest deficytowy i nie rokuje szans na spłatę zaciągniętych pożyczek z przychodów.</w:t>
      </w:r>
    </w:p>
    <w:p w14:paraId="4BEB11C4" w14:textId="78A98047" w:rsidR="00B946B6" w:rsidRDefault="00B946B6" w:rsidP="0042335F">
      <w:pPr>
        <w:pStyle w:val="Akapitzlist"/>
        <w:numPr>
          <w:ilvl w:val="0"/>
          <w:numId w:val="1"/>
        </w:numPr>
        <w:ind w:left="567" w:hanging="397"/>
        <w:jc w:val="both"/>
        <w:rPr>
          <w:spacing w:val="-4"/>
        </w:rPr>
      </w:pPr>
      <w:r>
        <w:rPr>
          <w:spacing w:val="-4"/>
        </w:rPr>
        <w:t xml:space="preserve">Sprzeciw budzi też uprzywilejowanie </w:t>
      </w:r>
      <w:r w:rsidR="008C0C07">
        <w:rPr>
          <w:spacing w:val="-4"/>
        </w:rPr>
        <w:t>PKP Intercity (</w:t>
      </w:r>
      <w:r w:rsidR="005A3E07">
        <w:rPr>
          <w:spacing w:val="-4"/>
        </w:rPr>
        <w:t>wsparcie pozakonkursowe)</w:t>
      </w:r>
      <w:r w:rsidR="008C0C07">
        <w:rPr>
          <w:spacing w:val="-4"/>
        </w:rPr>
        <w:t xml:space="preserve"> kosztem przewozów regionalnych (konieczność udziału w konkursach)</w:t>
      </w:r>
      <w:r w:rsidR="005A3E07">
        <w:rPr>
          <w:spacing w:val="-4"/>
        </w:rPr>
        <w:t>.</w:t>
      </w:r>
    </w:p>
    <w:p w14:paraId="061B316E" w14:textId="7F2034E2" w:rsidR="00C94964" w:rsidRPr="00C606AB" w:rsidRDefault="00C94964" w:rsidP="0042335F">
      <w:pPr>
        <w:pStyle w:val="Akapitzlist"/>
        <w:numPr>
          <w:ilvl w:val="0"/>
          <w:numId w:val="1"/>
        </w:numPr>
        <w:ind w:left="567" w:hanging="397"/>
        <w:jc w:val="both"/>
        <w:rPr>
          <w:color w:val="000000" w:themeColor="text1"/>
          <w:spacing w:val="-5"/>
        </w:rPr>
      </w:pPr>
      <w:r w:rsidRPr="00C606AB">
        <w:rPr>
          <w:color w:val="000000" w:themeColor="text1"/>
          <w:spacing w:val="-5"/>
        </w:rPr>
        <w:t xml:space="preserve">KPO </w:t>
      </w:r>
      <w:r w:rsidR="00473A55" w:rsidRPr="00C606AB">
        <w:rPr>
          <w:color w:val="000000" w:themeColor="text1"/>
          <w:spacing w:val="-5"/>
        </w:rPr>
        <w:t xml:space="preserve">zakłada interwencję </w:t>
      </w:r>
      <w:r w:rsidR="0042335F" w:rsidRPr="00C606AB">
        <w:rPr>
          <w:color w:val="000000" w:themeColor="text1"/>
          <w:spacing w:val="-5"/>
        </w:rPr>
        <w:t>adresowaną do</w:t>
      </w:r>
      <w:r w:rsidR="00473A55" w:rsidRPr="00C606AB">
        <w:rPr>
          <w:color w:val="000000" w:themeColor="text1"/>
          <w:spacing w:val="-5"/>
        </w:rPr>
        <w:t xml:space="preserve"> </w:t>
      </w:r>
      <w:r w:rsidR="00473A55" w:rsidRPr="0009364A">
        <w:rPr>
          <w:b/>
          <w:color w:val="000000" w:themeColor="text1"/>
          <w:spacing w:val="-5"/>
        </w:rPr>
        <w:t>szpital</w:t>
      </w:r>
      <w:r w:rsidR="0042335F" w:rsidRPr="0009364A">
        <w:rPr>
          <w:b/>
          <w:color w:val="000000" w:themeColor="text1"/>
          <w:spacing w:val="-5"/>
        </w:rPr>
        <w:t>i</w:t>
      </w:r>
      <w:r w:rsidR="00473A55" w:rsidRPr="0009364A">
        <w:rPr>
          <w:b/>
          <w:color w:val="000000" w:themeColor="text1"/>
          <w:spacing w:val="-5"/>
        </w:rPr>
        <w:t xml:space="preserve"> powiatow</w:t>
      </w:r>
      <w:r w:rsidR="0042335F" w:rsidRPr="0009364A">
        <w:rPr>
          <w:b/>
          <w:color w:val="000000" w:themeColor="text1"/>
          <w:spacing w:val="-5"/>
        </w:rPr>
        <w:t>ych</w:t>
      </w:r>
      <w:r w:rsidR="00473A55" w:rsidRPr="00C606AB">
        <w:rPr>
          <w:color w:val="000000" w:themeColor="text1"/>
          <w:spacing w:val="-5"/>
        </w:rPr>
        <w:t xml:space="preserve">, </w:t>
      </w:r>
      <w:r w:rsidR="00476C23">
        <w:rPr>
          <w:color w:val="000000" w:themeColor="text1"/>
          <w:spacing w:val="-5"/>
        </w:rPr>
        <w:t>ale</w:t>
      </w:r>
      <w:r w:rsidR="00473A55" w:rsidRPr="00C606AB">
        <w:rPr>
          <w:color w:val="000000" w:themeColor="text1"/>
          <w:spacing w:val="-5"/>
        </w:rPr>
        <w:t xml:space="preserve"> wsparcie to jest ograniczone jedynie do formy </w:t>
      </w:r>
      <w:r w:rsidR="0009364A">
        <w:rPr>
          <w:color w:val="000000" w:themeColor="text1"/>
          <w:spacing w:val="-5"/>
        </w:rPr>
        <w:t>zwrotnej</w:t>
      </w:r>
      <w:r w:rsidR="00C606AB">
        <w:rPr>
          <w:color w:val="000000" w:themeColor="text1"/>
          <w:spacing w:val="-5"/>
        </w:rPr>
        <w:t>. Przy dzisiejszym, wadliwym systemie finansowania ochrony zdrowia jest to nieuzasadnione.</w:t>
      </w:r>
    </w:p>
    <w:p w14:paraId="744A58CD" w14:textId="751861B8" w:rsidR="007D6290" w:rsidRDefault="00C37307" w:rsidP="00976F17">
      <w:pPr>
        <w:pStyle w:val="Akapitzlist"/>
        <w:numPr>
          <w:ilvl w:val="0"/>
          <w:numId w:val="1"/>
        </w:numPr>
        <w:ind w:left="567" w:hanging="397"/>
        <w:jc w:val="both"/>
        <w:rPr>
          <w:spacing w:val="-4"/>
        </w:rPr>
      </w:pPr>
      <w:r w:rsidRPr="00C606AB">
        <w:rPr>
          <w:spacing w:val="-4"/>
        </w:rPr>
        <w:t xml:space="preserve">Niepokój budzą zapisy dotyczące planowanej reformy służby zdrowia, szczególnie te mówiące o </w:t>
      </w:r>
      <w:r w:rsidR="00AA0DAC" w:rsidRPr="00C606AB">
        <w:rPr>
          <w:spacing w:val="-4"/>
        </w:rPr>
        <w:t>wzmocnieniu i scentralizowaniu nadzoru nad szpitalami.</w:t>
      </w:r>
      <w:r w:rsidR="00C606AB" w:rsidRPr="00C606AB">
        <w:rPr>
          <w:spacing w:val="-4"/>
        </w:rPr>
        <w:t xml:space="preserve"> Dlatego oczekujemy pilnego przed</w:t>
      </w:r>
      <w:r w:rsidR="007D6290">
        <w:rPr>
          <w:spacing w:val="-4"/>
        </w:rPr>
        <w:t>stawienia założeń zapowiadanej reformy systemu ochrony zdrowia</w:t>
      </w:r>
      <w:r w:rsidR="0009364A">
        <w:rPr>
          <w:spacing w:val="-4"/>
        </w:rPr>
        <w:t>, w tym roli samorządów w zarządzaniu szpitalami.</w:t>
      </w:r>
    </w:p>
    <w:p w14:paraId="64FF99D3" w14:textId="177B6316" w:rsidR="007D6290" w:rsidRDefault="00012040" w:rsidP="00976F17">
      <w:pPr>
        <w:pStyle w:val="Akapitzlist"/>
        <w:numPr>
          <w:ilvl w:val="0"/>
          <w:numId w:val="1"/>
        </w:numPr>
        <w:ind w:left="567" w:hanging="397"/>
        <w:jc w:val="both"/>
        <w:rPr>
          <w:spacing w:val="-4"/>
        </w:rPr>
      </w:pPr>
      <w:r>
        <w:rPr>
          <w:spacing w:val="-4"/>
        </w:rPr>
        <w:t>Nie do przyjęcia są także wprowadzone w II wersji projektu zmiany ograniczające dostęp do środków przezna</w:t>
      </w:r>
      <w:r>
        <w:rPr>
          <w:spacing w:val="-4"/>
        </w:rPr>
        <w:softHyphen/>
        <w:t>czonych na rozwój infrastruktury wodociągowo-kanalizacyjnej do niektórych obszarów.</w:t>
      </w:r>
    </w:p>
    <w:p w14:paraId="2E9244BC" w14:textId="4F0A207D" w:rsidR="00012040" w:rsidRDefault="00012040" w:rsidP="00976F17">
      <w:pPr>
        <w:pStyle w:val="Akapitzlist"/>
        <w:numPr>
          <w:ilvl w:val="0"/>
          <w:numId w:val="1"/>
        </w:numPr>
        <w:ind w:left="567" w:hanging="397"/>
        <w:jc w:val="both"/>
        <w:rPr>
          <w:spacing w:val="-4"/>
        </w:rPr>
      </w:pPr>
      <w:r>
        <w:rPr>
          <w:spacing w:val="-4"/>
        </w:rPr>
        <w:t>Należy też zapewnić równy dostęp do środków przeznaczonych na modernizację systemów ogrzewa</w:t>
      </w:r>
      <w:r>
        <w:rPr>
          <w:spacing w:val="-4"/>
        </w:rPr>
        <w:softHyphen/>
        <w:t>nia dla mieszkańców domów jednorodzinnych i budynków wielorodzinnych.</w:t>
      </w:r>
    </w:p>
    <w:p w14:paraId="4E1B4E73" w14:textId="528D4090" w:rsidR="0020378B" w:rsidRDefault="0020378B" w:rsidP="00976F17">
      <w:pPr>
        <w:pStyle w:val="Akapitzlist"/>
        <w:numPr>
          <w:ilvl w:val="0"/>
          <w:numId w:val="1"/>
        </w:numPr>
        <w:ind w:left="567" w:hanging="397"/>
        <w:jc w:val="both"/>
        <w:rPr>
          <w:spacing w:val="-4"/>
        </w:rPr>
      </w:pPr>
      <w:r w:rsidRPr="00C606AB">
        <w:rPr>
          <w:spacing w:val="-4"/>
        </w:rPr>
        <w:t xml:space="preserve">KPO nie zakłada jakiegokolwiek wsparcia dla gmin uzdrowiskowych i turystycznych, które szczególnie ucierpiały w wyniku pandemii. </w:t>
      </w:r>
      <w:r w:rsidR="00E10B4F" w:rsidRPr="00C606AB">
        <w:rPr>
          <w:spacing w:val="-4"/>
        </w:rPr>
        <w:t>Jedynym pozytywnym aspektem w tym zakresie jest wsparcie dla podmiotów lecznictwa uzdrowiskowego.</w:t>
      </w:r>
    </w:p>
    <w:p w14:paraId="0FF2B666" w14:textId="7438E524" w:rsidR="00012040" w:rsidRPr="00C606AB" w:rsidRDefault="00012040" w:rsidP="00976F17">
      <w:pPr>
        <w:pStyle w:val="Akapitzlist"/>
        <w:numPr>
          <w:ilvl w:val="0"/>
          <w:numId w:val="1"/>
        </w:numPr>
        <w:ind w:left="567" w:hanging="397"/>
        <w:jc w:val="both"/>
        <w:rPr>
          <w:spacing w:val="-4"/>
        </w:rPr>
      </w:pPr>
      <w:r>
        <w:rPr>
          <w:spacing w:val="-4"/>
        </w:rPr>
        <w:t xml:space="preserve">Projekt nie zawiera ponadto </w:t>
      </w:r>
      <w:r w:rsidR="00295256">
        <w:rPr>
          <w:spacing w:val="-4"/>
        </w:rPr>
        <w:t xml:space="preserve">jasnej i zrozumiałej, </w:t>
      </w:r>
      <w:r>
        <w:rPr>
          <w:spacing w:val="-4"/>
        </w:rPr>
        <w:t xml:space="preserve">realistycznej </w:t>
      </w:r>
      <w:r w:rsidRPr="00295256">
        <w:rPr>
          <w:b/>
          <w:spacing w:val="-4"/>
        </w:rPr>
        <w:t>metodologii oceny efektywności reali</w:t>
      </w:r>
      <w:r w:rsidR="00295256">
        <w:rPr>
          <w:b/>
          <w:spacing w:val="-4"/>
        </w:rPr>
        <w:softHyphen/>
      </w:r>
      <w:r w:rsidRPr="00295256">
        <w:rPr>
          <w:b/>
          <w:spacing w:val="-4"/>
        </w:rPr>
        <w:t>zowanych działań</w:t>
      </w:r>
      <w:r>
        <w:rPr>
          <w:spacing w:val="-4"/>
        </w:rPr>
        <w:t>, a</w:t>
      </w:r>
      <w:r w:rsidR="00295256">
        <w:rPr>
          <w:spacing w:val="-4"/>
        </w:rPr>
        <w:t xml:space="preserve"> kształt </w:t>
      </w:r>
      <w:r>
        <w:rPr>
          <w:spacing w:val="-4"/>
        </w:rPr>
        <w:t>niektór</w:t>
      </w:r>
      <w:r w:rsidR="00295256">
        <w:rPr>
          <w:spacing w:val="-4"/>
        </w:rPr>
        <w:t>ych</w:t>
      </w:r>
      <w:r>
        <w:rPr>
          <w:spacing w:val="-4"/>
        </w:rPr>
        <w:t xml:space="preserve"> wskaźnik</w:t>
      </w:r>
      <w:r w:rsidR="00295256">
        <w:rPr>
          <w:spacing w:val="-4"/>
        </w:rPr>
        <w:t>ów budzi zdumienie (np. wiek produkcyjny i inne dotyczące demografii).</w:t>
      </w:r>
    </w:p>
    <w:p w14:paraId="2F49B70A" w14:textId="45BF2133" w:rsidR="00ED1BF9" w:rsidRDefault="00ED1BF9" w:rsidP="001114F5">
      <w:pPr>
        <w:ind w:left="170" w:firstLine="284"/>
        <w:jc w:val="both"/>
        <w:rPr>
          <w:spacing w:val="-4"/>
        </w:rPr>
      </w:pPr>
      <w:r w:rsidRPr="001114F5">
        <w:rPr>
          <w:spacing w:val="-4"/>
        </w:rPr>
        <w:t xml:space="preserve">Zarząd Związku uważa, że – zgodnie z rozporządzeniem Parlamentu i Rady UE – </w:t>
      </w:r>
      <w:r w:rsidRPr="001114F5">
        <w:rPr>
          <w:b/>
          <w:spacing w:val="-4"/>
          <w:u w:val="single"/>
        </w:rPr>
        <w:t>niezbędne jest moni</w:t>
      </w:r>
      <w:r w:rsidR="001114F5">
        <w:rPr>
          <w:b/>
          <w:spacing w:val="-4"/>
          <w:u w:val="single"/>
        </w:rPr>
        <w:softHyphen/>
      </w:r>
      <w:r w:rsidRPr="001114F5">
        <w:rPr>
          <w:b/>
          <w:spacing w:val="-4"/>
          <w:u w:val="single"/>
        </w:rPr>
        <w:t>to</w:t>
      </w:r>
      <w:r w:rsidRPr="001114F5">
        <w:rPr>
          <w:b/>
          <w:spacing w:val="-4"/>
          <w:u w:val="single"/>
        </w:rPr>
        <w:softHyphen/>
        <w:t xml:space="preserve">rowanie </w:t>
      </w:r>
      <w:r w:rsidR="001114F5">
        <w:rPr>
          <w:b/>
          <w:spacing w:val="-4"/>
          <w:u w:val="single"/>
        </w:rPr>
        <w:t>rzeczywistyc</w:t>
      </w:r>
      <w:r w:rsidRPr="001114F5">
        <w:rPr>
          <w:b/>
          <w:spacing w:val="-4"/>
          <w:u w:val="single"/>
        </w:rPr>
        <w:t>h skutków pandemii w Polsce i dokonanie po dwóch latach ewentual</w:t>
      </w:r>
      <w:r w:rsidR="00FE2C55" w:rsidRPr="001114F5">
        <w:rPr>
          <w:b/>
          <w:spacing w:val="-4"/>
          <w:u w:val="single"/>
        </w:rPr>
        <w:softHyphen/>
      </w:r>
      <w:r w:rsidRPr="001114F5">
        <w:rPr>
          <w:b/>
          <w:spacing w:val="-4"/>
          <w:u w:val="single"/>
        </w:rPr>
        <w:t>nej korekty KPO</w:t>
      </w:r>
      <w:r w:rsidRPr="001114F5">
        <w:rPr>
          <w:spacing w:val="-4"/>
        </w:rPr>
        <w:t>, tak aby wsparcie z Funduszu Odbudowy było kierowane do tych obszarów i sekto</w:t>
      </w:r>
      <w:r w:rsidR="00FE2C55" w:rsidRPr="001114F5">
        <w:rPr>
          <w:spacing w:val="-4"/>
        </w:rPr>
        <w:softHyphen/>
      </w:r>
      <w:r w:rsidRPr="001114F5">
        <w:rPr>
          <w:spacing w:val="-4"/>
        </w:rPr>
        <w:t>rów, które r</w:t>
      </w:r>
      <w:r w:rsidR="001114F5">
        <w:rPr>
          <w:spacing w:val="-4"/>
        </w:rPr>
        <w:t>ealnie</w:t>
      </w:r>
      <w:r w:rsidRPr="001114F5">
        <w:rPr>
          <w:spacing w:val="-4"/>
        </w:rPr>
        <w:t xml:space="preserve"> poniosły największe szkody w wyniku obecnego kryzysu.</w:t>
      </w:r>
    </w:p>
    <w:p w14:paraId="50697FDD" w14:textId="5C8027F8" w:rsidR="00295256" w:rsidRDefault="00295256" w:rsidP="003D3BA4">
      <w:pPr>
        <w:spacing w:after="0"/>
        <w:ind w:left="170" w:firstLine="284"/>
        <w:jc w:val="both"/>
        <w:rPr>
          <w:spacing w:val="-4"/>
        </w:rPr>
      </w:pPr>
      <w:r>
        <w:rPr>
          <w:spacing w:val="-4"/>
        </w:rPr>
        <w:t>Poznań, 29 kwietnia 2021 r.</w:t>
      </w:r>
      <w:r w:rsidR="003D3BA4">
        <w:rPr>
          <w:spacing w:val="-4"/>
        </w:rPr>
        <w:tab/>
      </w:r>
      <w:r w:rsidR="003D3BA4">
        <w:rPr>
          <w:spacing w:val="-4"/>
        </w:rPr>
        <w:tab/>
      </w:r>
      <w:r w:rsidR="003D3BA4">
        <w:rPr>
          <w:spacing w:val="-4"/>
        </w:rPr>
        <w:tab/>
      </w:r>
      <w:r w:rsidR="003D3BA4">
        <w:rPr>
          <w:spacing w:val="-4"/>
        </w:rPr>
        <w:tab/>
      </w:r>
      <w:r w:rsidR="003D3BA4">
        <w:rPr>
          <w:spacing w:val="-4"/>
        </w:rPr>
        <w:tab/>
      </w:r>
      <w:r w:rsidR="003D3BA4">
        <w:rPr>
          <w:spacing w:val="-4"/>
        </w:rPr>
        <w:tab/>
      </w:r>
      <w:r w:rsidR="003D3BA4" w:rsidRPr="003D3BA4">
        <w:rPr>
          <w:i/>
          <w:spacing w:val="-4"/>
        </w:rPr>
        <w:t>(-) Zygmunt Frankiewicz</w:t>
      </w:r>
    </w:p>
    <w:p w14:paraId="3B8A2EB5" w14:textId="1F937541" w:rsidR="003D3BA4" w:rsidRPr="001114F5" w:rsidRDefault="003D3BA4" w:rsidP="003D3BA4">
      <w:pPr>
        <w:spacing w:after="0"/>
        <w:ind w:left="170" w:firstLine="284"/>
        <w:jc w:val="both"/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  PREZES ZWIĄZKU</w:t>
      </w:r>
    </w:p>
    <w:sectPr w:rsidR="003D3BA4" w:rsidRPr="001114F5" w:rsidSect="00C606A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60C1"/>
    <w:multiLevelType w:val="hybridMultilevel"/>
    <w:tmpl w:val="456CC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A9"/>
    <w:rsid w:val="00012040"/>
    <w:rsid w:val="00041FD4"/>
    <w:rsid w:val="00092F81"/>
    <w:rsid w:val="0009364A"/>
    <w:rsid w:val="000F596B"/>
    <w:rsid w:val="001114F5"/>
    <w:rsid w:val="00197D5F"/>
    <w:rsid w:val="001C1A8B"/>
    <w:rsid w:val="0020378B"/>
    <w:rsid w:val="00230456"/>
    <w:rsid w:val="0027700C"/>
    <w:rsid w:val="00283217"/>
    <w:rsid w:val="00295256"/>
    <w:rsid w:val="00295513"/>
    <w:rsid w:val="002A7247"/>
    <w:rsid w:val="002D5137"/>
    <w:rsid w:val="003A37D2"/>
    <w:rsid w:val="003C2842"/>
    <w:rsid w:val="003D3BA4"/>
    <w:rsid w:val="0042335F"/>
    <w:rsid w:val="004438AF"/>
    <w:rsid w:val="00473A55"/>
    <w:rsid w:val="00474564"/>
    <w:rsid w:val="00476C23"/>
    <w:rsid w:val="00485936"/>
    <w:rsid w:val="004E7283"/>
    <w:rsid w:val="00500559"/>
    <w:rsid w:val="0050572C"/>
    <w:rsid w:val="005A3E07"/>
    <w:rsid w:val="00666DFB"/>
    <w:rsid w:val="00666F06"/>
    <w:rsid w:val="00671F4A"/>
    <w:rsid w:val="00710399"/>
    <w:rsid w:val="00740A13"/>
    <w:rsid w:val="007A6109"/>
    <w:rsid w:val="007C2E91"/>
    <w:rsid w:val="007D6290"/>
    <w:rsid w:val="007F1522"/>
    <w:rsid w:val="00897AC4"/>
    <w:rsid w:val="008C0C07"/>
    <w:rsid w:val="008C3DAE"/>
    <w:rsid w:val="008E0A7F"/>
    <w:rsid w:val="008E51B2"/>
    <w:rsid w:val="009019C5"/>
    <w:rsid w:val="00962873"/>
    <w:rsid w:val="00966C36"/>
    <w:rsid w:val="00990FF6"/>
    <w:rsid w:val="00992EBA"/>
    <w:rsid w:val="009E43A9"/>
    <w:rsid w:val="00AA0DAC"/>
    <w:rsid w:val="00AC008F"/>
    <w:rsid w:val="00B55572"/>
    <w:rsid w:val="00B946B6"/>
    <w:rsid w:val="00BC6F65"/>
    <w:rsid w:val="00BD1D09"/>
    <w:rsid w:val="00C062C9"/>
    <w:rsid w:val="00C37307"/>
    <w:rsid w:val="00C54872"/>
    <w:rsid w:val="00C606AB"/>
    <w:rsid w:val="00C94964"/>
    <w:rsid w:val="00CD77F7"/>
    <w:rsid w:val="00CF40B0"/>
    <w:rsid w:val="00D36BE9"/>
    <w:rsid w:val="00DC1200"/>
    <w:rsid w:val="00E10B4F"/>
    <w:rsid w:val="00EC7485"/>
    <w:rsid w:val="00ED1804"/>
    <w:rsid w:val="00ED1BF9"/>
    <w:rsid w:val="00EE452D"/>
    <w:rsid w:val="00EF146D"/>
    <w:rsid w:val="00F3771B"/>
    <w:rsid w:val="00F77771"/>
    <w:rsid w:val="00F9409D"/>
    <w:rsid w:val="00FD6097"/>
    <w:rsid w:val="00FE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02A54"/>
  <w15:chartTrackingRefBased/>
  <w15:docId w15:val="{E0557BAF-C584-4F59-968F-937E1FB5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3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7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0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0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0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0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0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3" ma:contentTypeDescription="Utwórz nowy dokument." ma:contentTypeScope="" ma:versionID="715191e1294c3447d64bf252998b2a42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f87fb2d5a313ded0b7bef1af148613b4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31F5D-E07E-4B48-A15D-052F28BAE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0A3D68-CA6E-4603-AC8B-AFD521C07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3BCED-2340-4A0A-B404-34B5EA05A7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1064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Porawski</dc:creator>
  <cp:keywords/>
  <dc:description/>
  <cp:lastModifiedBy>Hanna Hendrysiak</cp:lastModifiedBy>
  <cp:revision>2</cp:revision>
  <dcterms:created xsi:type="dcterms:W3CDTF">2021-04-30T12:33:00Z</dcterms:created>
  <dcterms:modified xsi:type="dcterms:W3CDTF">2021-04-30T12:33:00Z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