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88" w:rsidRDefault="006217D7" w:rsidP="004D03A9">
      <w:pPr>
        <w:jc w:val="both"/>
      </w:pPr>
      <w:bookmarkStart w:id="0" w:name="_GoBack"/>
      <w:bookmarkEnd w:id="0"/>
      <w:r>
        <w:t xml:space="preserve">Informacja o mieście Chongqing. </w:t>
      </w:r>
    </w:p>
    <w:p w:rsidR="006217D7" w:rsidRDefault="006217D7" w:rsidP="004D03A9">
      <w:pPr>
        <w:jc w:val="both"/>
      </w:pPr>
    </w:p>
    <w:p w:rsidR="006217D7" w:rsidRDefault="006217D7" w:rsidP="004D03A9">
      <w:pPr>
        <w:jc w:val="both"/>
      </w:pPr>
    </w:p>
    <w:p w:rsidR="006217D7" w:rsidRDefault="006217D7" w:rsidP="004D03A9">
      <w:pPr>
        <w:jc w:val="both"/>
      </w:pPr>
      <w:r>
        <w:t xml:space="preserve">Chongqing </w:t>
      </w:r>
      <w:r>
        <w:rPr>
          <w:rFonts w:hint="eastAsia"/>
        </w:rPr>
        <w:t>重庆</w:t>
      </w:r>
      <w:r>
        <w:t xml:space="preserve"> jest największym kompleksem miejskim w zachodnich Chinach, którego</w:t>
      </w:r>
      <w:r w:rsidR="00DD240D">
        <w:t xml:space="preserve"> całkowita </w:t>
      </w:r>
      <w:r>
        <w:t xml:space="preserve"> liczba mieszkańców sięga </w:t>
      </w:r>
      <w:r w:rsidR="00DD240D">
        <w:t xml:space="preserve">ponad 32mln osób (z czego w mieście sensu stricte mieszka niemalże 9mln, a ponad 23 mln stanowią rolnicy). Metropolia Chongqing składa się </w:t>
      </w:r>
      <w:r w:rsidR="00DE2A8D">
        <w:t>z 26 dystryktów, 8 powiatów i 4 </w:t>
      </w:r>
      <w:r w:rsidR="00DD240D">
        <w:t xml:space="preserve">powiatów autonomicznych i rozciąga się na powierzchni 82.401 km2, z czego większość to tereny traktowane jako wiejskie.  </w:t>
      </w:r>
    </w:p>
    <w:p w:rsidR="00DD240D" w:rsidRDefault="00DD240D" w:rsidP="004D03A9">
      <w:pPr>
        <w:jc w:val="both"/>
      </w:pPr>
    </w:p>
    <w:p w:rsidR="00DD240D" w:rsidRDefault="00DD240D" w:rsidP="004D03A9">
      <w:pPr>
        <w:jc w:val="both"/>
      </w:pPr>
      <w:r>
        <w:t xml:space="preserve">Miasto w marcu 1997 r. wydzielone zostało z prowincji Syczuan i uzyskało status </w:t>
      </w:r>
      <w:r w:rsidR="003B77CB">
        <w:t xml:space="preserve">miasta na prawach prowincji (podobnie jak Pekin, Szanghaj i Tianjin), a jej władze zasiadają w Komitecie Centralnym KPCh. </w:t>
      </w:r>
      <w:r>
        <w:t xml:space="preserve"> </w:t>
      </w:r>
    </w:p>
    <w:p w:rsidR="003B77CB" w:rsidRDefault="003B77CB" w:rsidP="004D03A9">
      <w:pPr>
        <w:jc w:val="both"/>
      </w:pPr>
    </w:p>
    <w:p w:rsidR="003B77CB" w:rsidRDefault="003B77CB" w:rsidP="004D03A9">
      <w:pPr>
        <w:jc w:val="both"/>
      </w:pPr>
      <w:r>
        <w:t xml:space="preserve">Przez miasto przepływają dwie rzeki: Jangcy i </w:t>
      </w:r>
      <w:proofErr w:type="spellStart"/>
      <w:r>
        <w:t>Jialin</w:t>
      </w:r>
      <w:proofErr w:type="spellEnd"/>
      <w:r>
        <w:t xml:space="preserve">. Dzięki niemalże 50 mostom w jego centralnej części, Chongqing często nazywane jest Chińską Stolica Mostów. Usytuowane na górzystym terenie, </w:t>
      </w:r>
      <w:r w:rsidR="00B365DD">
        <w:t xml:space="preserve">centralna część miasta osiąga wysokości nad poziomem morza pomiędzy 160 a 379m, podczas gdy najwyższy punkt obrzeży miasta znajduje się na 17094 </w:t>
      </w:r>
      <w:proofErr w:type="spellStart"/>
      <w:r w:rsidR="00B365DD">
        <w:t>mnpm</w:t>
      </w:r>
      <w:proofErr w:type="spellEnd"/>
      <w:r w:rsidR="00B365DD">
        <w:t xml:space="preserve">. </w:t>
      </w:r>
    </w:p>
    <w:p w:rsidR="00B365DD" w:rsidRDefault="00B365DD" w:rsidP="004D03A9">
      <w:pPr>
        <w:jc w:val="both"/>
      </w:pPr>
    </w:p>
    <w:p w:rsidR="00B365DD" w:rsidRDefault="00B365DD" w:rsidP="004D03A9">
      <w:pPr>
        <w:jc w:val="both"/>
      </w:pPr>
      <w:r>
        <w:t>Od kilku lat władze centralne w Pekinie kierują znaczne środki do zachodnich Chin w celu pobudzenia rozwoju tej części kraju. Na subwencjach korzysta także Chongqing, który rozbudowuje system transportu pub</w:t>
      </w:r>
      <w:r w:rsidR="00DE2A8D">
        <w:t xml:space="preserve">licznego i przemysł. Inwestycje w infrastrukturę zmniejszyły koszty transportu i usprawniły znacząco logistykę usytuowanego w Chongqing przemysłu. W niedalekiej odległości od miasta znajduje się Tama Trzech Przełomów, która zasila w energię zlokalizowany w Chongqing przemysł. Dzięki niej Chongqing stał się również ważnym portem śródlądowym, z którego towary rzeką Jangcy transportowane są do portów morskich. </w:t>
      </w:r>
    </w:p>
    <w:p w:rsidR="00DE2A8D" w:rsidRDefault="00DE2A8D" w:rsidP="004D03A9">
      <w:pPr>
        <w:jc w:val="both"/>
      </w:pPr>
    </w:p>
    <w:p w:rsidR="00A2787E" w:rsidRPr="00DE2A8D" w:rsidRDefault="00A2787E" w:rsidP="004D03A9">
      <w:pPr>
        <w:jc w:val="both"/>
      </w:pPr>
      <w:r w:rsidRPr="00DE2A8D">
        <w:t>Głównymi gałęziami przemysłu są motoryzacja, uzbrojenie, stal i żelazo, aluminium. W ostatnich latach w siłę rośnie przemysł elektroniczny</w:t>
      </w:r>
      <w:r>
        <w:t xml:space="preserve"> </w:t>
      </w:r>
      <w:r w:rsidRPr="00DE2A8D">
        <w:t>(odpowiedzialny za niemalże 15% PKB), preferencyjne regulacje wspierają także rozwój sektora chemicznego (w tym farmaceutycznego, nowych materiałów) i energetyki. W 2016 r. PKB miasta wzrósł o 10,7%, utrzymując tendencję z ubiegłego roku.</w:t>
      </w:r>
    </w:p>
    <w:p w:rsidR="00DE2A8D" w:rsidRDefault="00DE2A8D" w:rsidP="004D03A9">
      <w:pPr>
        <w:jc w:val="both"/>
      </w:pPr>
    </w:p>
    <w:p w:rsidR="00DE2A8D" w:rsidRPr="00DE2A8D" w:rsidRDefault="00DE2A8D" w:rsidP="004D03A9">
      <w:pPr>
        <w:jc w:val="both"/>
      </w:pPr>
      <w:r w:rsidRPr="00DE2A8D">
        <w:t>Chongqing duże szanse widzi w rozwoju idei „Pasa i Szlaku”, a także inicjatywie Ekonomicznego Pasa Rzeki Jangcy. Włodarze miasta chcą do 2020 zainwestować ponad 1,2 bln RMB w projekty inwestycyjne mające na celu rozwój miasta w kierunku centrum finansowego i technologiczno-naukowego. W dalszym ciągu rozwijana będzie strategiczna pozycja miasta jako wewnętrznego portu i centrum logistyki.</w:t>
      </w:r>
    </w:p>
    <w:p w:rsidR="00DE2A8D" w:rsidRDefault="00DE2A8D" w:rsidP="004D03A9">
      <w:pPr>
        <w:jc w:val="both"/>
      </w:pPr>
    </w:p>
    <w:p w:rsidR="00A2787E" w:rsidRPr="00DE2A8D" w:rsidRDefault="00A2787E" w:rsidP="004D03A9">
      <w:pPr>
        <w:jc w:val="both"/>
      </w:pPr>
      <w:r>
        <w:t xml:space="preserve">Rozwijając się dynamicznie pod względem ekonomicznym, Chongqing zachowuje jednocześnie piękno naturalnych formacji i dziedzictwo kulturalne. </w:t>
      </w:r>
    </w:p>
    <w:p w:rsidR="00DE2A8D" w:rsidRDefault="00DE2A8D" w:rsidP="004D03A9">
      <w:pPr>
        <w:jc w:val="both"/>
      </w:pPr>
    </w:p>
    <w:p w:rsidR="001F7B1F" w:rsidRPr="004D03A9" w:rsidRDefault="001F7B1F" w:rsidP="004D03A9">
      <w:pPr>
        <w:jc w:val="both"/>
      </w:pPr>
      <w:r w:rsidRPr="004D03A9">
        <w:t>Miasta partnerskie: Tuluza (Francja), Seattle</w:t>
      </w:r>
      <w:r w:rsidR="004D03A9" w:rsidRPr="004D03A9">
        <w:t xml:space="preserve">, Detroit, Nowy Jork </w:t>
      </w:r>
      <w:r w:rsidRPr="004D03A9">
        <w:t xml:space="preserve">(USA), Toronto (Kanada), Hiroszima (Japonia), Leicester (UK), Woroneż (Rosja), Okręg Zaporoski (Ukraina), </w:t>
      </w:r>
      <w:proofErr w:type="spellStart"/>
      <w:r w:rsidRPr="004D03A9">
        <w:t>Mpumalanga</w:t>
      </w:r>
      <w:proofErr w:type="spellEnd"/>
      <w:r w:rsidRPr="004D03A9">
        <w:t xml:space="preserve"> (RPA), Dusseldorf (Niemcy), Brisbane (Australia), Sziraz (Iran), Asuan (Egipt), </w:t>
      </w:r>
      <w:proofErr w:type="spellStart"/>
      <w:r w:rsidRPr="004D03A9">
        <w:t>Busan</w:t>
      </w:r>
      <w:proofErr w:type="spellEnd"/>
      <w:r w:rsidRPr="004D03A9">
        <w:t xml:space="preserve"> (Republika Korei), </w:t>
      </w:r>
      <w:proofErr w:type="spellStart"/>
      <w:r w:rsidRPr="004D03A9">
        <w:t>Sor-Trondelag</w:t>
      </w:r>
      <w:proofErr w:type="spellEnd"/>
      <w:r w:rsidRPr="004D03A9">
        <w:t xml:space="preserve"> (Norwegia), prowincja </w:t>
      </w:r>
      <w:proofErr w:type="spellStart"/>
      <w:r w:rsidR="004D03A9" w:rsidRPr="004D03A9">
        <w:t>Chiang</w:t>
      </w:r>
      <w:proofErr w:type="spellEnd"/>
      <w:r w:rsidR="004D03A9" w:rsidRPr="004D03A9">
        <w:t xml:space="preserve"> Mai, Bangkok (Tajlandia), Kordoba (Argentyna), </w:t>
      </w:r>
      <w:proofErr w:type="spellStart"/>
      <w:r w:rsidR="004D03A9" w:rsidRPr="004D03A9">
        <w:t>Pest</w:t>
      </w:r>
      <w:proofErr w:type="spellEnd"/>
      <w:r w:rsidR="004D03A9" w:rsidRPr="004D03A9">
        <w:t xml:space="preserve"> (Węgry), Bangkok (Tajlandia), Antwerpia (Belgia), Bahia (Brazylia),</w:t>
      </w:r>
      <w:proofErr w:type="spellStart"/>
      <w:r w:rsidR="004D03A9" w:rsidRPr="004D03A9">
        <w:t>Chennai</w:t>
      </w:r>
      <w:proofErr w:type="spellEnd"/>
      <w:r w:rsidR="004D03A9" w:rsidRPr="004D03A9">
        <w:t xml:space="preserve"> (Indie). </w:t>
      </w:r>
    </w:p>
    <w:sectPr w:rsidR="001F7B1F" w:rsidRPr="004D0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863FB"/>
    <w:multiLevelType w:val="hybridMultilevel"/>
    <w:tmpl w:val="E48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56CDF"/>
    <w:multiLevelType w:val="multilevel"/>
    <w:tmpl w:val="DA36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D7"/>
    <w:rsid w:val="001F7B1F"/>
    <w:rsid w:val="003B77CB"/>
    <w:rsid w:val="004D03A9"/>
    <w:rsid w:val="005D6D6F"/>
    <w:rsid w:val="006217D7"/>
    <w:rsid w:val="00814588"/>
    <w:rsid w:val="00A2787E"/>
    <w:rsid w:val="00A63EA3"/>
    <w:rsid w:val="00B365DD"/>
    <w:rsid w:val="00DD240D"/>
    <w:rsid w:val="00DE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FF0AB-E0FC-46F4-9BDF-2B1EA98E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2A8D"/>
    <w:pPr>
      <w:spacing w:line="384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1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9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40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4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Wilkowiecka Katarzyna</dc:creator>
  <cp:lastModifiedBy>Wilkowiecka Katarzyna</cp:lastModifiedBy>
  <cp:revision>2</cp:revision>
  <dcterms:created xsi:type="dcterms:W3CDTF">2018-06-04T04:28:00Z</dcterms:created>
  <dcterms:modified xsi:type="dcterms:W3CDTF">2018-06-04T04:28:00Z</dcterms:modified>
</cp:coreProperties>
</file>