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1FBD" w:rsidRPr="009637C1" w:rsidRDefault="00791FBD" w:rsidP="00730411">
      <w:pPr>
        <w:pageBreakBefore/>
        <w:tabs>
          <w:tab w:val="left" w:pos="540"/>
        </w:tabs>
        <w:spacing w:after="240" w:line="240" w:lineRule="exact"/>
        <w:jc w:val="center"/>
        <w:rPr>
          <w:rFonts w:asciiTheme="minorHAnsi" w:hAnsiTheme="minorHAnsi"/>
          <w:b/>
          <w:sz w:val="22"/>
          <w:szCs w:val="22"/>
          <w:u w:val="single"/>
        </w:rPr>
      </w:pPr>
      <w:r w:rsidRPr="009637C1">
        <w:rPr>
          <w:rFonts w:asciiTheme="minorHAnsi" w:hAnsiTheme="minorHAnsi"/>
          <w:b/>
          <w:sz w:val="22"/>
          <w:szCs w:val="22"/>
          <w:u w:val="single"/>
        </w:rPr>
        <w:t>Uzasadnienie</w:t>
      </w:r>
    </w:p>
    <w:p w:rsidR="004A1ABF" w:rsidRPr="003213A0" w:rsidRDefault="004A1ABF" w:rsidP="00730411">
      <w:pPr>
        <w:tabs>
          <w:tab w:val="left" w:pos="540"/>
        </w:tabs>
        <w:spacing w:after="240" w:line="240" w:lineRule="exact"/>
      </w:pPr>
    </w:p>
    <w:p w:rsidR="00915092" w:rsidRPr="00017CE2" w:rsidRDefault="00CF2E50" w:rsidP="00017CE2">
      <w:pPr>
        <w:pStyle w:val="Tekstpodstawowy2"/>
        <w:tabs>
          <w:tab w:val="clear" w:pos="709"/>
        </w:tabs>
        <w:spacing w:after="240" w:line="240" w:lineRule="exact"/>
        <w:rPr>
          <w:rFonts w:asciiTheme="minorHAnsi" w:hAnsiTheme="minorHAnsi" w:cs="Arial"/>
          <w:b/>
          <w:i/>
          <w:sz w:val="22"/>
          <w:szCs w:val="22"/>
          <w:u w:val="single"/>
        </w:rPr>
      </w:pPr>
      <w:r w:rsidRPr="00896AE4">
        <w:rPr>
          <w:rFonts w:asciiTheme="minorHAnsi" w:hAnsiTheme="minorHAnsi" w:cs="Arial"/>
          <w:b/>
          <w:i/>
          <w:sz w:val="22"/>
          <w:szCs w:val="22"/>
          <w:u w:val="single"/>
        </w:rPr>
        <w:t xml:space="preserve">Wstęp </w:t>
      </w:r>
    </w:p>
    <w:p w:rsidR="00915092" w:rsidRDefault="00915092" w:rsidP="00A86097">
      <w:pPr>
        <w:tabs>
          <w:tab w:val="left" w:pos="540"/>
        </w:tabs>
        <w:spacing w:after="240" w:line="240" w:lineRule="exact"/>
        <w:rPr>
          <w:rFonts w:asciiTheme="minorHAnsi" w:hAnsiTheme="minorHAnsi" w:cs="Arial"/>
          <w:sz w:val="22"/>
          <w:szCs w:val="22"/>
        </w:rPr>
      </w:pPr>
      <w:r>
        <w:rPr>
          <w:rFonts w:asciiTheme="minorHAnsi" w:hAnsiTheme="minorHAnsi" w:cs="Arial"/>
          <w:sz w:val="22"/>
          <w:szCs w:val="22"/>
        </w:rPr>
        <w:t xml:space="preserve">27 września 2016 r. Rada Ministrów </w:t>
      </w:r>
      <w:r w:rsidR="00BA4DB4">
        <w:rPr>
          <w:rFonts w:asciiTheme="minorHAnsi" w:hAnsiTheme="minorHAnsi" w:cs="Arial"/>
          <w:sz w:val="22"/>
          <w:szCs w:val="22"/>
        </w:rPr>
        <w:t xml:space="preserve">podjęła </w:t>
      </w:r>
      <w:r>
        <w:rPr>
          <w:rFonts w:asciiTheme="minorHAnsi" w:hAnsiTheme="minorHAnsi" w:cs="Arial"/>
          <w:sz w:val="22"/>
          <w:szCs w:val="22"/>
        </w:rPr>
        <w:t xml:space="preserve">uchwałę nr 115/2016 w sprawie przyjęcia Narodowego Programu Mieszkaniowego. Dokument ten zawiera część diagnostyczną </w:t>
      </w:r>
      <w:r w:rsidR="00A71BA6">
        <w:rPr>
          <w:rFonts w:asciiTheme="minorHAnsi" w:hAnsiTheme="minorHAnsi" w:cs="Arial"/>
          <w:sz w:val="22"/>
          <w:szCs w:val="22"/>
        </w:rPr>
        <w:t>identyfikującą</w:t>
      </w:r>
      <w:r>
        <w:rPr>
          <w:rFonts w:asciiTheme="minorHAnsi" w:hAnsiTheme="minorHAnsi" w:cs="Arial"/>
          <w:sz w:val="22"/>
          <w:szCs w:val="22"/>
        </w:rPr>
        <w:t xml:space="preserve"> – </w:t>
      </w:r>
      <w:r w:rsidR="00B71034">
        <w:rPr>
          <w:rFonts w:asciiTheme="minorHAnsi" w:hAnsiTheme="minorHAnsi" w:cs="Arial"/>
          <w:sz w:val="22"/>
          <w:szCs w:val="22"/>
        </w:rPr>
        <w:t xml:space="preserve">w oparciu </w:t>
      </w:r>
      <w:r w:rsidR="004A1ABF">
        <w:rPr>
          <w:rFonts w:asciiTheme="minorHAnsi" w:hAnsiTheme="minorHAnsi" w:cs="Arial"/>
          <w:sz w:val="22"/>
          <w:szCs w:val="22"/>
        </w:rPr>
        <w:br/>
      </w:r>
      <w:r w:rsidR="00B71034">
        <w:rPr>
          <w:rFonts w:asciiTheme="minorHAnsi" w:hAnsiTheme="minorHAnsi" w:cs="Arial"/>
          <w:sz w:val="22"/>
          <w:szCs w:val="22"/>
        </w:rPr>
        <w:t>o</w:t>
      </w:r>
      <w:r>
        <w:rPr>
          <w:rFonts w:asciiTheme="minorHAnsi" w:hAnsiTheme="minorHAnsi" w:cs="Arial"/>
          <w:sz w:val="22"/>
          <w:szCs w:val="22"/>
        </w:rPr>
        <w:t xml:space="preserve"> analiz</w:t>
      </w:r>
      <w:r w:rsidR="00B71034">
        <w:rPr>
          <w:rFonts w:asciiTheme="minorHAnsi" w:hAnsiTheme="minorHAnsi" w:cs="Arial"/>
          <w:sz w:val="22"/>
          <w:szCs w:val="22"/>
        </w:rPr>
        <w:t>ę</w:t>
      </w:r>
      <w:r>
        <w:rPr>
          <w:rFonts w:asciiTheme="minorHAnsi" w:hAnsiTheme="minorHAnsi" w:cs="Arial"/>
          <w:sz w:val="22"/>
          <w:szCs w:val="22"/>
        </w:rPr>
        <w:t xml:space="preserve"> danych </w:t>
      </w:r>
      <w:r w:rsidR="00946F44">
        <w:rPr>
          <w:rFonts w:asciiTheme="minorHAnsi" w:hAnsiTheme="minorHAnsi" w:cs="Arial"/>
          <w:sz w:val="22"/>
          <w:szCs w:val="22"/>
        </w:rPr>
        <w:t xml:space="preserve">statystycznych </w:t>
      </w:r>
      <w:r>
        <w:rPr>
          <w:rFonts w:asciiTheme="minorHAnsi" w:hAnsiTheme="minorHAnsi" w:cs="Arial"/>
          <w:sz w:val="22"/>
          <w:szCs w:val="22"/>
        </w:rPr>
        <w:t xml:space="preserve">– podstawowe problemy polskiego mieszkalnictwa. Na podstawie szczegółowej diagnozy sformułowano cele polityki mieszkaniowej w perspektywie do 2030 </w:t>
      </w:r>
      <w:r w:rsidR="00BA4DB4">
        <w:rPr>
          <w:rFonts w:asciiTheme="minorHAnsi" w:hAnsiTheme="minorHAnsi" w:cs="Arial"/>
          <w:sz w:val="22"/>
          <w:szCs w:val="22"/>
        </w:rPr>
        <w:t xml:space="preserve">r. </w:t>
      </w:r>
      <w:r>
        <w:rPr>
          <w:rFonts w:asciiTheme="minorHAnsi" w:hAnsiTheme="minorHAnsi" w:cs="Arial"/>
          <w:sz w:val="22"/>
          <w:szCs w:val="22"/>
        </w:rPr>
        <w:t xml:space="preserve">oraz towarzyszące im działania, które powinny przyczynić się do realizacji tych celów. Po ok. 1,5 roku funkcjonowania Programu następuje reorientacja części zapowiadanych instrumentów, wynikająca z rekomendacji Rady Mieszkalnictwa, powołanej przez Prezesa Rady Ministrów 29 stycznia 2018 r. </w:t>
      </w:r>
    </w:p>
    <w:p w:rsidR="00915092" w:rsidRPr="00915092" w:rsidRDefault="00915092" w:rsidP="00A86097">
      <w:pPr>
        <w:tabs>
          <w:tab w:val="left" w:pos="540"/>
        </w:tabs>
        <w:spacing w:after="240" w:line="240" w:lineRule="exact"/>
        <w:rPr>
          <w:rFonts w:asciiTheme="minorHAnsi" w:hAnsiTheme="minorHAnsi" w:cs="Arial"/>
          <w:sz w:val="22"/>
          <w:szCs w:val="22"/>
        </w:rPr>
      </w:pPr>
      <w:r>
        <w:rPr>
          <w:rFonts w:asciiTheme="minorHAnsi" w:hAnsiTheme="minorHAnsi" w:cs="Arial"/>
          <w:sz w:val="22"/>
          <w:szCs w:val="22"/>
        </w:rPr>
        <w:t xml:space="preserve">Podstawowe przesądzenie </w:t>
      </w:r>
      <w:r w:rsidR="00946F44">
        <w:rPr>
          <w:rFonts w:asciiTheme="minorHAnsi" w:hAnsiTheme="minorHAnsi" w:cs="Arial"/>
          <w:sz w:val="22"/>
          <w:szCs w:val="22"/>
        </w:rPr>
        <w:t xml:space="preserve">Rady Mieszkalnictwa </w:t>
      </w:r>
      <w:r>
        <w:rPr>
          <w:rFonts w:asciiTheme="minorHAnsi" w:hAnsiTheme="minorHAnsi" w:cs="Arial"/>
          <w:sz w:val="22"/>
          <w:szCs w:val="22"/>
        </w:rPr>
        <w:t>dotyczy rezygnacji z planowanego systemu wsparcia oszczędzania na cele mieszkaniowe na rzecz systemu dopłat do czynszów. Zmiana ta lepiej odwzor</w:t>
      </w:r>
      <w:r>
        <w:rPr>
          <w:rFonts w:asciiTheme="minorHAnsi" w:hAnsiTheme="minorHAnsi" w:cs="Arial"/>
          <w:sz w:val="22"/>
          <w:szCs w:val="22"/>
        </w:rPr>
        <w:t>o</w:t>
      </w:r>
      <w:r>
        <w:rPr>
          <w:rFonts w:asciiTheme="minorHAnsi" w:hAnsiTheme="minorHAnsi" w:cs="Arial"/>
          <w:sz w:val="22"/>
          <w:szCs w:val="22"/>
        </w:rPr>
        <w:t xml:space="preserve">wuje najważniejszy cel polityki mieszkaniowej w Polsce, jakim jest </w:t>
      </w:r>
      <w:r w:rsidR="00B71034">
        <w:rPr>
          <w:rFonts w:asciiTheme="minorHAnsi" w:hAnsiTheme="minorHAnsi" w:cs="Arial"/>
          <w:sz w:val="22"/>
          <w:szCs w:val="22"/>
        </w:rPr>
        <w:t>potrzeba zwiększenia</w:t>
      </w:r>
      <w:r w:rsidR="00B71034" w:rsidRPr="00915092">
        <w:rPr>
          <w:rFonts w:asciiTheme="minorHAnsi" w:hAnsiTheme="minorHAnsi" w:cs="Arial"/>
          <w:sz w:val="22"/>
          <w:szCs w:val="22"/>
        </w:rPr>
        <w:t xml:space="preserve"> dostępn</w:t>
      </w:r>
      <w:r w:rsidR="00B71034">
        <w:rPr>
          <w:rFonts w:asciiTheme="minorHAnsi" w:hAnsiTheme="minorHAnsi" w:cs="Arial"/>
          <w:sz w:val="22"/>
          <w:szCs w:val="22"/>
        </w:rPr>
        <w:t>ości</w:t>
      </w:r>
      <w:r w:rsidR="00B71034" w:rsidRPr="00915092">
        <w:rPr>
          <w:rFonts w:asciiTheme="minorHAnsi" w:hAnsiTheme="minorHAnsi" w:cs="Arial"/>
          <w:sz w:val="22"/>
          <w:szCs w:val="22"/>
        </w:rPr>
        <w:t xml:space="preserve"> </w:t>
      </w:r>
      <w:r w:rsidRPr="00915092">
        <w:rPr>
          <w:rFonts w:asciiTheme="minorHAnsi" w:hAnsiTheme="minorHAnsi" w:cs="Arial"/>
          <w:sz w:val="22"/>
          <w:szCs w:val="22"/>
        </w:rPr>
        <w:t>mieszkań dla osób, których dochody są zbyt wysokie, aby ubiegać się o mieszkania gminne</w:t>
      </w:r>
      <w:r w:rsidR="00BA4DB4">
        <w:rPr>
          <w:rFonts w:asciiTheme="minorHAnsi" w:hAnsiTheme="minorHAnsi" w:cs="Arial"/>
          <w:sz w:val="22"/>
          <w:szCs w:val="22"/>
        </w:rPr>
        <w:t>,</w:t>
      </w:r>
      <w:r w:rsidRPr="00915092">
        <w:rPr>
          <w:rFonts w:asciiTheme="minorHAnsi" w:hAnsiTheme="minorHAnsi" w:cs="Arial"/>
          <w:sz w:val="22"/>
          <w:szCs w:val="22"/>
        </w:rPr>
        <w:t xml:space="preserve"> i jedn</w:t>
      </w:r>
      <w:r w:rsidRPr="00915092">
        <w:rPr>
          <w:rFonts w:asciiTheme="minorHAnsi" w:hAnsiTheme="minorHAnsi" w:cs="Arial"/>
          <w:sz w:val="22"/>
          <w:szCs w:val="22"/>
        </w:rPr>
        <w:t>o</w:t>
      </w:r>
      <w:r w:rsidRPr="00915092">
        <w:rPr>
          <w:rFonts w:asciiTheme="minorHAnsi" w:hAnsiTheme="minorHAnsi" w:cs="Arial"/>
          <w:sz w:val="22"/>
          <w:szCs w:val="22"/>
        </w:rPr>
        <w:t>cześnie zbyt niskie</w:t>
      </w:r>
      <w:r w:rsidR="00BA4DB4">
        <w:rPr>
          <w:rFonts w:asciiTheme="minorHAnsi" w:hAnsiTheme="minorHAnsi" w:cs="Arial"/>
          <w:sz w:val="22"/>
          <w:szCs w:val="22"/>
        </w:rPr>
        <w:t>,</w:t>
      </w:r>
      <w:r w:rsidRPr="00915092">
        <w:rPr>
          <w:rFonts w:asciiTheme="minorHAnsi" w:hAnsiTheme="minorHAnsi" w:cs="Arial"/>
          <w:sz w:val="22"/>
          <w:szCs w:val="22"/>
        </w:rPr>
        <w:t xml:space="preserve"> aby zaciągnąć kredyt na zakup własnego mieszkania. Szacuje się, że w podobnej sytuacji jest ok. 40% społeczeństwa, w tym głównie młode osoby rozpoczynające karierę zawodową. Problemem w ich sytuacji jest nie tylko wysokość dochodów (</w:t>
      </w:r>
      <w:r w:rsidR="00A71BA6">
        <w:rPr>
          <w:rFonts w:asciiTheme="minorHAnsi" w:hAnsiTheme="minorHAnsi" w:cs="Arial"/>
          <w:sz w:val="22"/>
          <w:szCs w:val="22"/>
        </w:rPr>
        <w:t xml:space="preserve">przeciętnie </w:t>
      </w:r>
      <w:r w:rsidRPr="00915092">
        <w:rPr>
          <w:rFonts w:asciiTheme="minorHAnsi" w:hAnsiTheme="minorHAnsi" w:cs="Arial"/>
          <w:sz w:val="22"/>
          <w:szCs w:val="22"/>
        </w:rPr>
        <w:t xml:space="preserve">niższa niż w innych grupach wiekowych), ale również forma </w:t>
      </w:r>
      <w:r w:rsidR="00B71034">
        <w:rPr>
          <w:rFonts w:asciiTheme="minorHAnsi" w:hAnsiTheme="minorHAnsi" w:cs="Arial"/>
          <w:sz w:val="22"/>
          <w:szCs w:val="22"/>
        </w:rPr>
        <w:t>zatrudnienia</w:t>
      </w:r>
      <w:r w:rsidRPr="00915092">
        <w:rPr>
          <w:rFonts w:asciiTheme="minorHAnsi" w:hAnsiTheme="minorHAnsi" w:cs="Arial"/>
          <w:sz w:val="22"/>
          <w:szCs w:val="22"/>
        </w:rPr>
        <w:t xml:space="preserve"> (umowy na czas określony, umowy</w:t>
      </w:r>
      <w:r w:rsidR="00055777">
        <w:rPr>
          <w:rFonts w:asciiTheme="minorHAnsi" w:hAnsiTheme="minorHAnsi" w:cs="Arial"/>
          <w:sz w:val="22"/>
          <w:szCs w:val="22"/>
        </w:rPr>
        <w:t xml:space="preserve"> </w:t>
      </w:r>
      <w:r w:rsidRPr="00915092">
        <w:rPr>
          <w:rFonts w:asciiTheme="minorHAnsi" w:hAnsiTheme="minorHAnsi" w:cs="Arial"/>
          <w:sz w:val="22"/>
          <w:szCs w:val="22"/>
        </w:rPr>
        <w:t xml:space="preserve">zlecenia lub umowy </w:t>
      </w:r>
      <w:r w:rsidR="004A1ABF">
        <w:rPr>
          <w:rFonts w:asciiTheme="minorHAnsi" w:hAnsiTheme="minorHAnsi" w:cs="Arial"/>
          <w:sz w:val="22"/>
          <w:szCs w:val="22"/>
        </w:rPr>
        <w:br/>
      </w:r>
      <w:r w:rsidRPr="00915092">
        <w:rPr>
          <w:rFonts w:asciiTheme="minorHAnsi" w:hAnsiTheme="minorHAnsi" w:cs="Arial"/>
          <w:sz w:val="22"/>
          <w:szCs w:val="22"/>
        </w:rPr>
        <w:t>o dzieło</w:t>
      </w:r>
      <w:r w:rsidR="00946F44">
        <w:rPr>
          <w:rFonts w:asciiTheme="minorHAnsi" w:hAnsiTheme="minorHAnsi" w:cs="Arial"/>
          <w:sz w:val="22"/>
          <w:szCs w:val="22"/>
        </w:rPr>
        <w:t xml:space="preserve">, które nie </w:t>
      </w:r>
      <w:r w:rsidR="00055777">
        <w:rPr>
          <w:rFonts w:asciiTheme="minorHAnsi" w:hAnsiTheme="minorHAnsi" w:cs="Arial"/>
          <w:sz w:val="22"/>
          <w:szCs w:val="22"/>
        </w:rPr>
        <w:t>gwarantują</w:t>
      </w:r>
      <w:r w:rsidR="00946F44">
        <w:rPr>
          <w:rFonts w:asciiTheme="minorHAnsi" w:hAnsiTheme="minorHAnsi" w:cs="Arial"/>
          <w:sz w:val="22"/>
          <w:szCs w:val="22"/>
        </w:rPr>
        <w:t xml:space="preserve"> zdolności kredytowej niezbędnej </w:t>
      </w:r>
      <w:r w:rsidR="00055777">
        <w:rPr>
          <w:rFonts w:asciiTheme="minorHAnsi" w:hAnsiTheme="minorHAnsi" w:cs="Arial"/>
          <w:sz w:val="22"/>
          <w:szCs w:val="22"/>
        </w:rPr>
        <w:t xml:space="preserve">do </w:t>
      </w:r>
      <w:r w:rsidR="00946F44">
        <w:rPr>
          <w:rFonts w:asciiTheme="minorHAnsi" w:hAnsiTheme="minorHAnsi" w:cs="Arial"/>
          <w:sz w:val="22"/>
          <w:szCs w:val="22"/>
        </w:rPr>
        <w:t>zaciągnięci</w:t>
      </w:r>
      <w:r w:rsidR="00055777">
        <w:rPr>
          <w:rFonts w:asciiTheme="minorHAnsi" w:hAnsiTheme="minorHAnsi" w:cs="Arial"/>
          <w:sz w:val="22"/>
          <w:szCs w:val="22"/>
        </w:rPr>
        <w:t>a</w:t>
      </w:r>
      <w:r w:rsidR="00946F44">
        <w:rPr>
          <w:rFonts w:asciiTheme="minorHAnsi" w:hAnsiTheme="minorHAnsi" w:cs="Arial"/>
          <w:sz w:val="22"/>
          <w:szCs w:val="22"/>
        </w:rPr>
        <w:t xml:space="preserve"> długoletniego kredytu mieszkaniowego</w:t>
      </w:r>
      <w:r w:rsidRPr="00915092">
        <w:rPr>
          <w:rFonts w:asciiTheme="minorHAnsi" w:hAnsiTheme="minorHAnsi" w:cs="Arial"/>
          <w:sz w:val="22"/>
          <w:szCs w:val="22"/>
        </w:rPr>
        <w:t>).</w:t>
      </w:r>
    </w:p>
    <w:p w:rsidR="00915092" w:rsidRPr="00915092" w:rsidRDefault="00915092" w:rsidP="00A86097">
      <w:pPr>
        <w:tabs>
          <w:tab w:val="left" w:pos="540"/>
        </w:tabs>
        <w:spacing w:after="240" w:line="240" w:lineRule="exact"/>
        <w:rPr>
          <w:rFonts w:asciiTheme="minorHAnsi" w:hAnsiTheme="minorHAnsi" w:cs="Arial"/>
          <w:sz w:val="22"/>
          <w:szCs w:val="22"/>
        </w:rPr>
      </w:pPr>
      <w:r w:rsidRPr="00915092">
        <w:rPr>
          <w:rFonts w:asciiTheme="minorHAnsi" w:hAnsiTheme="minorHAnsi" w:cs="Arial"/>
          <w:sz w:val="22"/>
          <w:szCs w:val="22"/>
        </w:rPr>
        <w:t xml:space="preserve">Docelowo problem mieszkaniowy będzie </w:t>
      </w:r>
      <w:r w:rsidR="00946F44">
        <w:rPr>
          <w:rFonts w:asciiTheme="minorHAnsi" w:hAnsiTheme="minorHAnsi" w:cs="Arial"/>
          <w:sz w:val="22"/>
          <w:szCs w:val="22"/>
        </w:rPr>
        <w:t xml:space="preserve">również </w:t>
      </w:r>
      <w:r w:rsidRPr="00915092">
        <w:rPr>
          <w:rFonts w:asciiTheme="minorHAnsi" w:hAnsiTheme="minorHAnsi" w:cs="Arial"/>
          <w:sz w:val="22"/>
          <w:szCs w:val="22"/>
        </w:rPr>
        <w:t xml:space="preserve">udziałem osób starszych, które stanowią coraz większy odsetek społeczeństwa. Doświadczenia krajów zachodnio- i północnoeuropejskich wskazują, że ta grupa </w:t>
      </w:r>
      <w:r w:rsidR="00946F44">
        <w:rPr>
          <w:rFonts w:asciiTheme="minorHAnsi" w:hAnsiTheme="minorHAnsi" w:cs="Arial"/>
          <w:sz w:val="22"/>
          <w:szCs w:val="22"/>
        </w:rPr>
        <w:t>społeczeństwa</w:t>
      </w:r>
      <w:r w:rsidRPr="00915092">
        <w:rPr>
          <w:rFonts w:asciiTheme="minorHAnsi" w:hAnsiTheme="minorHAnsi" w:cs="Arial"/>
          <w:sz w:val="22"/>
          <w:szCs w:val="22"/>
        </w:rPr>
        <w:t xml:space="preserve"> będzie generowała </w:t>
      </w:r>
      <w:r w:rsidR="00946F44">
        <w:rPr>
          <w:rFonts w:asciiTheme="minorHAnsi" w:hAnsiTheme="minorHAnsi" w:cs="Arial"/>
          <w:sz w:val="22"/>
          <w:szCs w:val="22"/>
        </w:rPr>
        <w:t xml:space="preserve">coraz wyższy </w:t>
      </w:r>
      <w:r w:rsidRPr="00915092">
        <w:rPr>
          <w:rFonts w:asciiTheme="minorHAnsi" w:hAnsiTheme="minorHAnsi" w:cs="Arial"/>
          <w:sz w:val="22"/>
          <w:szCs w:val="22"/>
        </w:rPr>
        <w:t>popyt na mieszkania na wynajem, gdzie zamieszkiwani</w:t>
      </w:r>
      <w:r w:rsidR="00BA4DB4">
        <w:rPr>
          <w:rFonts w:asciiTheme="minorHAnsi" w:hAnsiTheme="minorHAnsi" w:cs="Arial"/>
          <w:sz w:val="22"/>
          <w:szCs w:val="22"/>
        </w:rPr>
        <w:t>e</w:t>
      </w:r>
      <w:r w:rsidRPr="00915092">
        <w:rPr>
          <w:rFonts w:asciiTheme="minorHAnsi" w:hAnsiTheme="minorHAnsi" w:cs="Arial"/>
          <w:sz w:val="22"/>
          <w:szCs w:val="22"/>
        </w:rPr>
        <w:t xml:space="preserve"> jest połączone z zapewnieniem d</w:t>
      </w:r>
      <w:r>
        <w:rPr>
          <w:rFonts w:asciiTheme="minorHAnsi" w:hAnsiTheme="minorHAnsi" w:cs="Arial"/>
          <w:sz w:val="22"/>
          <w:szCs w:val="22"/>
        </w:rPr>
        <w:t xml:space="preserve">odatkowych usług opiekuńczych. </w:t>
      </w:r>
    </w:p>
    <w:p w:rsidR="00915092" w:rsidRDefault="00B71034" w:rsidP="00A86097">
      <w:pPr>
        <w:tabs>
          <w:tab w:val="left" w:pos="540"/>
        </w:tabs>
        <w:spacing w:after="240" w:line="240" w:lineRule="exact"/>
        <w:rPr>
          <w:rFonts w:asciiTheme="minorHAnsi" w:hAnsiTheme="minorHAnsi" w:cs="Arial"/>
          <w:sz w:val="22"/>
          <w:szCs w:val="22"/>
        </w:rPr>
      </w:pPr>
      <w:r>
        <w:rPr>
          <w:rFonts w:asciiTheme="minorHAnsi" w:hAnsiTheme="minorHAnsi" w:cs="Arial"/>
          <w:sz w:val="22"/>
          <w:szCs w:val="22"/>
        </w:rPr>
        <w:t>R</w:t>
      </w:r>
      <w:r w:rsidR="00915092" w:rsidRPr="00915092">
        <w:rPr>
          <w:rFonts w:asciiTheme="minorHAnsi" w:hAnsiTheme="minorHAnsi" w:cs="Arial"/>
          <w:sz w:val="22"/>
          <w:szCs w:val="22"/>
        </w:rPr>
        <w:t xml:space="preserve">ynek mieszkaniowy nie wygenerował </w:t>
      </w:r>
      <w:r>
        <w:rPr>
          <w:rFonts w:asciiTheme="minorHAnsi" w:hAnsiTheme="minorHAnsi" w:cs="Arial"/>
          <w:sz w:val="22"/>
          <w:szCs w:val="22"/>
        </w:rPr>
        <w:t xml:space="preserve">dotąd </w:t>
      </w:r>
      <w:r w:rsidR="00915092" w:rsidRPr="00915092">
        <w:rPr>
          <w:rFonts w:asciiTheme="minorHAnsi" w:hAnsiTheme="minorHAnsi" w:cs="Arial"/>
          <w:sz w:val="22"/>
          <w:szCs w:val="22"/>
        </w:rPr>
        <w:t xml:space="preserve">segmentu mieszkań na wynajem, dostępnych dla wyżej zdefiniowanej grupy. </w:t>
      </w:r>
      <w:r>
        <w:rPr>
          <w:rFonts w:asciiTheme="minorHAnsi" w:hAnsiTheme="minorHAnsi" w:cs="Arial"/>
          <w:sz w:val="22"/>
          <w:szCs w:val="22"/>
        </w:rPr>
        <w:t>N</w:t>
      </w:r>
      <w:r w:rsidR="00915092" w:rsidRPr="00915092">
        <w:rPr>
          <w:rFonts w:asciiTheme="minorHAnsi" w:hAnsiTheme="minorHAnsi" w:cs="Arial"/>
          <w:sz w:val="22"/>
          <w:szCs w:val="22"/>
        </w:rPr>
        <w:t xml:space="preserve">a niszową skalę działają </w:t>
      </w:r>
      <w:r>
        <w:rPr>
          <w:rFonts w:asciiTheme="minorHAnsi" w:hAnsiTheme="minorHAnsi" w:cs="Arial"/>
          <w:sz w:val="22"/>
          <w:szCs w:val="22"/>
        </w:rPr>
        <w:t xml:space="preserve">przede wszystkim </w:t>
      </w:r>
      <w:r w:rsidR="00915092" w:rsidRPr="00915092">
        <w:rPr>
          <w:rFonts w:asciiTheme="minorHAnsi" w:hAnsiTheme="minorHAnsi" w:cs="Arial"/>
          <w:sz w:val="22"/>
          <w:szCs w:val="22"/>
        </w:rPr>
        <w:t xml:space="preserve">prywatni inwestorzy instytucjonalni oferujący najem mieszkań w ramach prowadzonej działalności gospodarczej. </w:t>
      </w:r>
      <w:r w:rsidR="00CA53DA">
        <w:rPr>
          <w:rFonts w:asciiTheme="minorHAnsi" w:hAnsiTheme="minorHAnsi" w:cs="Arial"/>
          <w:sz w:val="22"/>
          <w:szCs w:val="22"/>
        </w:rPr>
        <w:t xml:space="preserve">Próbą popularyzacji </w:t>
      </w:r>
      <w:r w:rsidR="00915092" w:rsidRPr="00915092">
        <w:rPr>
          <w:rFonts w:asciiTheme="minorHAnsi" w:hAnsiTheme="minorHAnsi" w:cs="Arial"/>
          <w:sz w:val="22"/>
          <w:szCs w:val="22"/>
        </w:rPr>
        <w:t xml:space="preserve">tej formy najmu </w:t>
      </w:r>
      <w:r w:rsidR="00DD3338">
        <w:rPr>
          <w:rFonts w:asciiTheme="minorHAnsi" w:hAnsiTheme="minorHAnsi" w:cs="Arial"/>
          <w:sz w:val="22"/>
          <w:szCs w:val="22"/>
        </w:rPr>
        <w:t>były</w:t>
      </w:r>
      <w:r w:rsidR="00DD3338" w:rsidRPr="00915092">
        <w:rPr>
          <w:rFonts w:asciiTheme="minorHAnsi" w:hAnsiTheme="minorHAnsi" w:cs="Arial"/>
          <w:sz w:val="22"/>
          <w:szCs w:val="22"/>
        </w:rPr>
        <w:t xml:space="preserve"> </w:t>
      </w:r>
      <w:r w:rsidR="00915092" w:rsidRPr="00915092">
        <w:rPr>
          <w:rFonts w:asciiTheme="minorHAnsi" w:hAnsiTheme="minorHAnsi" w:cs="Arial"/>
          <w:sz w:val="22"/>
          <w:szCs w:val="22"/>
        </w:rPr>
        <w:t>działania Banku Gospodarstwa Krajowego (inwestycje funduszy inwestycyjnych BGK, których aktywa są zarz</w:t>
      </w:r>
      <w:r w:rsidR="00BA4DB4">
        <w:rPr>
          <w:rFonts w:asciiTheme="minorHAnsi" w:hAnsiTheme="minorHAnsi" w:cs="Arial"/>
          <w:sz w:val="22"/>
          <w:szCs w:val="22"/>
        </w:rPr>
        <w:t>ą</w:t>
      </w:r>
      <w:r w:rsidR="00915092" w:rsidRPr="00915092">
        <w:rPr>
          <w:rFonts w:asciiTheme="minorHAnsi" w:hAnsiTheme="minorHAnsi" w:cs="Arial"/>
          <w:sz w:val="22"/>
          <w:szCs w:val="22"/>
        </w:rPr>
        <w:t>dzane przez BGK Nieruchomości S.A.). Aby wzmocnić ten sektor rynku i zapewnić odpowiednią liczbę mieszkań</w:t>
      </w:r>
      <w:r w:rsidR="00CA53DA">
        <w:rPr>
          <w:rFonts w:asciiTheme="minorHAnsi" w:hAnsiTheme="minorHAnsi" w:cs="Arial"/>
          <w:sz w:val="22"/>
          <w:szCs w:val="22"/>
        </w:rPr>
        <w:t xml:space="preserve"> na wynajem</w:t>
      </w:r>
      <w:r w:rsidR="00BA4DB4">
        <w:rPr>
          <w:rFonts w:asciiTheme="minorHAnsi" w:hAnsiTheme="minorHAnsi" w:cs="Arial"/>
          <w:sz w:val="22"/>
          <w:szCs w:val="22"/>
        </w:rPr>
        <w:t>,</w:t>
      </w:r>
      <w:r w:rsidR="00915092" w:rsidRPr="00915092">
        <w:rPr>
          <w:rFonts w:asciiTheme="minorHAnsi" w:hAnsiTheme="minorHAnsi" w:cs="Arial"/>
          <w:sz w:val="22"/>
          <w:szCs w:val="22"/>
        </w:rPr>
        <w:t xml:space="preserve"> niezbędne są inwestycje innych podmiotów, działających zarówno na zasadach społecznych</w:t>
      </w:r>
      <w:r w:rsidR="00CA53DA">
        <w:rPr>
          <w:rFonts w:asciiTheme="minorHAnsi" w:hAnsiTheme="minorHAnsi" w:cs="Arial"/>
          <w:sz w:val="22"/>
          <w:szCs w:val="22"/>
        </w:rPr>
        <w:t>/</w:t>
      </w:r>
      <w:r w:rsidR="00CA53DA" w:rsidRPr="00CA53DA">
        <w:rPr>
          <w:rFonts w:asciiTheme="minorHAnsi" w:hAnsiTheme="minorHAnsi" w:cs="Arial"/>
          <w:i/>
          <w:sz w:val="22"/>
          <w:szCs w:val="22"/>
        </w:rPr>
        <w:t>not-for-profit</w:t>
      </w:r>
      <w:r w:rsidR="00915092" w:rsidRPr="00915092">
        <w:rPr>
          <w:rFonts w:asciiTheme="minorHAnsi" w:hAnsiTheme="minorHAnsi" w:cs="Arial"/>
          <w:sz w:val="22"/>
          <w:szCs w:val="22"/>
        </w:rPr>
        <w:t xml:space="preserve"> (towarzystwa budownictwa społeczn</w:t>
      </w:r>
      <w:r w:rsidR="00915092" w:rsidRPr="00915092">
        <w:rPr>
          <w:rFonts w:asciiTheme="minorHAnsi" w:hAnsiTheme="minorHAnsi" w:cs="Arial"/>
          <w:sz w:val="22"/>
          <w:szCs w:val="22"/>
        </w:rPr>
        <w:t>e</w:t>
      </w:r>
      <w:r w:rsidR="00915092" w:rsidRPr="00915092">
        <w:rPr>
          <w:rFonts w:asciiTheme="minorHAnsi" w:hAnsiTheme="minorHAnsi" w:cs="Arial"/>
          <w:sz w:val="22"/>
          <w:szCs w:val="22"/>
        </w:rPr>
        <w:t>go, spółdzielnie mieszkaniowe) jak i na zasadach rynkowych (np. deweloperzy).</w:t>
      </w:r>
    </w:p>
    <w:p w:rsidR="00915092" w:rsidRPr="00915092" w:rsidRDefault="00915092" w:rsidP="00A86097">
      <w:pPr>
        <w:tabs>
          <w:tab w:val="left" w:pos="540"/>
        </w:tabs>
        <w:spacing w:after="240" w:line="240" w:lineRule="exact"/>
        <w:rPr>
          <w:rFonts w:asciiTheme="minorHAnsi" w:hAnsiTheme="minorHAnsi" w:cs="Arial"/>
          <w:sz w:val="22"/>
          <w:szCs w:val="22"/>
        </w:rPr>
      </w:pPr>
      <w:r w:rsidRPr="00915092">
        <w:rPr>
          <w:rFonts w:asciiTheme="minorHAnsi" w:hAnsiTheme="minorHAnsi" w:cs="Arial"/>
          <w:sz w:val="22"/>
          <w:szCs w:val="22"/>
        </w:rPr>
        <w:t>Rekomendowane w ustawie rozwiązanie w formie dopłat do czynszu realizuje 2 główne cele:</w:t>
      </w:r>
    </w:p>
    <w:p w:rsidR="00915092" w:rsidRPr="00915092" w:rsidRDefault="00915092" w:rsidP="00092BEC">
      <w:pPr>
        <w:pStyle w:val="Akapitzlist"/>
        <w:numPr>
          <w:ilvl w:val="0"/>
          <w:numId w:val="38"/>
        </w:numPr>
        <w:tabs>
          <w:tab w:val="left" w:pos="426"/>
        </w:tabs>
        <w:spacing w:after="240" w:line="240" w:lineRule="exact"/>
        <w:ind w:left="425" w:hanging="425"/>
        <w:contextualSpacing w:val="0"/>
        <w:rPr>
          <w:rFonts w:asciiTheme="minorHAnsi" w:hAnsiTheme="minorHAnsi" w:cs="Arial"/>
          <w:sz w:val="22"/>
          <w:szCs w:val="22"/>
        </w:rPr>
      </w:pPr>
      <w:r w:rsidRPr="00851230">
        <w:rPr>
          <w:rFonts w:asciiTheme="minorHAnsi" w:hAnsiTheme="minorHAnsi" w:cs="Arial"/>
          <w:sz w:val="22"/>
          <w:szCs w:val="22"/>
          <w:u w:val="single"/>
        </w:rPr>
        <w:t>cel społeczny,</w:t>
      </w:r>
      <w:r w:rsidRPr="00915092">
        <w:rPr>
          <w:rFonts w:asciiTheme="minorHAnsi" w:hAnsiTheme="minorHAnsi" w:cs="Arial"/>
          <w:sz w:val="22"/>
          <w:szCs w:val="22"/>
        </w:rPr>
        <w:t xml:space="preserve"> poprzez adresowanie dopłat do osób o dochodach uniemożliwiających samodzie</w:t>
      </w:r>
      <w:r w:rsidRPr="00915092">
        <w:rPr>
          <w:rFonts w:asciiTheme="minorHAnsi" w:hAnsiTheme="minorHAnsi" w:cs="Arial"/>
          <w:sz w:val="22"/>
          <w:szCs w:val="22"/>
        </w:rPr>
        <w:t>l</w:t>
      </w:r>
      <w:r w:rsidRPr="00915092">
        <w:rPr>
          <w:rFonts w:asciiTheme="minorHAnsi" w:hAnsiTheme="minorHAnsi" w:cs="Arial"/>
          <w:sz w:val="22"/>
          <w:szCs w:val="22"/>
        </w:rPr>
        <w:t>ny zakup mieszkania o odpowiednim standardzie</w:t>
      </w:r>
      <w:r w:rsidR="00CA53DA">
        <w:rPr>
          <w:rFonts w:asciiTheme="minorHAnsi" w:hAnsiTheme="minorHAnsi" w:cs="Arial"/>
          <w:sz w:val="22"/>
          <w:szCs w:val="22"/>
        </w:rPr>
        <w:t xml:space="preserve"> na obecnym rynku mieszkaniowym;</w:t>
      </w:r>
    </w:p>
    <w:p w:rsidR="00915092" w:rsidRPr="00915092" w:rsidRDefault="003C4F5E" w:rsidP="00092BEC">
      <w:pPr>
        <w:pStyle w:val="Akapitzlist"/>
        <w:numPr>
          <w:ilvl w:val="0"/>
          <w:numId w:val="38"/>
        </w:numPr>
        <w:tabs>
          <w:tab w:val="left" w:pos="426"/>
        </w:tabs>
        <w:spacing w:after="240" w:line="240" w:lineRule="exact"/>
        <w:ind w:left="425" w:hanging="425"/>
        <w:contextualSpacing w:val="0"/>
        <w:rPr>
          <w:rFonts w:asciiTheme="minorHAnsi" w:hAnsiTheme="minorHAnsi" w:cs="Arial"/>
          <w:sz w:val="22"/>
          <w:szCs w:val="22"/>
        </w:rPr>
      </w:pPr>
      <w:r>
        <w:rPr>
          <w:rFonts w:asciiTheme="minorHAnsi" w:hAnsiTheme="minorHAnsi" w:cs="Arial"/>
          <w:sz w:val="22"/>
          <w:szCs w:val="22"/>
          <w:u w:val="single"/>
        </w:rPr>
        <w:t xml:space="preserve">cel </w:t>
      </w:r>
      <w:r w:rsidR="00915092" w:rsidRPr="00851230">
        <w:rPr>
          <w:rFonts w:asciiTheme="minorHAnsi" w:hAnsiTheme="minorHAnsi" w:cs="Arial"/>
          <w:sz w:val="22"/>
          <w:szCs w:val="22"/>
          <w:u w:val="single"/>
        </w:rPr>
        <w:t>inwestycyjny</w:t>
      </w:r>
      <w:r w:rsidR="00915092" w:rsidRPr="00915092">
        <w:rPr>
          <w:rFonts w:asciiTheme="minorHAnsi" w:hAnsiTheme="minorHAnsi" w:cs="Arial"/>
          <w:sz w:val="22"/>
          <w:szCs w:val="22"/>
        </w:rPr>
        <w:t>, poprzez adresowanie dopłat do osób zasiedlających nowe budynki, których realizacja zwiększa wolumen inwestycji mieszkaniowych.</w:t>
      </w:r>
    </w:p>
    <w:p w:rsidR="00915092" w:rsidRDefault="00915092" w:rsidP="00A86097">
      <w:pPr>
        <w:tabs>
          <w:tab w:val="left" w:pos="540"/>
        </w:tabs>
        <w:spacing w:after="240" w:line="240" w:lineRule="exact"/>
        <w:rPr>
          <w:rFonts w:asciiTheme="minorHAnsi" w:hAnsiTheme="minorHAnsi" w:cs="Arial"/>
          <w:sz w:val="22"/>
          <w:szCs w:val="22"/>
        </w:rPr>
      </w:pPr>
      <w:r w:rsidRPr="00915092">
        <w:rPr>
          <w:rFonts w:asciiTheme="minorHAnsi" w:hAnsiTheme="minorHAnsi" w:cs="Arial"/>
          <w:sz w:val="22"/>
          <w:szCs w:val="22"/>
        </w:rPr>
        <w:t xml:space="preserve">Dodatkowo dopłaty do czynszu wzmacniają wymiar lokalny polityki mieszkaniowej poprzez wiodącą rolę samorządów gminnych w wyborze inwestora i kwalifikacji najemców. </w:t>
      </w:r>
      <w:r w:rsidR="0064672D">
        <w:rPr>
          <w:rFonts w:asciiTheme="minorHAnsi" w:hAnsiTheme="minorHAnsi" w:cs="Arial"/>
          <w:sz w:val="22"/>
          <w:szCs w:val="22"/>
        </w:rPr>
        <w:t>D</w:t>
      </w:r>
      <w:r w:rsidRPr="00915092">
        <w:rPr>
          <w:rFonts w:asciiTheme="minorHAnsi" w:hAnsiTheme="minorHAnsi" w:cs="Arial"/>
          <w:sz w:val="22"/>
          <w:szCs w:val="22"/>
        </w:rPr>
        <w:t>opłaty mogą być również elementem polityki zachęcającej do inwestycji na ter</w:t>
      </w:r>
      <w:r w:rsidR="004A1ABF">
        <w:rPr>
          <w:rFonts w:asciiTheme="minorHAnsi" w:hAnsiTheme="minorHAnsi" w:cs="Arial"/>
          <w:sz w:val="22"/>
          <w:szCs w:val="22"/>
        </w:rPr>
        <w:t>enach poddawanych rewitalizacji</w:t>
      </w:r>
      <w:r w:rsidR="00C60E6A">
        <w:rPr>
          <w:rFonts w:asciiTheme="minorHAnsi" w:hAnsiTheme="minorHAnsi" w:cs="Arial"/>
          <w:sz w:val="22"/>
          <w:szCs w:val="22"/>
        </w:rPr>
        <w:t xml:space="preserve"> </w:t>
      </w:r>
      <w:r w:rsidR="00E92756">
        <w:rPr>
          <w:rFonts w:asciiTheme="minorHAnsi" w:hAnsiTheme="minorHAnsi" w:cs="Arial"/>
          <w:sz w:val="22"/>
          <w:szCs w:val="22"/>
        </w:rPr>
        <w:t xml:space="preserve">(o dopłaty do czynszu można się ubiegać również w przypadku budynków </w:t>
      </w:r>
      <w:r w:rsidR="00BA4DB4">
        <w:rPr>
          <w:rFonts w:asciiTheme="minorHAnsi" w:hAnsiTheme="minorHAnsi" w:cs="Arial"/>
          <w:sz w:val="22"/>
          <w:szCs w:val="22"/>
        </w:rPr>
        <w:t xml:space="preserve">mieszkalnych </w:t>
      </w:r>
      <w:r w:rsidR="00E92756">
        <w:rPr>
          <w:rFonts w:asciiTheme="minorHAnsi" w:hAnsiTheme="minorHAnsi" w:cs="Arial"/>
          <w:sz w:val="22"/>
          <w:szCs w:val="22"/>
        </w:rPr>
        <w:t xml:space="preserve">poddanych remontom lub przebudowie, znajdujących się na terenach Specjalnych Stref Rewitalizacji). </w:t>
      </w:r>
    </w:p>
    <w:p w:rsidR="004A1ABF" w:rsidRDefault="00851230" w:rsidP="00A86097">
      <w:pPr>
        <w:tabs>
          <w:tab w:val="left" w:pos="540"/>
        </w:tabs>
        <w:spacing w:after="240" w:line="240" w:lineRule="exact"/>
        <w:rPr>
          <w:rFonts w:asciiTheme="minorHAnsi" w:hAnsiTheme="minorHAnsi" w:cs="Arial"/>
          <w:sz w:val="22"/>
          <w:szCs w:val="22"/>
        </w:rPr>
      </w:pPr>
      <w:r>
        <w:rPr>
          <w:rFonts w:asciiTheme="minorHAnsi" w:hAnsiTheme="minorHAnsi" w:cs="Arial"/>
          <w:sz w:val="22"/>
          <w:szCs w:val="22"/>
        </w:rPr>
        <w:t xml:space="preserve">W ramach realizacji celu społecznego </w:t>
      </w:r>
      <w:r w:rsidR="006C468C">
        <w:rPr>
          <w:rFonts w:asciiTheme="minorHAnsi" w:hAnsiTheme="minorHAnsi" w:cs="Arial"/>
          <w:sz w:val="22"/>
          <w:szCs w:val="22"/>
        </w:rPr>
        <w:t>system dopłat do czynszów uzupełnia instrumentarium polityki prorodzinnej</w:t>
      </w:r>
      <w:r w:rsidR="00977A69">
        <w:rPr>
          <w:rFonts w:asciiTheme="minorHAnsi" w:hAnsiTheme="minorHAnsi" w:cs="Arial"/>
          <w:sz w:val="22"/>
          <w:szCs w:val="22"/>
        </w:rPr>
        <w:t xml:space="preserve"> (w tym programu „Rodzina 500+”), odpowiadając na wyniki badań społecznych</w:t>
      </w:r>
      <w:r w:rsidR="00A55853">
        <w:rPr>
          <w:rFonts w:asciiTheme="minorHAnsi" w:hAnsiTheme="minorHAnsi" w:cs="Arial"/>
          <w:sz w:val="22"/>
          <w:szCs w:val="22"/>
        </w:rPr>
        <w:t xml:space="preserve">. Można na ich podstawie </w:t>
      </w:r>
      <w:r w:rsidR="00977A69">
        <w:rPr>
          <w:rFonts w:asciiTheme="minorHAnsi" w:hAnsiTheme="minorHAnsi" w:cs="Arial"/>
          <w:sz w:val="22"/>
          <w:szCs w:val="22"/>
        </w:rPr>
        <w:t xml:space="preserve">wnioskować, że jednym z podstawowych czynników wpływających na decyzję o założeniu rodziny i posiadaniu dzieci jest </w:t>
      </w:r>
      <w:r w:rsidR="00A55853">
        <w:rPr>
          <w:rFonts w:asciiTheme="minorHAnsi" w:hAnsiTheme="minorHAnsi" w:cs="Arial"/>
          <w:sz w:val="22"/>
          <w:szCs w:val="22"/>
        </w:rPr>
        <w:t xml:space="preserve">posiadanie </w:t>
      </w:r>
      <w:r w:rsidR="00977A69">
        <w:rPr>
          <w:rFonts w:asciiTheme="minorHAnsi" w:hAnsiTheme="minorHAnsi" w:cs="Arial"/>
          <w:sz w:val="22"/>
          <w:szCs w:val="22"/>
        </w:rPr>
        <w:t xml:space="preserve">odpowiednich warunków mieszkaniowych. </w:t>
      </w:r>
    </w:p>
    <w:p w:rsidR="00F0317A" w:rsidRDefault="00C35C43" w:rsidP="00A86097">
      <w:pPr>
        <w:tabs>
          <w:tab w:val="left" w:pos="540"/>
        </w:tabs>
        <w:spacing w:after="240" w:line="240" w:lineRule="exact"/>
        <w:rPr>
          <w:rFonts w:asciiTheme="minorHAnsi" w:hAnsiTheme="minorHAnsi" w:cs="Arial"/>
          <w:sz w:val="22"/>
          <w:szCs w:val="22"/>
        </w:rPr>
      </w:pPr>
      <w:r>
        <w:rPr>
          <w:rFonts w:asciiTheme="minorHAnsi" w:hAnsiTheme="minorHAnsi" w:cs="Arial"/>
          <w:sz w:val="22"/>
          <w:szCs w:val="22"/>
        </w:rPr>
        <w:lastRenderedPageBreak/>
        <w:t>Najistotniejsze rozwiązania za</w:t>
      </w:r>
      <w:r w:rsidR="00440E4C">
        <w:rPr>
          <w:rFonts w:asciiTheme="minorHAnsi" w:hAnsiTheme="minorHAnsi" w:cs="Arial"/>
          <w:sz w:val="22"/>
          <w:szCs w:val="22"/>
        </w:rPr>
        <w:t>warte w projekcie ustawy obejmują</w:t>
      </w:r>
      <w:r>
        <w:rPr>
          <w:rFonts w:asciiTheme="minorHAnsi" w:hAnsiTheme="minorHAnsi" w:cs="Arial"/>
          <w:sz w:val="22"/>
          <w:szCs w:val="22"/>
        </w:rPr>
        <w:t>:</w:t>
      </w:r>
    </w:p>
    <w:p w:rsidR="00C35C43" w:rsidRPr="00F10D61" w:rsidRDefault="00A03F90" w:rsidP="00A86097">
      <w:pPr>
        <w:pStyle w:val="Akapitzlist"/>
        <w:numPr>
          <w:ilvl w:val="0"/>
          <w:numId w:val="40"/>
        </w:numPr>
        <w:tabs>
          <w:tab w:val="left" w:pos="426"/>
        </w:tabs>
        <w:spacing w:after="240" w:line="240" w:lineRule="exact"/>
        <w:ind w:left="426" w:hanging="284"/>
        <w:rPr>
          <w:rFonts w:asciiTheme="minorHAnsi" w:hAnsiTheme="minorHAnsi" w:cs="Arial"/>
          <w:sz w:val="22"/>
          <w:szCs w:val="22"/>
        </w:rPr>
      </w:pPr>
      <w:r w:rsidRPr="00F10D61">
        <w:rPr>
          <w:rFonts w:asciiTheme="minorHAnsi" w:hAnsiTheme="minorHAnsi" w:cs="Arial"/>
          <w:sz w:val="22"/>
          <w:szCs w:val="22"/>
        </w:rPr>
        <w:t>wprowadzenie systemu dopłat do czynszów dla gospodarstw domowych spełniających ustaw</w:t>
      </w:r>
      <w:r w:rsidRPr="00F10D61">
        <w:rPr>
          <w:rFonts w:asciiTheme="minorHAnsi" w:hAnsiTheme="minorHAnsi" w:cs="Arial"/>
          <w:sz w:val="22"/>
          <w:szCs w:val="22"/>
        </w:rPr>
        <w:t>o</w:t>
      </w:r>
      <w:r w:rsidRPr="00F10D61">
        <w:rPr>
          <w:rFonts w:asciiTheme="minorHAnsi" w:hAnsiTheme="minorHAnsi" w:cs="Arial"/>
          <w:sz w:val="22"/>
          <w:szCs w:val="22"/>
        </w:rPr>
        <w:t>we kryteria dochodowe,</w:t>
      </w:r>
    </w:p>
    <w:p w:rsidR="00A03F90" w:rsidRPr="00F10D61" w:rsidRDefault="00BA4DB4" w:rsidP="00A86097">
      <w:pPr>
        <w:pStyle w:val="Akapitzlist"/>
        <w:numPr>
          <w:ilvl w:val="0"/>
          <w:numId w:val="40"/>
        </w:numPr>
        <w:tabs>
          <w:tab w:val="left" w:pos="426"/>
        </w:tabs>
        <w:spacing w:after="240" w:line="240" w:lineRule="exact"/>
        <w:ind w:left="426" w:hanging="284"/>
        <w:rPr>
          <w:rFonts w:asciiTheme="minorHAnsi" w:hAnsiTheme="minorHAnsi" w:cs="Arial"/>
          <w:sz w:val="22"/>
          <w:szCs w:val="22"/>
        </w:rPr>
      </w:pPr>
      <w:r>
        <w:rPr>
          <w:rFonts w:asciiTheme="minorHAnsi" w:hAnsiTheme="minorHAnsi" w:cs="Arial"/>
          <w:sz w:val="22"/>
          <w:szCs w:val="22"/>
        </w:rPr>
        <w:t>stosowanie dopłat</w:t>
      </w:r>
      <w:r w:rsidR="00A03F90" w:rsidRPr="00F10D61">
        <w:rPr>
          <w:rFonts w:asciiTheme="minorHAnsi" w:hAnsiTheme="minorHAnsi" w:cs="Arial"/>
          <w:sz w:val="22"/>
          <w:szCs w:val="22"/>
        </w:rPr>
        <w:t xml:space="preserve"> w przypadku nowo budowanych mieszkań oraz mieszkań na obszarach po</w:t>
      </w:r>
      <w:r w:rsidR="00A03F90" w:rsidRPr="00F10D61">
        <w:rPr>
          <w:rFonts w:asciiTheme="minorHAnsi" w:hAnsiTheme="minorHAnsi" w:cs="Arial"/>
          <w:sz w:val="22"/>
          <w:szCs w:val="22"/>
        </w:rPr>
        <w:t>d</w:t>
      </w:r>
      <w:r w:rsidR="00A03F90" w:rsidRPr="00F10D61">
        <w:rPr>
          <w:rFonts w:asciiTheme="minorHAnsi" w:hAnsiTheme="minorHAnsi" w:cs="Arial"/>
          <w:sz w:val="22"/>
          <w:szCs w:val="22"/>
        </w:rPr>
        <w:t>dawanych rewitalizacji,</w:t>
      </w:r>
    </w:p>
    <w:p w:rsidR="00A03F90" w:rsidRPr="00F10D61" w:rsidRDefault="00BA4DB4" w:rsidP="00A86097">
      <w:pPr>
        <w:pStyle w:val="Akapitzlist"/>
        <w:numPr>
          <w:ilvl w:val="0"/>
          <w:numId w:val="40"/>
        </w:numPr>
        <w:tabs>
          <w:tab w:val="left" w:pos="426"/>
        </w:tabs>
        <w:spacing w:after="240" w:line="240" w:lineRule="exact"/>
        <w:ind w:left="426" w:hanging="284"/>
        <w:rPr>
          <w:rFonts w:asciiTheme="minorHAnsi" w:hAnsiTheme="minorHAnsi" w:cs="Arial"/>
          <w:sz w:val="22"/>
          <w:szCs w:val="22"/>
        </w:rPr>
      </w:pPr>
      <w:r>
        <w:rPr>
          <w:rFonts w:asciiTheme="minorHAnsi" w:hAnsiTheme="minorHAnsi" w:cs="Arial"/>
          <w:sz w:val="22"/>
          <w:szCs w:val="22"/>
        </w:rPr>
        <w:t>przyznawanie dopłat</w:t>
      </w:r>
      <w:r w:rsidR="00A03F90" w:rsidRPr="00F10D61">
        <w:rPr>
          <w:rFonts w:asciiTheme="minorHAnsi" w:hAnsiTheme="minorHAnsi" w:cs="Arial"/>
          <w:sz w:val="22"/>
          <w:szCs w:val="22"/>
        </w:rPr>
        <w:t xml:space="preserve"> na 9 lat,</w:t>
      </w:r>
    </w:p>
    <w:p w:rsidR="00F10D61" w:rsidRPr="00F10D61" w:rsidRDefault="00234274" w:rsidP="00A86097">
      <w:pPr>
        <w:pStyle w:val="Akapitzlist"/>
        <w:numPr>
          <w:ilvl w:val="0"/>
          <w:numId w:val="40"/>
        </w:numPr>
        <w:tabs>
          <w:tab w:val="left" w:pos="426"/>
        </w:tabs>
        <w:spacing w:after="240" w:line="240" w:lineRule="exact"/>
        <w:ind w:left="426" w:hanging="284"/>
        <w:rPr>
          <w:rFonts w:asciiTheme="minorHAnsi" w:hAnsiTheme="minorHAnsi" w:cs="Arial"/>
          <w:sz w:val="22"/>
          <w:szCs w:val="22"/>
        </w:rPr>
      </w:pPr>
      <w:r>
        <w:rPr>
          <w:rFonts w:asciiTheme="minorHAnsi" w:hAnsiTheme="minorHAnsi" w:cs="Arial"/>
          <w:sz w:val="22"/>
          <w:szCs w:val="22"/>
        </w:rPr>
        <w:t xml:space="preserve">uzależnienie </w:t>
      </w:r>
      <w:r w:rsidR="00A40D43">
        <w:rPr>
          <w:rFonts w:asciiTheme="minorHAnsi" w:hAnsiTheme="minorHAnsi" w:cs="Arial"/>
          <w:sz w:val="22"/>
          <w:szCs w:val="22"/>
        </w:rPr>
        <w:t>wysokości dopłaty</w:t>
      </w:r>
      <w:r w:rsidR="00F10D61" w:rsidRPr="00F10D61">
        <w:rPr>
          <w:rFonts w:asciiTheme="minorHAnsi" w:hAnsiTheme="minorHAnsi" w:cs="Arial"/>
          <w:sz w:val="22"/>
          <w:szCs w:val="22"/>
        </w:rPr>
        <w:t xml:space="preserve"> od lokalnego kosztu budowy mieszkań oraz od powierzchni za</w:t>
      </w:r>
      <w:r w:rsidR="00F10D61" w:rsidRPr="00F10D61">
        <w:rPr>
          <w:rFonts w:asciiTheme="minorHAnsi" w:hAnsiTheme="minorHAnsi" w:cs="Arial"/>
          <w:sz w:val="22"/>
          <w:szCs w:val="22"/>
        </w:rPr>
        <w:t>j</w:t>
      </w:r>
      <w:r w:rsidR="00F10D61" w:rsidRPr="00F10D61">
        <w:rPr>
          <w:rFonts w:asciiTheme="minorHAnsi" w:hAnsiTheme="minorHAnsi" w:cs="Arial"/>
          <w:sz w:val="22"/>
          <w:szCs w:val="22"/>
        </w:rPr>
        <w:t>mowanego mieszkania, przy ograniczeniach związanych z liczbą członków gospodarstwa dom</w:t>
      </w:r>
      <w:r w:rsidR="00F10D61" w:rsidRPr="00F10D61">
        <w:rPr>
          <w:rFonts w:asciiTheme="minorHAnsi" w:hAnsiTheme="minorHAnsi" w:cs="Arial"/>
          <w:sz w:val="22"/>
          <w:szCs w:val="22"/>
        </w:rPr>
        <w:t>o</w:t>
      </w:r>
      <w:r w:rsidR="00F10D61" w:rsidRPr="00F10D61">
        <w:rPr>
          <w:rFonts w:asciiTheme="minorHAnsi" w:hAnsiTheme="minorHAnsi" w:cs="Arial"/>
          <w:sz w:val="22"/>
          <w:szCs w:val="22"/>
        </w:rPr>
        <w:t>wego,</w:t>
      </w:r>
    </w:p>
    <w:p w:rsidR="00A03F90" w:rsidRPr="00F10D61" w:rsidRDefault="00A40D43" w:rsidP="003D5A3A">
      <w:pPr>
        <w:pStyle w:val="Akapitzlist"/>
        <w:numPr>
          <w:ilvl w:val="0"/>
          <w:numId w:val="40"/>
        </w:numPr>
        <w:tabs>
          <w:tab w:val="left" w:pos="426"/>
        </w:tabs>
        <w:spacing w:after="240" w:line="240" w:lineRule="exact"/>
        <w:ind w:left="426" w:hanging="284"/>
        <w:rPr>
          <w:rFonts w:asciiTheme="minorHAnsi" w:hAnsiTheme="minorHAnsi" w:cs="Arial"/>
          <w:sz w:val="22"/>
          <w:szCs w:val="22"/>
        </w:rPr>
      </w:pPr>
      <w:r>
        <w:rPr>
          <w:rFonts w:asciiTheme="minorHAnsi" w:hAnsiTheme="minorHAnsi" w:cs="Arial"/>
          <w:sz w:val="22"/>
          <w:szCs w:val="22"/>
        </w:rPr>
        <w:t>weryfikacj</w:t>
      </w:r>
      <w:r w:rsidR="005652E7">
        <w:rPr>
          <w:rFonts w:asciiTheme="minorHAnsi" w:hAnsiTheme="minorHAnsi" w:cs="Arial"/>
          <w:sz w:val="22"/>
          <w:szCs w:val="22"/>
        </w:rPr>
        <w:t>ę</w:t>
      </w:r>
      <w:r>
        <w:rPr>
          <w:rFonts w:asciiTheme="minorHAnsi" w:hAnsiTheme="minorHAnsi" w:cs="Arial"/>
          <w:sz w:val="22"/>
          <w:szCs w:val="22"/>
        </w:rPr>
        <w:t xml:space="preserve"> </w:t>
      </w:r>
      <w:r w:rsidR="002A4D79" w:rsidRPr="00F10D61">
        <w:rPr>
          <w:rFonts w:asciiTheme="minorHAnsi" w:hAnsiTheme="minorHAnsi" w:cs="Arial"/>
          <w:sz w:val="22"/>
          <w:szCs w:val="22"/>
        </w:rPr>
        <w:t>praw</w:t>
      </w:r>
      <w:r>
        <w:rPr>
          <w:rFonts w:asciiTheme="minorHAnsi" w:hAnsiTheme="minorHAnsi" w:cs="Arial"/>
          <w:sz w:val="22"/>
          <w:szCs w:val="22"/>
        </w:rPr>
        <w:t>a</w:t>
      </w:r>
      <w:r w:rsidR="002A4D79" w:rsidRPr="00F10D61">
        <w:rPr>
          <w:rFonts w:asciiTheme="minorHAnsi" w:hAnsiTheme="minorHAnsi" w:cs="Arial"/>
          <w:sz w:val="22"/>
          <w:szCs w:val="22"/>
        </w:rPr>
        <w:t xml:space="preserve"> do dopłat </w:t>
      </w:r>
      <w:r>
        <w:rPr>
          <w:rFonts w:asciiTheme="minorHAnsi" w:hAnsiTheme="minorHAnsi" w:cs="Arial"/>
          <w:sz w:val="22"/>
          <w:szCs w:val="22"/>
        </w:rPr>
        <w:t>co 3 lata</w:t>
      </w:r>
      <w:r w:rsidR="002A4D79" w:rsidRPr="00F10D61">
        <w:rPr>
          <w:rFonts w:asciiTheme="minorHAnsi" w:hAnsiTheme="minorHAnsi" w:cs="Arial"/>
          <w:sz w:val="22"/>
          <w:szCs w:val="22"/>
        </w:rPr>
        <w:t xml:space="preserve"> pod k</w:t>
      </w:r>
      <w:r w:rsidR="005652E7">
        <w:rPr>
          <w:rFonts w:asciiTheme="minorHAnsi" w:hAnsiTheme="minorHAnsi" w:cs="Arial"/>
          <w:sz w:val="22"/>
          <w:szCs w:val="22"/>
        </w:rPr>
        <w:t>ą</w:t>
      </w:r>
      <w:r w:rsidR="002A4D79" w:rsidRPr="00F10D61">
        <w:rPr>
          <w:rFonts w:asciiTheme="minorHAnsi" w:hAnsiTheme="minorHAnsi" w:cs="Arial"/>
          <w:sz w:val="22"/>
          <w:szCs w:val="22"/>
        </w:rPr>
        <w:t>tem dalszego spełniania kryteriów dochodowych</w:t>
      </w:r>
      <w:r>
        <w:rPr>
          <w:rFonts w:asciiTheme="minorHAnsi" w:hAnsiTheme="minorHAnsi" w:cs="Arial"/>
          <w:sz w:val="22"/>
          <w:szCs w:val="22"/>
        </w:rPr>
        <w:t xml:space="preserve"> (</w:t>
      </w:r>
      <w:r w:rsidR="002A4D79" w:rsidRPr="00F10D61">
        <w:rPr>
          <w:rFonts w:asciiTheme="minorHAnsi" w:hAnsiTheme="minorHAnsi" w:cs="Arial"/>
          <w:sz w:val="22"/>
          <w:szCs w:val="22"/>
        </w:rPr>
        <w:t>dodatkowo weryfikacja będzie mogła być przeprowadzana na wniosek najemcy związany z</w:t>
      </w:r>
      <w:r w:rsidR="00234274">
        <w:rPr>
          <w:rFonts w:asciiTheme="minorHAnsi" w:hAnsiTheme="minorHAnsi" w:cs="Arial"/>
          <w:sz w:val="22"/>
          <w:szCs w:val="22"/>
        </w:rPr>
        <w:t>e</w:t>
      </w:r>
      <w:r w:rsidR="002A4D79" w:rsidRPr="00F10D61">
        <w:rPr>
          <w:rFonts w:asciiTheme="minorHAnsi" w:hAnsiTheme="minorHAnsi" w:cs="Arial"/>
          <w:sz w:val="22"/>
          <w:szCs w:val="22"/>
        </w:rPr>
        <w:t xml:space="preserve"> </w:t>
      </w:r>
      <w:r w:rsidR="00234274">
        <w:rPr>
          <w:rFonts w:asciiTheme="minorHAnsi" w:hAnsiTheme="minorHAnsi" w:cs="Arial"/>
          <w:sz w:val="22"/>
          <w:szCs w:val="22"/>
        </w:rPr>
        <w:t>zmianą liczby członków gospodarstwa domowego</w:t>
      </w:r>
      <w:r w:rsidR="003D5A3A" w:rsidRPr="003D5A3A">
        <w:t xml:space="preserve"> </w:t>
      </w:r>
      <w:r w:rsidR="003D5A3A" w:rsidRPr="003D5A3A">
        <w:rPr>
          <w:rFonts w:asciiTheme="minorHAnsi" w:hAnsiTheme="minorHAnsi" w:cs="Arial"/>
          <w:sz w:val="22"/>
          <w:szCs w:val="22"/>
        </w:rPr>
        <w:t xml:space="preserve">spowodowaną </w:t>
      </w:r>
      <w:r w:rsidR="003D5A3A">
        <w:rPr>
          <w:rFonts w:asciiTheme="minorHAnsi" w:hAnsiTheme="minorHAnsi" w:cs="Arial"/>
          <w:sz w:val="22"/>
          <w:szCs w:val="22"/>
        </w:rPr>
        <w:t>urodzeniem lub przysposobi</w:t>
      </w:r>
      <w:r w:rsidR="003D5A3A">
        <w:rPr>
          <w:rFonts w:asciiTheme="minorHAnsi" w:hAnsiTheme="minorHAnsi" w:cs="Arial"/>
          <w:sz w:val="22"/>
          <w:szCs w:val="22"/>
        </w:rPr>
        <w:t>e</w:t>
      </w:r>
      <w:r w:rsidR="003D5A3A">
        <w:rPr>
          <w:rFonts w:asciiTheme="minorHAnsi" w:hAnsiTheme="minorHAnsi" w:cs="Arial"/>
          <w:sz w:val="22"/>
          <w:szCs w:val="22"/>
        </w:rPr>
        <w:t>niem dziecka</w:t>
      </w:r>
      <w:r>
        <w:rPr>
          <w:rFonts w:asciiTheme="minorHAnsi" w:hAnsiTheme="minorHAnsi" w:cs="Arial"/>
          <w:sz w:val="22"/>
          <w:szCs w:val="22"/>
        </w:rPr>
        <w:t>),</w:t>
      </w:r>
    </w:p>
    <w:p w:rsidR="00A03F90" w:rsidRPr="00F10D61" w:rsidRDefault="00F10D61" w:rsidP="00A86097">
      <w:pPr>
        <w:pStyle w:val="Akapitzlist"/>
        <w:numPr>
          <w:ilvl w:val="0"/>
          <w:numId w:val="40"/>
        </w:numPr>
        <w:tabs>
          <w:tab w:val="left" w:pos="426"/>
        </w:tabs>
        <w:spacing w:after="240" w:line="240" w:lineRule="exact"/>
        <w:ind w:left="426" w:hanging="284"/>
        <w:rPr>
          <w:rFonts w:asciiTheme="minorHAnsi" w:hAnsiTheme="minorHAnsi" w:cs="Arial"/>
          <w:sz w:val="22"/>
          <w:szCs w:val="22"/>
        </w:rPr>
      </w:pPr>
      <w:r w:rsidRPr="00F10D61">
        <w:rPr>
          <w:rFonts w:asciiTheme="minorHAnsi" w:hAnsiTheme="minorHAnsi" w:cs="Arial"/>
          <w:sz w:val="22"/>
          <w:szCs w:val="22"/>
        </w:rPr>
        <w:t>nabór najemców prowadzony przez gminy (</w:t>
      </w:r>
      <w:r w:rsidR="00CA53DA">
        <w:rPr>
          <w:rFonts w:asciiTheme="minorHAnsi" w:hAnsiTheme="minorHAnsi" w:cs="Arial"/>
          <w:sz w:val="22"/>
          <w:szCs w:val="22"/>
        </w:rPr>
        <w:t>które będą mogły korzystać również z pośrednictwa</w:t>
      </w:r>
      <w:r w:rsidRPr="00F10D61">
        <w:rPr>
          <w:rFonts w:asciiTheme="minorHAnsi" w:hAnsiTheme="minorHAnsi" w:cs="Arial"/>
          <w:sz w:val="22"/>
          <w:szCs w:val="22"/>
        </w:rPr>
        <w:t xml:space="preserve"> spółek gminnych), z uwzględnieniem kryteriów określanych przez </w:t>
      </w:r>
      <w:r w:rsidR="005652E7">
        <w:rPr>
          <w:rFonts w:asciiTheme="minorHAnsi" w:hAnsiTheme="minorHAnsi" w:cs="Arial"/>
          <w:sz w:val="22"/>
          <w:szCs w:val="22"/>
        </w:rPr>
        <w:t>r</w:t>
      </w:r>
      <w:r w:rsidRPr="00F10D61">
        <w:rPr>
          <w:rFonts w:asciiTheme="minorHAnsi" w:hAnsiTheme="minorHAnsi" w:cs="Arial"/>
          <w:sz w:val="22"/>
          <w:szCs w:val="22"/>
        </w:rPr>
        <w:t xml:space="preserve">adę </w:t>
      </w:r>
      <w:r w:rsidR="005652E7">
        <w:rPr>
          <w:rFonts w:asciiTheme="minorHAnsi" w:hAnsiTheme="minorHAnsi" w:cs="Arial"/>
          <w:sz w:val="22"/>
          <w:szCs w:val="22"/>
        </w:rPr>
        <w:t>g</w:t>
      </w:r>
      <w:r w:rsidRPr="00F10D61">
        <w:rPr>
          <w:rFonts w:asciiTheme="minorHAnsi" w:hAnsiTheme="minorHAnsi" w:cs="Arial"/>
          <w:sz w:val="22"/>
          <w:szCs w:val="22"/>
        </w:rPr>
        <w:t>miny,</w:t>
      </w:r>
    </w:p>
    <w:p w:rsidR="00F10D61" w:rsidRPr="00F10D61" w:rsidRDefault="005652E7" w:rsidP="00A86097">
      <w:pPr>
        <w:pStyle w:val="Akapitzlist"/>
        <w:numPr>
          <w:ilvl w:val="0"/>
          <w:numId w:val="40"/>
        </w:numPr>
        <w:tabs>
          <w:tab w:val="left" w:pos="426"/>
        </w:tabs>
        <w:spacing w:after="240" w:line="240" w:lineRule="exact"/>
        <w:ind w:left="426" w:hanging="284"/>
        <w:rPr>
          <w:rFonts w:asciiTheme="minorHAnsi" w:hAnsiTheme="minorHAnsi" w:cs="Arial"/>
          <w:sz w:val="22"/>
          <w:szCs w:val="22"/>
        </w:rPr>
      </w:pPr>
      <w:r>
        <w:rPr>
          <w:rFonts w:asciiTheme="minorHAnsi" w:hAnsiTheme="minorHAnsi" w:cs="Arial"/>
          <w:sz w:val="22"/>
          <w:szCs w:val="22"/>
        </w:rPr>
        <w:t xml:space="preserve">zawieranie </w:t>
      </w:r>
      <w:r w:rsidR="00F10D61">
        <w:rPr>
          <w:rFonts w:asciiTheme="minorHAnsi" w:hAnsiTheme="minorHAnsi" w:cs="Arial"/>
          <w:sz w:val="22"/>
          <w:szCs w:val="22"/>
        </w:rPr>
        <w:t>umow</w:t>
      </w:r>
      <w:r>
        <w:rPr>
          <w:rFonts w:asciiTheme="minorHAnsi" w:hAnsiTheme="minorHAnsi" w:cs="Arial"/>
          <w:sz w:val="22"/>
          <w:szCs w:val="22"/>
        </w:rPr>
        <w:t>y</w:t>
      </w:r>
      <w:r w:rsidR="00F10D61">
        <w:rPr>
          <w:rFonts w:asciiTheme="minorHAnsi" w:hAnsiTheme="minorHAnsi" w:cs="Arial"/>
          <w:sz w:val="22"/>
          <w:szCs w:val="22"/>
        </w:rPr>
        <w:t xml:space="preserve"> najmu </w:t>
      </w:r>
      <w:r>
        <w:rPr>
          <w:rFonts w:asciiTheme="minorHAnsi" w:hAnsiTheme="minorHAnsi" w:cs="Arial"/>
          <w:sz w:val="22"/>
          <w:szCs w:val="22"/>
        </w:rPr>
        <w:t>z najemcą</w:t>
      </w:r>
      <w:r w:rsidR="00F10D61" w:rsidRPr="00F10D61">
        <w:rPr>
          <w:rFonts w:asciiTheme="minorHAnsi" w:hAnsiTheme="minorHAnsi" w:cs="Arial"/>
          <w:sz w:val="22"/>
          <w:szCs w:val="22"/>
        </w:rPr>
        <w:t xml:space="preserve"> po zbadaniu </w:t>
      </w:r>
      <w:r w:rsidR="003E7A7D">
        <w:rPr>
          <w:rFonts w:asciiTheme="minorHAnsi" w:hAnsiTheme="minorHAnsi" w:cs="Arial"/>
          <w:sz w:val="22"/>
          <w:szCs w:val="22"/>
        </w:rPr>
        <w:t xml:space="preserve">przez inwestora </w:t>
      </w:r>
      <w:r w:rsidR="00F10D61" w:rsidRPr="00F10D61">
        <w:rPr>
          <w:rFonts w:asciiTheme="minorHAnsi" w:hAnsiTheme="minorHAnsi" w:cs="Arial"/>
          <w:sz w:val="22"/>
          <w:szCs w:val="22"/>
        </w:rPr>
        <w:t xml:space="preserve">zdolności do terminowego opłacania czynszu. </w:t>
      </w:r>
    </w:p>
    <w:p w:rsidR="00C35C43" w:rsidRDefault="00F10D61" w:rsidP="00A86097">
      <w:pPr>
        <w:tabs>
          <w:tab w:val="left" w:pos="540"/>
        </w:tabs>
        <w:spacing w:after="240" w:line="240" w:lineRule="exact"/>
        <w:rPr>
          <w:rFonts w:asciiTheme="minorHAnsi" w:hAnsiTheme="minorHAnsi" w:cs="Arial"/>
          <w:sz w:val="22"/>
          <w:szCs w:val="22"/>
        </w:rPr>
      </w:pPr>
      <w:r>
        <w:rPr>
          <w:rFonts w:asciiTheme="minorHAnsi" w:hAnsiTheme="minorHAnsi" w:cs="Arial"/>
          <w:sz w:val="22"/>
          <w:szCs w:val="22"/>
        </w:rPr>
        <w:t>Program będzie finansowany ze środków Funduszu Dopłat, w ramach wydatków określonych w N</w:t>
      </w:r>
      <w:r>
        <w:rPr>
          <w:rFonts w:asciiTheme="minorHAnsi" w:hAnsiTheme="minorHAnsi" w:cs="Arial"/>
          <w:sz w:val="22"/>
          <w:szCs w:val="22"/>
        </w:rPr>
        <w:t>a</w:t>
      </w:r>
      <w:r>
        <w:rPr>
          <w:rFonts w:asciiTheme="minorHAnsi" w:hAnsiTheme="minorHAnsi" w:cs="Arial"/>
          <w:sz w:val="22"/>
          <w:szCs w:val="22"/>
        </w:rPr>
        <w:t xml:space="preserve">rodowym Programie Mieszkaniowym na wsparcie systemu oszczędzania na cele mieszkaniowe. W założeniu projektodawcy nastąpi płynne przejście od realizowanych dotychczas programów wsparcia osób fizycznych w nabyciu własnego mieszkania („Rodzina na swoim”, „Mieszkanie dla młodych”) do programu finansowania dopłat do czynszów. </w:t>
      </w:r>
    </w:p>
    <w:p w:rsidR="0046723E" w:rsidRPr="00625325" w:rsidRDefault="0046723E" w:rsidP="0046723E">
      <w:pPr>
        <w:spacing w:line="240" w:lineRule="auto"/>
        <w:rPr>
          <w:i/>
          <w:sz w:val="20"/>
          <w:szCs w:val="20"/>
        </w:rPr>
      </w:pPr>
      <w:r w:rsidRPr="00625325">
        <w:rPr>
          <w:i/>
          <w:sz w:val="20"/>
          <w:szCs w:val="20"/>
        </w:rPr>
        <w:t>Prognoza wydatków budżetowych w latach 2017-2028 (mln zł) na programy adresowane do osób fizycznych, od 2019 r. – wydatki po wprowadzeniu programu dopłat do czynszów</w:t>
      </w:r>
    </w:p>
    <w:tbl>
      <w:tblPr>
        <w:tblW w:w="90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39"/>
        <w:gridCol w:w="640"/>
        <w:gridCol w:w="640"/>
        <w:gridCol w:w="640"/>
        <w:gridCol w:w="640"/>
        <w:gridCol w:w="640"/>
        <w:gridCol w:w="640"/>
        <w:gridCol w:w="640"/>
        <w:gridCol w:w="640"/>
        <w:gridCol w:w="640"/>
        <w:gridCol w:w="640"/>
        <w:gridCol w:w="640"/>
      </w:tblGrid>
      <w:tr w:rsidR="0046723E" w:rsidRPr="00625325" w:rsidTr="0046723E">
        <w:trPr>
          <w:trHeight w:val="275"/>
        </w:trPr>
        <w:tc>
          <w:tcPr>
            <w:tcW w:w="2039" w:type="dxa"/>
            <w:tcBorders>
              <w:bottom w:val="single" w:sz="4" w:space="0" w:color="auto"/>
            </w:tcBorders>
            <w:shd w:val="clear" w:color="auto" w:fill="B8CCE4"/>
          </w:tcPr>
          <w:p w:rsidR="0046723E" w:rsidRPr="00625325" w:rsidRDefault="0046723E" w:rsidP="00BD4A35">
            <w:pPr>
              <w:spacing w:line="240" w:lineRule="auto"/>
              <w:rPr>
                <w:bCs/>
                <w:sz w:val="16"/>
                <w:szCs w:val="16"/>
              </w:rPr>
            </w:pPr>
          </w:p>
        </w:tc>
        <w:tc>
          <w:tcPr>
            <w:tcW w:w="640" w:type="dxa"/>
            <w:tcBorders>
              <w:top w:val="single" w:sz="4" w:space="0" w:color="auto"/>
              <w:bottom w:val="single" w:sz="4" w:space="0" w:color="auto"/>
              <w:right w:val="single" w:sz="4" w:space="0" w:color="auto"/>
            </w:tcBorders>
            <w:shd w:val="clear" w:color="auto" w:fill="B8CCE4"/>
          </w:tcPr>
          <w:p w:rsidR="0046723E" w:rsidRPr="008F2EDE" w:rsidRDefault="0046723E" w:rsidP="00BD4A35">
            <w:pPr>
              <w:spacing w:line="240" w:lineRule="auto"/>
              <w:rPr>
                <w:b/>
                <w:bCs/>
                <w:sz w:val="16"/>
                <w:szCs w:val="16"/>
              </w:rPr>
            </w:pPr>
            <w:r w:rsidRPr="008F2EDE">
              <w:rPr>
                <w:b/>
                <w:bCs/>
                <w:sz w:val="16"/>
                <w:szCs w:val="16"/>
              </w:rPr>
              <w:t>2017</w:t>
            </w:r>
          </w:p>
        </w:tc>
        <w:tc>
          <w:tcPr>
            <w:tcW w:w="640" w:type="dxa"/>
            <w:tcBorders>
              <w:top w:val="single" w:sz="4" w:space="0" w:color="auto"/>
              <w:left w:val="single" w:sz="4" w:space="0" w:color="auto"/>
              <w:bottom w:val="single" w:sz="4" w:space="0" w:color="auto"/>
              <w:right w:val="single" w:sz="24" w:space="0" w:color="auto"/>
            </w:tcBorders>
            <w:shd w:val="clear" w:color="auto" w:fill="B8CCE4"/>
          </w:tcPr>
          <w:p w:rsidR="0046723E" w:rsidRPr="008F2EDE" w:rsidRDefault="0046723E" w:rsidP="00BD4A35">
            <w:pPr>
              <w:spacing w:line="240" w:lineRule="auto"/>
              <w:rPr>
                <w:b/>
                <w:bCs/>
                <w:sz w:val="16"/>
                <w:szCs w:val="16"/>
              </w:rPr>
            </w:pPr>
            <w:r w:rsidRPr="008F2EDE">
              <w:rPr>
                <w:b/>
                <w:bCs/>
                <w:sz w:val="16"/>
                <w:szCs w:val="16"/>
              </w:rPr>
              <w:t>2018</w:t>
            </w:r>
          </w:p>
        </w:tc>
        <w:tc>
          <w:tcPr>
            <w:tcW w:w="640" w:type="dxa"/>
            <w:tcBorders>
              <w:left w:val="single" w:sz="24" w:space="0" w:color="auto"/>
            </w:tcBorders>
            <w:shd w:val="clear" w:color="auto" w:fill="B8CCE4"/>
          </w:tcPr>
          <w:p w:rsidR="0046723E" w:rsidRPr="008F2EDE" w:rsidRDefault="0046723E" w:rsidP="00BD4A35">
            <w:pPr>
              <w:spacing w:line="240" w:lineRule="auto"/>
              <w:rPr>
                <w:b/>
                <w:bCs/>
                <w:sz w:val="16"/>
                <w:szCs w:val="16"/>
              </w:rPr>
            </w:pPr>
            <w:r w:rsidRPr="008F2EDE">
              <w:rPr>
                <w:b/>
                <w:bCs/>
                <w:sz w:val="16"/>
                <w:szCs w:val="16"/>
              </w:rPr>
              <w:t>2019</w:t>
            </w:r>
          </w:p>
        </w:tc>
        <w:tc>
          <w:tcPr>
            <w:tcW w:w="640" w:type="dxa"/>
            <w:shd w:val="clear" w:color="auto" w:fill="B8CCE4"/>
          </w:tcPr>
          <w:p w:rsidR="0046723E" w:rsidRPr="008F2EDE" w:rsidRDefault="0046723E" w:rsidP="00BD4A35">
            <w:pPr>
              <w:spacing w:line="240" w:lineRule="auto"/>
              <w:rPr>
                <w:b/>
                <w:bCs/>
                <w:sz w:val="16"/>
                <w:szCs w:val="16"/>
              </w:rPr>
            </w:pPr>
            <w:r w:rsidRPr="008F2EDE">
              <w:rPr>
                <w:b/>
                <w:bCs/>
                <w:sz w:val="16"/>
                <w:szCs w:val="16"/>
              </w:rPr>
              <w:t>2020</w:t>
            </w:r>
          </w:p>
        </w:tc>
        <w:tc>
          <w:tcPr>
            <w:tcW w:w="640" w:type="dxa"/>
            <w:shd w:val="clear" w:color="auto" w:fill="B8CCE4"/>
          </w:tcPr>
          <w:p w:rsidR="0046723E" w:rsidRPr="008F2EDE" w:rsidRDefault="0046723E" w:rsidP="00BD4A35">
            <w:pPr>
              <w:spacing w:line="240" w:lineRule="auto"/>
              <w:rPr>
                <w:b/>
                <w:bCs/>
                <w:sz w:val="16"/>
                <w:szCs w:val="16"/>
              </w:rPr>
            </w:pPr>
            <w:r w:rsidRPr="008F2EDE">
              <w:rPr>
                <w:b/>
                <w:bCs/>
                <w:sz w:val="16"/>
                <w:szCs w:val="16"/>
              </w:rPr>
              <w:t>2021</w:t>
            </w:r>
          </w:p>
        </w:tc>
        <w:tc>
          <w:tcPr>
            <w:tcW w:w="640" w:type="dxa"/>
            <w:shd w:val="clear" w:color="auto" w:fill="B8CCE4"/>
          </w:tcPr>
          <w:p w:rsidR="0046723E" w:rsidRPr="008F2EDE" w:rsidRDefault="0046723E" w:rsidP="00BD4A35">
            <w:pPr>
              <w:spacing w:line="240" w:lineRule="auto"/>
              <w:rPr>
                <w:b/>
                <w:bCs/>
                <w:sz w:val="16"/>
                <w:szCs w:val="16"/>
              </w:rPr>
            </w:pPr>
            <w:r w:rsidRPr="008F2EDE">
              <w:rPr>
                <w:b/>
                <w:bCs/>
                <w:sz w:val="16"/>
                <w:szCs w:val="16"/>
              </w:rPr>
              <w:t>2022</w:t>
            </w:r>
          </w:p>
        </w:tc>
        <w:tc>
          <w:tcPr>
            <w:tcW w:w="640" w:type="dxa"/>
            <w:shd w:val="clear" w:color="auto" w:fill="B8CCE4"/>
          </w:tcPr>
          <w:p w:rsidR="0046723E" w:rsidRPr="008F2EDE" w:rsidRDefault="0046723E" w:rsidP="00BD4A35">
            <w:pPr>
              <w:spacing w:line="240" w:lineRule="auto"/>
              <w:rPr>
                <w:b/>
                <w:bCs/>
                <w:sz w:val="16"/>
                <w:szCs w:val="16"/>
              </w:rPr>
            </w:pPr>
            <w:r w:rsidRPr="008F2EDE">
              <w:rPr>
                <w:b/>
                <w:bCs/>
                <w:sz w:val="16"/>
                <w:szCs w:val="16"/>
              </w:rPr>
              <w:t>2023</w:t>
            </w:r>
          </w:p>
        </w:tc>
        <w:tc>
          <w:tcPr>
            <w:tcW w:w="640" w:type="dxa"/>
            <w:shd w:val="clear" w:color="auto" w:fill="B8CCE4"/>
          </w:tcPr>
          <w:p w:rsidR="0046723E" w:rsidRPr="008F2EDE" w:rsidRDefault="0046723E" w:rsidP="00BD4A35">
            <w:pPr>
              <w:spacing w:line="240" w:lineRule="auto"/>
              <w:rPr>
                <w:b/>
                <w:bCs/>
                <w:sz w:val="16"/>
                <w:szCs w:val="16"/>
              </w:rPr>
            </w:pPr>
            <w:r w:rsidRPr="008F2EDE">
              <w:rPr>
                <w:b/>
                <w:bCs/>
                <w:sz w:val="16"/>
                <w:szCs w:val="16"/>
              </w:rPr>
              <w:t>2024</w:t>
            </w:r>
          </w:p>
        </w:tc>
        <w:tc>
          <w:tcPr>
            <w:tcW w:w="640" w:type="dxa"/>
            <w:shd w:val="clear" w:color="auto" w:fill="B8CCE4"/>
          </w:tcPr>
          <w:p w:rsidR="0046723E" w:rsidRPr="008F2EDE" w:rsidRDefault="0046723E" w:rsidP="00BD4A35">
            <w:pPr>
              <w:spacing w:line="240" w:lineRule="auto"/>
              <w:rPr>
                <w:b/>
                <w:bCs/>
                <w:sz w:val="16"/>
                <w:szCs w:val="16"/>
              </w:rPr>
            </w:pPr>
            <w:r w:rsidRPr="008F2EDE">
              <w:rPr>
                <w:b/>
                <w:bCs/>
                <w:sz w:val="16"/>
                <w:szCs w:val="16"/>
              </w:rPr>
              <w:t>2025</w:t>
            </w:r>
          </w:p>
        </w:tc>
        <w:tc>
          <w:tcPr>
            <w:tcW w:w="640" w:type="dxa"/>
            <w:shd w:val="clear" w:color="auto" w:fill="B8CCE4"/>
          </w:tcPr>
          <w:p w:rsidR="0046723E" w:rsidRPr="008F2EDE" w:rsidRDefault="0046723E" w:rsidP="00BD4A35">
            <w:pPr>
              <w:spacing w:line="240" w:lineRule="auto"/>
              <w:rPr>
                <w:b/>
                <w:bCs/>
                <w:sz w:val="16"/>
                <w:szCs w:val="16"/>
              </w:rPr>
            </w:pPr>
            <w:r w:rsidRPr="008F2EDE">
              <w:rPr>
                <w:b/>
                <w:bCs/>
                <w:sz w:val="16"/>
                <w:szCs w:val="16"/>
              </w:rPr>
              <w:t>2026</w:t>
            </w:r>
          </w:p>
        </w:tc>
        <w:tc>
          <w:tcPr>
            <w:tcW w:w="640" w:type="dxa"/>
            <w:shd w:val="clear" w:color="auto" w:fill="B8CCE4"/>
          </w:tcPr>
          <w:p w:rsidR="0046723E" w:rsidRPr="008F2EDE" w:rsidRDefault="0046723E" w:rsidP="00BD4A35">
            <w:pPr>
              <w:spacing w:line="240" w:lineRule="auto"/>
              <w:rPr>
                <w:b/>
                <w:bCs/>
                <w:sz w:val="16"/>
                <w:szCs w:val="16"/>
              </w:rPr>
            </w:pPr>
            <w:r w:rsidRPr="008F2EDE">
              <w:rPr>
                <w:b/>
                <w:bCs/>
                <w:sz w:val="16"/>
                <w:szCs w:val="16"/>
              </w:rPr>
              <w:t>2027</w:t>
            </w:r>
          </w:p>
        </w:tc>
      </w:tr>
      <w:tr w:rsidR="0046723E" w:rsidRPr="00625325" w:rsidTr="0046723E">
        <w:trPr>
          <w:trHeight w:val="190"/>
        </w:trPr>
        <w:tc>
          <w:tcPr>
            <w:tcW w:w="2039" w:type="dxa"/>
            <w:shd w:val="clear" w:color="auto" w:fill="B8CCE4"/>
          </w:tcPr>
          <w:p w:rsidR="0046723E" w:rsidRPr="00625325" w:rsidRDefault="0046723E" w:rsidP="00BD4A35">
            <w:pPr>
              <w:spacing w:line="240" w:lineRule="auto"/>
              <w:rPr>
                <w:bCs/>
                <w:sz w:val="16"/>
                <w:szCs w:val="16"/>
              </w:rPr>
            </w:pPr>
            <w:r w:rsidRPr="00625325">
              <w:rPr>
                <w:bCs/>
                <w:sz w:val="16"/>
                <w:szCs w:val="16"/>
              </w:rPr>
              <w:t>Rodzina na swoim</w:t>
            </w:r>
          </w:p>
        </w:tc>
        <w:tc>
          <w:tcPr>
            <w:tcW w:w="640" w:type="dxa"/>
            <w:tcBorders>
              <w:top w:val="single" w:sz="4" w:space="0" w:color="auto"/>
              <w:right w:val="single" w:sz="4" w:space="0" w:color="auto"/>
            </w:tcBorders>
            <w:shd w:val="clear" w:color="auto" w:fill="auto"/>
            <w:vAlign w:val="center"/>
          </w:tcPr>
          <w:p w:rsidR="0046723E" w:rsidRPr="00625325" w:rsidRDefault="0046723E" w:rsidP="00BD4A35">
            <w:pPr>
              <w:spacing w:line="240" w:lineRule="auto"/>
              <w:rPr>
                <w:sz w:val="16"/>
                <w:szCs w:val="16"/>
              </w:rPr>
            </w:pPr>
            <w:r w:rsidRPr="00625325">
              <w:rPr>
                <w:sz w:val="16"/>
                <w:szCs w:val="16"/>
              </w:rPr>
              <w:t>319</w:t>
            </w:r>
          </w:p>
        </w:tc>
        <w:tc>
          <w:tcPr>
            <w:tcW w:w="640" w:type="dxa"/>
            <w:tcBorders>
              <w:top w:val="single" w:sz="4" w:space="0" w:color="auto"/>
              <w:left w:val="single" w:sz="4" w:space="0" w:color="auto"/>
              <w:bottom w:val="single" w:sz="4" w:space="0" w:color="auto"/>
              <w:right w:val="single" w:sz="24" w:space="0" w:color="auto"/>
            </w:tcBorders>
            <w:shd w:val="clear" w:color="auto" w:fill="auto"/>
            <w:vAlign w:val="center"/>
          </w:tcPr>
          <w:p w:rsidR="0046723E" w:rsidRPr="00625325" w:rsidRDefault="0046723E" w:rsidP="00BD4A35">
            <w:pPr>
              <w:spacing w:line="240" w:lineRule="auto"/>
              <w:rPr>
                <w:sz w:val="16"/>
                <w:szCs w:val="16"/>
              </w:rPr>
            </w:pPr>
            <w:r w:rsidRPr="00625325">
              <w:rPr>
                <w:sz w:val="16"/>
                <w:szCs w:val="16"/>
              </w:rPr>
              <w:t>355</w:t>
            </w:r>
          </w:p>
        </w:tc>
        <w:tc>
          <w:tcPr>
            <w:tcW w:w="640" w:type="dxa"/>
            <w:tcBorders>
              <w:left w:val="single" w:sz="24" w:space="0" w:color="auto"/>
            </w:tcBorders>
            <w:shd w:val="clear" w:color="auto" w:fill="auto"/>
            <w:vAlign w:val="center"/>
          </w:tcPr>
          <w:p w:rsidR="0046723E" w:rsidRPr="00625325" w:rsidRDefault="0046723E" w:rsidP="00BD4A35">
            <w:pPr>
              <w:spacing w:line="240" w:lineRule="auto"/>
              <w:rPr>
                <w:sz w:val="16"/>
                <w:szCs w:val="16"/>
              </w:rPr>
            </w:pPr>
            <w:r>
              <w:rPr>
                <w:sz w:val="16"/>
                <w:szCs w:val="16"/>
              </w:rPr>
              <w:t>250</w:t>
            </w:r>
          </w:p>
        </w:tc>
        <w:tc>
          <w:tcPr>
            <w:tcW w:w="640" w:type="dxa"/>
            <w:shd w:val="clear" w:color="auto" w:fill="auto"/>
            <w:vAlign w:val="center"/>
          </w:tcPr>
          <w:p w:rsidR="0046723E" w:rsidRPr="00625325" w:rsidRDefault="0046723E" w:rsidP="00BD4A35">
            <w:pPr>
              <w:spacing w:line="240" w:lineRule="auto"/>
              <w:rPr>
                <w:sz w:val="16"/>
                <w:szCs w:val="16"/>
              </w:rPr>
            </w:pPr>
            <w:r>
              <w:rPr>
                <w:sz w:val="16"/>
                <w:szCs w:val="16"/>
              </w:rPr>
              <w:t>150</w:t>
            </w:r>
          </w:p>
        </w:tc>
        <w:tc>
          <w:tcPr>
            <w:tcW w:w="640" w:type="dxa"/>
            <w:shd w:val="clear" w:color="auto" w:fill="auto"/>
            <w:vAlign w:val="center"/>
          </w:tcPr>
          <w:p w:rsidR="0046723E" w:rsidRPr="00625325" w:rsidRDefault="0046723E" w:rsidP="00BD4A35">
            <w:pPr>
              <w:spacing w:line="240" w:lineRule="auto"/>
              <w:rPr>
                <w:sz w:val="16"/>
                <w:szCs w:val="16"/>
              </w:rPr>
            </w:pPr>
            <w:r>
              <w:rPr>
                <w:sz w:val="16"/>
                <w:szCs w:val="16"/>
              </w:rPr>
              <w:t>-</w:t>
            </w:r>
          </w:p>
        </w:tc>
        <w:tc>
          <w:tcPr>
            <w:tcW w:w="640" w:type="dxa"/>
            <w:vAlign w:val="center"/>
          </w:tcPr>
          <w:p w:rsidR="0046723E" w:rsidRPr="00625325" w:rsidRDefault="0046723E" w:rsidP="00BD4A35">
            <w:pPr>
              <w:spacing w:line="240" w:lineRule="auto"/>
              <w:rPr>
                <w:sz w:val="16"/>
                <w:szCs w:val="16"/>
              </w:rPr>
            </w:pPr>
            <w:r>
              <w:rPr>
                <w:sz w:val="16"/>
                <w:szCs w:val="16"/>
              </w:rPr>
              <w:t>-</w:t>
            </w:r>
          </w:p>
        </w:tc>
        <w:tc>
          <w:tcPr>
            <w:tcW w:w="640" w:type="dxa"/>
            <w:vAlign w:val="center"/>
          </w:tcPr>
          <w:p w:rsidR="0046723E" w:rsidRPr="00625325" w:rsidRDefault="0046723E" w:rsidP="00BD4A35">
            <w:pPr>
              <w:spacing w:line="240" w:lineRule="auto"/>
              <w:rPr>
                <w:sz w:val="16"/>
                <w:szCs w:val="16"/>
              </w:rPr>
            </w:pPr>
            <w:r w:rsidRPr="00625325">
              <w:rPr>
                <w:bCs/>
                <w:sz w:val="16"/>
                <w:szCs w:val="16"/>
              </w:rPr>
              <w:t>-</w:t>
            </w:r>
          </w:p>
        </w:tc>
        <w:tc>
          <w:tcPr>
            <w:tcW w:w="640" w:type="dxa"/>
            <w:vAlign w:val="center"/>
          </w:tcPr>
          <w:p w:rsidR="0046723E" w:rsidRPr="00625325" w:rsidRDefault="0046723E" w:rsidP="00BD4A35">
            <w:pPr>
              <w:spacing w:line="240" w:lineRule="auto"/>
              <w:rPr>
                <w:sz w:val="16"/>
                <w:szCs w:val="16"/>
              </w:rPr>
            </w:pPr>
            <w:r w:rsidRPr="00625325">
              <w:rPr>
                <w:bCs/>
                <w:sz w:val="16"/>
                <w:szCs w:val="16"/>
              </w:rPr>
              <w:t>-</w:t>
            </w:r>
          </w:p>
        </w:tc>
        <w:tc>
          <w:tcPr>
            <w:tcW w:w="640" w:type="dxa"/>
            <w:vAlign w:val="center"/>
          </w:tcPr>
          <w:p w:rsidR="0046723E" w:rsidRPr="00625325" w:rsidRDefault="0046723E" w:rsidP="00BD4A35">
            <w:pPr>
              <w:spacing w:line="240" w:lineRule="auto"/>
              <w:rPr>
                <w:sz w:val="16"/>
                <w:szCs w:val="16"/>
              </w:rPr>
            </w:pPr>
            <w:r w:rsidRPr="00625325">
              <w:rPr>
                <w:bCs/>
                <w:sz w:val="16"/>
                <w:szCs w:val="16"/>
              </w:rPr>
              <w:t>-</w:t>
            </w:r>
          </w:p>
        </w:tc>
        <w:tc>
          <w:tcPr>
            <w:tcW w:w="640" w:type="dxa"/>
            <w:vAlign w:val="center"/>
          </w:tcPr>
          <w:p w:rsidR="0046723E" w:rsidRPr="00625325" w:rsidRDefault="0046723E" w:rsidP="00BD4A35">
            <w:pPr>
              <w:spacing w:line="240" w:lineRule="auto"/>
              <w:rPr>
                <w:sz w:val="16"/>
                <w:szCs w:val="16"/>
              </w:rPr>
            </w:pPr>
            <w:r w:rsidRPr="00625325">
              <w:rPr>
                <w:bCs/>
                <w:sz w:val="16"/>
                <w:szCs w:val="16"/>
              </w:rPr>
              <w:t>-</w:t>
            </w:r>
          </w:p>
        </w:tc>
        <w:tc>
          <w:tcPr>
            <w:tcW w:w="640" w:type="dxa"/>
          </w:tcPr>
          <w:p w:rsidR="0046723E" w:rsidRPr="00625325" w:rsidRDefault="0046723E" w:rsidP="00BD4A35">
            <w:pPr>
              <w:spacing w:line="240" w:lineRule="auto"/>
              <w:rPr>
                <w:sz w:val="16"/>
                <w:szCs w:val="16"/>
              </w:rPr>
            </w:pPr>
            <w:r w:rsidRPr="00625325">
              <w:rPr>
                <w:sz w:val="16"/>
                <w:szCs w:val="16"/>
              </w:rPr>
              <w:t>-</w:t>
            </w:r>
          </w:p>
        </w:tc>
      </w:tr>
      <w:tr w:rsidR="0046723E" w:rsidRPr="00625325" w:rsidTr="0046723E">
        <w:trPr>
          <w:trHeight w:val="237"/>
        </w:trPr>
        <w:tc>
          <w:tcPr>
            <w:tcW w:w="2039" w:type="dxa"/>
            <w:shd w:val="clear" w:color="auto" w:fill="B8CCE4"/>
          </w:tcPr>
          <w:p w:rsidR="0046723E" w:rsidRPr="00625325" w:rsidRDefault="0046723E" w:rsidP="00BD4A35">
            <w:pPr>
              <w:spacing w:line="240" w:lineRule="auto"/>
              <w:rPr>
                <w:bCs/>
                <w:sz w:val="16"/>
                <w:szCs w:val="16"/>
              </w:rPr>
            </w:pPr>
            <w:r w:rsidRPr="00625325">
              <w:rPr>
                <w:bCs/>
                <w:sz w:val="16"/>
                <w:szCs w:val="16"/>
              </w:rPr>
              <w:t>Mieszkanie dla młodych</w:t>
            </w:r>
          </w:p>
        </w:tc>
        <w:tc>
          <w:tcPr>
            <w:tcW w:w="640" w:type="dxa"/>
            <w:tcBorders>
              <w:right w:val="single" w:sz="4" w:space="0" w:color="auto"/>
            </w:tcBorders>
            <w:shd w:val="clear" w:color="auto" w:fill="auto"/>
            <w:vAlign w:val="center"/>
          </w:tcPr>
          <w:p w:rsidR="0046723E" w:rsidRPr="00625325" w:rsidRDefault="0046723E" w:rsidP="00BD4A35">
            <w:pPr>
              <w:spacing w:line="240" w:lineRule="auto"/>
              <w:rPr>
                <w:sz w:val="16"/>
                <w:szCs w:val="16"/>
              </w:rPr>
            </w:pPr>
            <w:r w:rsidRPr="00625325">
              <w:rPr>
                <w:sz w:val="16"/>
                <w:szCs w:val="16"/>
              </w:rPr>
              <w:t>746</w:t>
            </w:r>
          </w:p>
        </w:tc>
        <w:tc>
          <w:tcPr>
            <w:tcW w:w="640" w:type="dxa"/>
            <w:tcBorders>
              <w:top w:val="single" w:sz="4" w:space="0" w:color="auto"/>
              <w:left w:val="single" w:sz="4" w:space="0" w:color="auto"/>
              <w:bottom w:val="single" w:sz="4" w:space="0" w:color="auto"/>
              <w:right w:val="single" w:sz="24" w:space="0" w:color="auto"/>
            </w:tcBorders>
            <w:shd w:val="clear" w:color="auto" w:fill="auto"/>
            <w:vAlign w:val="center"/>
          </w:tcPr>
          <w:p w:rsidR="0046723E" w:rsidRPr="00625325" w:rsidRDefault="0046723E" w:rsidP="00BD4A35">
            <w:pPr>
              <w:spacing w:line="240" w:lineRule="auto"/>
              <w:rPr>
                <w:sz w:val="16"/>
                <w:szCs w:val="16"/>
              </w:rPr>
            </w:pPr>
            <w:r w:rsidRPr="00625325">
              <w:rPr>
                <w:sz w:val="16"/>
                <w:szCs w:val="16"/>
              </w:rPr>
              <w:t>762</w:t>
            </w:r>
          </w:p>
        </w:tc>
        <w:tc>
          <w:tcPr>
            <w:tcW w:w="640" w:type="dxa"/>
            <w:tcBorders>
              <w:left w:val="single" w:sz="24" w:space="0" w:color="auto"/>
            </w:tcBorders>
            <w:shd w:val="clear" w:color="auto" w:fill="auto"/>
            <w:vAlign w:val="center"/>
          </w:tcPr>
          <w:p w:rsidR="0046723E" w:rsidRPr="00625325" w:rsidRDefault="0046723E" w:rsidP="00BD4A35">
            <w:pPr>
              <w:spacing w:line="240" w:lineRule="auto"/>
              <w:rPr>
                <w:sz w:val="16"/>
                <w:szCs w:val="16"/>
              </w:rPr>
            </w:pPr>
            <w:r w:rsidRPr="00625325">
              <w:rPr>
                <w:sz w:val="16"/>
                <w:szCs w:val="16"/>
              </w:rPr>
              <w:t>15</w:t>
            </w:r>
          </w:p>
        </w:tc>
        <w:tc>
          <w:tcPr>
            <w:tcW w:w="640" w:type="dxa"/>
            <w:shd w:val="clear" w:color="auto" w:fill="auto"/>
            <w:vAlign w:val="center"/>
          </w:tcPr>
          <w:p w:rsidR="0046723E" w:rsidRPr="00625325" w:rsidRDefault="0046723E" w:rsidP="00BD4A35">
            <w:pPr>
              <w:spacing w:line="240" w:lineRule="auto"/>
              <w:rPr>
                <w:sz w:val="16"/>
                <w:szCs w:val="16"/>
              </w:rPr>
            </w:pPr>
            <w:r w:rsidRPr="00625325">
              <w:rPr>
                <w:sz w:val="16"/>
                <w:szCs w:val="16"/>
              </w:rPr>
              <w:t>12</w:t>
            </w:r>
          </w:p>
        </w:tc>
        <w:tc>
          <w:tcPr>
            <w:tcW w:w="640" w:type="dxa"/>
            <w:shd w:val="clear" w:color="auto" w:fill="auto"/>
            <w:vAlign w:val="center"/>
          </w:tcPr>
          <w:p w:rsidR="0046723E" w:rsidRPr="00625325" w:rsidRDefault="0046723E" w:rsidP="00BD4A35">
            <w:pPr>
              <w:spacing w:line="240" w:lineRule="auto"/>
              <w:rPr>
                <w:sz w:val="16"/>
                <w:szCs w:val="16"/>
              </w:rPr>
            </w:pPr>
            <w:r w:rsidRPr="00625325">
              <w:rPr>
                <w:sz w:val="16"/>
                <w:szCs w:val="16"/>
              </w:rPr>
              <w:t>9</w:t>
            </w:r>
          </w:p>
        </w:tc>
        <w:tc>
          <w:tcPr>
            <w:tcW w:w="640" w:type="dxa"/>
            <w:vAlign w:val="center"/>
          </w:tcPr>
          <w:p w:rsidR="0046723E" w:rsidRPr="00625325" w:rsidRDefault="0046723E" w:rsidP="00BD4A35">
            <w:pPr>
              <w:spacing w:line="240" w:lineRule="auto"/>
              <w:rPr>
                <w:sz w:val="16"/>
                <w:szCs w:val="16"/>
              </w:rPr>
            </w:pPr>
            <w:r w:rsidRPr="00625325">
              <w:rPr>
                <w:sz w:val="16"/>
                <w:szCs w:val="16"/>
              </w:rPr>
              <w:t>6</w:t>
            </w:r>
          </w:p>
        </w:tc>
        <w:tc>
          <w:tcPr>
            <w:tcW w:w="640" w:type="dxa"/>
            <w:vAlign w:val="center"/>
          </w:tcPr>
          <w:p w:rsidR="0046723E" w:rsidRPr="00625325" w:rsidRDefault="0046723E" w:rsidP="00BD4A35">
            <w:pPr>
              <w:spacing w:line="240" w:lineRule="auto"/>
              <w:rPr>
                <w:sz w:val="16"/>
                <w:szCs w:val="16"/>
              </w:rPr>
            </w:pPr>
            <w:r w:rsidRPr="00625325">
              <w:rPr>
                <w:sz w:val="16"/>
                <w:szCs w:val="16"/>
              </w:rPr>
              <w:t>3</w:t>
            </w:r>
          </w:p>
        </w:tc>
        <w:tc>
          <w:tcPr>
            <w:tcW w:w="640" w:type="dxa"/>
            <w:vAlign w:val="center"/>
          </w:tcPr>
          <w:p w:rsidR="0046723E" w:rsidRPr="00625325" w:rsidRDefault="0046723E" w:rsidP="00BD4A35">
            <w:pPr>
              <w:spacing w:line="240" w:lineRule="auto"/>
              <w:rPr>
                <w:sz w:val="16"/>
                <w:szCs w:val="16"/>
              </w:rPr>
            </w:pPr>
            <w:r w:rsidRPr="00625325">
              <w:rPr>
                <w:bCs/>
                <w:sz w:val="16"/>
                <w:szCs w:val="16"/>
              </w:rPr>
              <w:t>-</w:t>
            </w:r>
          </w:p>
        </w:tc>
        <w:tc>
          <w:tcPr>
            <w:tcW w:w="640" w:type="dxa"/>
            <w:vAlign w:val="center"/>
          </w:tcPr>
          <w:p w:rsidR="0046723E" w:rsidRPr="00625325" w:rsidRDefault="0046723E" w:rsidP="00BD4A35">
            <w:pPr>
              <w:spacing w:line="240" w:lineRule="auto"/>
              <w:rPr>
                <w:sz w:val="16"/>
                <w:szCs w:val="16"/>
              </w:rPr>
            </w:pPr>
            <w:r w:rsidRPr="00625325">
              <w:rPr>
                <w:bCs/>
                <w:sz w:val="16"/>
                <w:szCs w:val="16"/>
              </w:rPr>
              <w:t>-</w:t>
            </w:r>
          </w:p>
        </w:tc>
        <w:tc>
          <w:tcPr>
            <w:tcW w:w="640" w:type="dxa"/>
            <w:vAlign w:val="center"/>
          </w:tcPr>
          <w:p w:rsidR="0046723E" w:rsidRPr="00625325" w:rsidRDefault="0046723E" w:rsidP="00BD4A35">
            <w:pPr>
              <w:spacing w:line="240" w:lineRule="auto"/>
              <w:rPr>
                <w:sz w:val="16"/>
                <w:szCs w:val="16"/>
              </w:rPr>
            </w:pPr>
            <w:r w:rsidRPr="00625325">
              <w:rPr>
                <w:bCs/>
                <w:sz w:val="16"/>
                <w:szCs w:val="16"/>
              </w:rPr>
              <w:t>-</w:t>
            </w:r>
          </w:p>
        </w:tc>
        <w:tc>
          <w:tcPr>
            <w:tcW w:w="640" w:type="dxa"/>
          </w:tcPr>
          <w:p w:rsidR="0046723E" w:rsidRPr="00625325" w:rsidRDefault="0046723E" w:rsidP="00BD4A35">
            <w:pPr>
              <w:spacing w:line="240" w:lineRule="auto"/>
              <w:rPr>
                <w:sz w:val="16"/>
                <w:szCs w:val="16"/>
              </w:rPr>
            </w:pPr>
            <w:r w:rsidRPr="00625325">
              <w:rPr>
                <w:sz w:val="16"/>
                <w:szCs w:val="16"/>
              </w:rPr>
              <w:t>-</w:t>
            </w:r>
          </w:p>
        </w:tc>
      </w:tr>
      <w:tr w:rsidR="0046723E" w:rsidRPr="00625325" w:rsidTr="0046723E">
        <w:trPr>
          <w:trHeight w:val="249"/>
        </w:trPr>
        <w:tc>
          <w:tcPr>
            <w:tcW w:w="2039" w:type="dxa"/>
            <w:shd w:val="clear" w:color="auto" w:fill="B8CCE4"/>
          </w:tcPr>
          <w:p w:rsidR="0046723E" w:rsidRPr="00625325" w:rsidRDefault="0046723E" w:rsidP="00BD4A35">
            <w:pPr>
              <w:spacing w:line="240" w:lineRule="auto"/>
              <w:rPr>
                <w:bCs/>
                <w:sz w:val="16"/>
                <w:szCs w:val="16"/>
              </w:rPr>
            </w:pPr>
            <w:r w:rsidRPr="00625325">
              <w:rPr>
                <w:bCs/>
                <w:sz w:val="16"/>
                <w:szCs w:val="16"/>
              </w:rPr>
              <w:t>Dopłaty do czynszów</w:t>
            </w:r>
          </w:p>
        </w:tc>
        <w:tc>
          <w:tcPr>
            <w:tcW w:w="640" w:type="dxa"/>
            <w:tcBorders>
              <w:right w:val="single" w:sz="4" w:space="0" w:color="auto"/>
            </w:tcBorders>
            <w:shd w:val="clear" w:color="auto" w:fill="auto"/>
            <w:vAlign w:val="center"/>
          </w:tcPr>
          <w:p w:rsidR="0046723E" w:rsidRPr="00625325" w:rsidRDefault="0046723E" w:rsidP="00BD4A35">
            <w:pPr>
              <w:spacing w:line="240" w:lineRule="auto"/>
              <w:rPr>
                <w:bCs/>
                <w:sz w:val="16"/>
                <w:szCs w:val="16"/>
              </w:rPr>
            </w:pPr>
            <w:r w:rsidRPr="00625325">
              <w:rPr>
                <w:bCs/>
                <w:sz w:val="16"/>
                <w:szCs w:val="16"/>
              </w:rPr>
              <w:t>-</w:t>
            </w:r>
          </w:p>
        </w:tc>
        <w:tc>
          <w:tcPr>
            <w:tcW w:w="640" w:type="dxa"/>
            <w:tcBorders>
              <w:top w:val="single" w:sz="4" w:space="0" w:color="auto"/>
              <w:left w:val="single" w:sz="4" w:space="0" w:color="auto"/>
              <w:bottom w:val="single" w:sz="4" w:space="0" w:color="auto"/>
              <w:right w:val="single" w:sz="24" w:space="0" w:color="auto"/>
            </w:tcBorders>
            <w:shd w:val="clear" w:color="auto" w:fill="auto"/>
            <w:vAlign w:val="center"/>
          </w:tcPr>
          <w:p w:rsidR="0046723E" w:rsidRPr="00625325" w:rsidRDefault="0046723E" w:rsidP="00BD4A35">
            <w:pPr>
              <w:spacing w:line="240" w:lineRule="auto"/>
              <w:rPr>
                <w:bCs/>
                <w:sz w:val="16"/>
                <w:szCs w:val="16"/>
              </w:rPr>
            </w:pPr>
            <w:r w:rsidRPr="00625325">
              <w:rPr>
                <w:bCs/>
                <w:sz w:val="16"/>
                <w:szCs w:val="16"/>
              </w:rPr>
              <w:t>-</w:t>
            </w:r>
          </w:p>
        </w:tc>
        <w:tc>
          <w:tcPr>
            <w:tcW w:w="640" w:type="dxa"/>
            <w:shd w:val="clear" w:color="auto" w:fill="FFFFFF"/>
          </w:tcPr>
          <w:p w:rsidR="0046723E" w:rsidRPr="009C5D6D" w:rsidRDefault="0046723E" w:rsidP="00BD4A35">
            <w:pPr>
              <w:spacing w:line="240" w:lineRule="auto"/>
              <w:rPr>
                <w:b/>
                <w:color w:val="000000"/>
                <w:sz w:val="16"/>
                <w:szCs w:val="16"/>
              </w:rPr>
            </w:pPr>
            <w:r w:rsidRPr="009C5D6D">
              <w:rPr>
                <w:b/>
                <w:color w:val="000000"/>
                <w:sz w:val="16"/>
                <w:szCs w:val="16"/>
              </w:rPr>
              <w:t>400</w:t>
            </w:r>
          </w:p>
        </w:tc>
        <w:tc>
          <w:tcPr>
            <w:tcW w:w="640" w:type="dxa"/>
            <w:shd w:val="clear" w:color="auto" w:fill="FFFFFF"/>
          </w:tcPr>
          <w:p w:rsidR="0046723E" w:rsidRPr="009C5D6D" w:rsidRDefault="0046723E" w:rsidP="00BD4A35">
            <w:pPr>
              <w:spacing w:line="240" w:lineRule="auto"/>
              <w:rPr>
                <w:b/>
                <w:color w:val="000000"/>
                <w:sz w:val="16"/>
                <w:szCs w:val="16"/>
              </w:rPr>
            </w:pPr>
            <w:r w:rsidRPr="009C5D6D">
              <w:rPr>
                <w:b/>
                <w:color w:val="000000"/>
                <w:sz w:val="16"/>
                <w:szCs w:val="16"/>
              </w:rPr>
              <w:t>800</w:t>
            </w:r>
          </w:p>
        </w:tc>
        <w:tc>
          <w:tcPr>
            <w:tcW w:w="640" w:type="dxa"/>
            <w:shd w:val="clear" w:color="auto" w:fill="FFFFFF"/>
          </w:tcPr>
          <w:p w:rsidR="0046723E" w:rsidRPr="009C5D6D" w:rsidRDefault="0046723E" w:rsidP="00BD4A35">
            <w:pPr>
              <w:spacing w:line="240" w:lineRule="auto"/>
              <w:rPr>
                <w:b/>
                <w:color w:val="000000"/>
                <w:sz w:val="16"/>
                <w:szCs w:val="16"/>
              </w:rPr>
            </w:pPr>
            <w:r w:rsidRPr="009C5D6D">
              <w:rPr>
                <w:b/>
                <w:color w:val="000000"/>
                <w:sz w:val="16"/>
                <w:szCs w:val="16"/>
              </w:rPr>
              <w:t>1200</w:t>
            </w:r>
          </w:p>
        </w:tc>
        <w:tc>
          <w:tcPr>
            <w:tcW w:w="640" w:type="dxa"/>
            <w:shd w:val="clear" w:color="auto" w:fill="FFFFFF"/>
          </w:tcPr>
          <w:p w:rsidR="0046723E" w:rsidRPr="009C5D6D" w:rsidRDefault="0046723E" w:rsidP="00BD4A35">
            <w:pPr>
              <w:spacing w:line="240" w:lineRule="auto"/>
              <w:rPr>
                <w:b/>
                <w:color w:val="000000"/>
                <w:sz w:val="16"/>
                <w:szCs w:val="16"/>
              </w:rPr>
            </w:pPr>
            <w:r w:rsidRPr="009C5D6D">
              <w:rPr>
                <w:b/>
                <w:color w:val="000000"/>
                <w:sz w:val="16"/>
                <w:szCs w:val="16"/>
              </w:rPr>
              <w:t>1600</w:t>
            </w:r>
          </w:p>
        </w:tc>
        <w:tc>
          <w:tcPr>
            <w:tcW w:w="640" w:type="dxa"/>
            <w:shd w:val="clear" w:color="auto" w:fill="FFFFFF"/>
          </w:tcPr>
          <w:p w:rsidR="0046723E" w:rsidRPr="009C5D6D" w:rsidRDefault="0002514C" w:rsidP="00BD4A35">
            <w:pPr>
              <w:spacing w:line="240" w:lineRule="auto"/>
              <w:rPr>
                <w:b/>
                <w:color w:val="000000"/>
                <w:sz w:val="16"/>
                <w:szCs w:val="16"/>
              </w:rPr>
            </w:pPr>
            <w:r>
              <w:rPr>
                <w:b/>
                <w:color w:val="000000"/>
                <w:sz w:val="16"/>
                <w:szCs w:val="16"/>
              </w:rPr>
              <w:t>2000</w:t>
            </w:r>
          </w:p>
        </w:tc>
        <w:tc>
          <w:tcPr>
            <w:tcW w:w="640" w:type="dxa"/>
            <w:shd w:val="clear" w:color="auto" w:fill="FFFFFF"/>
          </w:tcPr>
          <w:p w:rsidR="0046723E" w:rsidRPr="009C5D6D" w:rsidRDefault="0046723E" w:rsidP="00BD4A35">
            <w:pPr>
              <w:spacing w:line="240" w:lineRule="auto"/>
              <w:rPr>
                <w:b/>
                <w:color w:val="000000"/>
                <w:sz w:val="16"/>
                <w:szCs w:val="16"/>
              </w:rPr>
            </w:pPr>
            <w:r w:rsidRPr="009C5D6D">
              <w:rPr>
                <w:b/>
                <w:color w:val="000000"/>
                <w:sz w:val="16"/>
                <w:szCs w:val="16"/>
              </w:rPr>
              <w:t>2000</w:t>
            </w:r>
          </w:p>
        </w:tc>
        <w:tc>
          <w:tcPr>
            <w:tcW w:w="640" w:type="dxa"/>
            <w:shd w:val="clear" w:color="auto" w:fill="FFFFFF"/>
          </w:tcPr>
          <w:p w:rsidR="0046723E" w:rsidRPr="009C5D6D" w:rsidRDefault="0046723E" w:rsidP="00BD4A35">
            <w:pPr>
              <w:spacing w:line="240" w:lineRule="auto"/>
              <w:rPr>
                <w:b/>
                <w:color w:val="000000"/>
                <w:sz w:val="16"/>
                <w:szCs w:val="16"/>
              </w:rPr>
            </w:pPr>
            <w:r w:rsidRPr="009C5D6D">
              <w:rPr>
                <w:b/>
                <w:color w:val="000000"/>
                <w:sz w:val="16"/>
                <w:szCs w:val="16"/>
              </w:rPr>
              <w:t>2000</w:t>
            </w:r>
          </w:p>
        </w:tc>
        <w:tc>
          <w:tcPr>
            <w:tcW w:w="640" w:type="dxa"/>
            <w:shd w:val="clear" w:color="auto" w:fill="FFFFFF"/>
          </w:tcPr>
          <w:p w:rsidR="0046723E" w:rsidRPr="009C5D6D" w:rsidRDefault="0046723E" w:rsidP="00BD4A35">
            <w:pPr>
              <w:spacing w:line="240" w:lineRule="auto"/>
              <w:rPr>
                <w:b/>
                <w:color w:val="000000"/>
                <w:sz w:val="16"/>
                <w:szCs w:val="16"/>
              </w:rPr>
            </w:pPr>
            <w:r w:rsidRPr="009C5D6D">
              <w:rPr>
                <w:b/>
                <w:color w:val="000000"/>
                <w:sz w:val="16"/>
                <w:szCs w:val="16"/>
              </w:rPr>
              <w:t>2000</w:t>
            </w:r>
          </w:p>
        </w:tc>
        <w:tc>
          <w:tcPr>
            <w:tcW w:w="640" w:type="dxa"/>
            <w:shd w:val="clear" w:color="auto" w:fill="FFFFFF"/>
          </w:tcPr>
          <w:p w:rsidR="0046723E" w:rsidRPr="009C5D6D" w:rsidRDefault="0046723E" w:rsidP="00BD4A35">
            <w:pPr>
              <w:spacing w:line="240" w:lineRule="auto"/>
              <w:rPr>
                <w:b/>
                <w:color w:val="000000"/>
                <w:sz w:val="16"/>
                <w:szCs w:val="16"/>
              </w:rPr>
            </w:pPr>
            <w:r w:rsidRPr="009C5D6D">
              <w:rPr>
                <w:b/>
                <w:color w:val="000000"/>
                <w:sz w:val="16"/>
                <w:szCs w:val="16"/>
              </w:rPr>
              <w:t>2000</w:t>
            </w:r>
          </w:p>
        </w:tc>
      </w:tr>
      <w:tr w:rsidR="0046723E" w:rsidRPr="00625325" w:rsidTr="0046723E">
        <w:trPr>
          <w:trHeight w:val="249"/>
        </w:trPr>
        <w:tc>
          <w:tcPr>
            <w:tcW w:w="2039" w:type="dxa"/>
            <w:shd w:val="clear" w:color="auto" w:fill="B8CCE4"/>
          </w:tcPr>
          <w:p w:rsidR="0046723E" w:rsidRPr="00625325" w:rsidRDefault="0046723E" w:rsidP="00BD4A35">
            <w:pPr>
              <w:spacing w:line="240" w:lineRule="auto"/>
              <w:rPr>
                <w:b/>
                <w:sz w:val="16"/>
                <w:szCs w:val="16"/>
              </w:rPr>
            </w:pPr>
            <w:r w:rsidRPr="00625325">
              <w:rPr>
                <w:b/>
                <w:sz w:val="16"/>
                <w:szCs w:val="16"/>
              </w:rPr>
              <w:t>Razem</w:t>
            </w:r>
          </w:p>
        </w:tc>
        <w:tc>
          <w:tcPr>
            <w:tcW w:w="640" w:type="dxa"/>
            <w:tcBorders>
              <w:right w:val="single" w:sz="4" w:space="0" w:color="auto"/>
            </w:tcBorders>
            <w:shd w:val="clear" w:color="auto" w:fill="auto"/>
            <w:vAlign w:val="center"/>
          </w:tcPr>
          <w:p w:rsidR="0046723E" w:rsidRPr="00625325" w:rsidRDefault="0046723E" w:rsidP="00BD4A35">
            <w:pPr>
              <w:spacing w:line="240" w:lineRule="auto"/>
              <w:rPr>
                <w:b/>
                <w:sz w:val="16"/>
                <w:szCs w:val="16"/>
              </w:rPr>
            </w:pPr>
            <w:r w:rsidRPr="00625325">
              <w:rPr>
                <w:b/>
                <w:sz w:val="16"/>
                <w:szCs w:val="16"/>
              </w:rPr>
              <w:t>1 065</w:t>
            </w:r>
          </w:p>
        </w:tc>
        <w:tc>
          <w:tcPr>
            <w:tcW w:w="640" w:type="dxa"/>
            <w:tcBorders>
              <w:top w:val="single" w:sz="4" w:space="0" w:color="auto"/>
              <w:left w:val="single" w:sz="4" w:space="0" w:color="auto"/>
              <w:bottom w:val="single" w:sz="4" w:space="0" w:color="auto"/>
              <w:right w:val="single" w:sz="24" w:space="0" w:color="auto"/>
            </w:tcBorders>
            <w:shd w:val="clear" w:color="auto" w:fill="auto"/>
            <w:vAlign w:val="center"/>
          </w:tcPr>
          <w:p w:rsidR="0046723E" w:rsidRPr="00625325" w:rsidRDefault="0046723E" w:rsidP="00BD4A35">
            <w:pPr>
              <w:spacing w:line="240" w:lineRule="auto"/>
              <w:rPr>
                <w:b/>
                <w:sz w:val="16"/>
                <w:szCs w:val="16"/>
              </w:rPr>
            </w:pPr>
            <w:r w:rsidRPr="00625325">
              <w:rPr>
                <w:b/>
                <w:sz w:val="16"/>
                <w:szCs w:val="16"/>
              </w:rPr>
              <w:t>1 117</w:t>
            </w:r>
          </w:p>
        </w:tc>
        <w:tc>
          <w:tcPr>
            <w:tcW w:w="640" w:type="dxa"/>
            <w:tcBorders>
              <w:left w:val="single" w:sz="24" w:space="0" w:color="auto"/>
            </w:tcBorders>
            <w:shd w:val="clear" w:color="auto" w:fill="auto"/>
            <w:vAlign w:val="center"/>
          </w:tcPr>
          <w:p w:rsidR="0046723E" w:rsidRPr="00625325" w:rsidRDefault="0046723E" w:rsidP="00BD4A35">
            <w:pPr>
              <w:spacing w:line="240" w:lineRule="auto"/>
              <w:rPr>
                <w:b/>
                <w:sz w:val="16"/>
                <w:szCs w:val="16"/>
              </w:rPr>
            </w:pPr>
            <w:r>
              <w:rPr>
                <w:b/>
                <w:sz w:val="16"/>
                <w:szCs w:val="16"/>
              </w:rPr>
              <w:t>665</w:t>
            </w:r>
          </w:p>
        </w:tc>
        <w:tc>
          <w:tcPr>
            <w:tcW w:w="640" w:type="dxa"/>
            <w:shd w:val="clear" w:color="auto" w:fill="auto"/>
            <w:vAlign w:val="center"/>
          </w:tcPr>
          <w:p w:rsidR="0046723E" w:rsidRPr="00625325" w:rsidRDefault="0046723E" w:rsidP="00BD4A35">
            <w:pPr>
              <w:spacing w:line="240" w:lineRule="auto"/>
              <w:rPr>
                <w:b/>
                <w:sz w:val="16"/>
                <w:szCs w:val="16"/>
              </w:rPr>
            </w:pPr>
            <w:r>
              <w:rPr>
                <w:b/>
                <w:sz w:val="16"/>
                <w:szCs w:val="16"/>
              </w:rPr>
              <w:t>962</w:t>
            </w:r>
          </w:p>
        </w:tc>
        <w:tc>
          <w:tcPr>
            <w:tcW w:w="640" w:type="dxa"/>
            <w:shd w:val="clear" w:color="auto" w:fill="auto"/>
            <w:vAlign w:val="center"/>
          </w:tcPr>
          <w:p w:rsidR="0046723E" w:rsidRPr="00625325" w:rsidRDefault="0046723E" w:rsidP="00BD4A35">
            <w:pPr>
              <w:spacing w:line="240" w:lineRule="auto"/>
              <w:rPr>
                <w:b/>
                <w:sz w:val="16"/>
                <w:szCs w:val="16"/>
              </w:rPr>
            </w:pPr>
            <w:r>
              <w:rPr>
                <w:b/>
                <w:sz w:val="16"/>
                <w:szCs w:val="16"/>
              </w:rPr>
              <w:t>1209</w:t>
            </w:r>
          </w:p>
        </w:tc>
        <w:tc>
          <w:tcPr>
            <w:tcW w:w="640" w:type="dxa"/>
            <w:vAlign w:val="center"/>
          </w:tcPr>
          <w:p w:rsidR="0046723E" w:rsidRPr="00625325" w:rsidRDefault="0046723E" w:rsidP="00BD4A35">
            <w:pPr>
              <w:spacing w:line="240" w:lineRule="auto"/>
              <w:rPr>
                <w:b/>
                <w:sz w:val="16"/>
                <w:szCs w:val="16"/>
              </w:rPr>
            </w:pPr>
            <w:r>
              <w:rPr>
                <w:b/>
                <w:sz w:val="16"/>
                <w:szCs w:val="16"/>
              </w:rPr>
              <w:t>1606</w:t>
            </w:r>
          </w:p>
        </w:tc>
        <w:tc>
          <w:tcPr>
            <w:tcW w:w="640" w:type="dxa"/>
            <w:vAlign w:val="center"/>
          </w:tcPr>
          <w:p w:rsidR="0046723E" w:rsidRPr="00625325" w:rsidRDefault="0002514C" w:rsidP="00BD4A35">
            <w:pPr>
              <w:spacing w:line="240" w:lineRule="auto"/>
              <w:rPr>
                <w:b/>
                <w:sz w:val="16"/>
                <w:szCs w:val="16"/>
              </w:rPr>
            </w:pPr>
            <w:r>
              <w:rPr>
                <w:b/>
                <w:sz w:val="16"/>
                <w:szCs w:val="16"/>
              </w:rPr>
              <w:t>20</w:t>
            </w:r>
            <w:r w:rsidR="0046723E">
              <w:rPr>
                <w:b/>
                <w:sz w:val="16"/>
                <w:szCs w:val="16"/>
              </w:rPr>
              <w:t>03</w:t>
            </w:r>
          </w:p>
        </w:tc>
        <w:tc>
          <w:tcPr>
            <w:tcW w:w="640" w:type="dxa"/>
            <w:vAlign w:val="center"/>
          </w:tcPr>
          <w:p w:rsidR="0046723E" w:rsidRPr="00625325" w:rsidRDefault="0046723E" w:rsidP="00BD4A35">
            <w:pPr>
              <w:spacing w:line="240" w:lineRule="auto"/>
              <w:rPr>
                <w:b/>
                <w:sz w:val="16"/>
                <w:szCs w:val="16"/>
              </w:rPr>
            </w:pPr>
            <w:r>
              <w:rPr>
                <w:b/>
                <w:sz w:val="16"/>
                <w:szCs w:val="16"/>
              </w:rPr>
              <w:t>2000</w:t>
            </w:r>
          </w:p>
        </w:tc>
        <w:tc>
          <w:tcPr>
            <w:tcW w:w="640" w:type="dxa"/>
            <w:vAlign w:val="center"/>
          </w:tcPr>
          <w:p w:rsidR="0046723E" w:rsidRPr="00625325" w:rsidRDefault="0046723E" w:rsidP="00BD4A35">
            <w:pPr>
              <w:spacing w:line="240" w:lineRule="auto"/>
              <w:rPr>
                <w:b/>
                <w:sz w:val="16"/>
                <w:szCs w:val="16"/>
              </w:rPr>
            </w:pPr>
            <w:r>
              <w:rPr>
                <w:b/>
                <w:sz w:val="16"/>
                <w:szCs w:val="16"/>
              </w:rPr>
              <w:t>2000</w:t>
            </w:r>
          </w:p>
        </w:tc>
        <w:tc>
          <w:tcPr>
            <w:tcW w:w="640" w:type="dxa"/>
            <w:vAlign w:val="center"/>
          </w:tcPr>
          <w:p w:rsidR="0046723E" w:rsidRPr="00625325" w:rsidRDefault="0046723E" w:rsidP="00BD4A35">
            <w:pPr>
              <w:spacing w:line="240" w:lineRule="auto"/>
              <w:rPr>
                <w:b/>
                <w:sz w:val="16"/>
                <w:szCs w:val="16"/>
              </w:rPr>
            </w:pPr>
            <w:r>
              <w:rPr>
                <w:b/>
                <w:sz w:val="16"/>
                <w:szCs w:val="16"/>
              </w:rPr>
              <w:t>2000</w:t>
            </w:r>
          </w:p>
        </w:tc>
        <w:tc>
          <w:tcPr>
            <w:tcW w:w="640" w:type="dxa"/>
          </w:tcPr>
          <w:p w:rsidR="0046723E" w:rsidRPr="00625325" w:rsidRDefault="0046723E" w:rsidP="00BD4A35">
            <w:pPr>
              <w:spacing w:line="240" w:lineRule="auto"/>
              <w:rPr>
                <w:b/>
                <w:sz w:val="16"/>
                <w:szCs w:val="16"/>
              </w:rPr>
            </w:pPr>
            <w:r>
              <w:rPr>
                <w:b/>
                <w:sz w:val="16"/>
                <w:szCs w:val="16"/>
              </w:rPr>
              <w:t>2000</w:t>
            </w:r>
          </w:p>
        </w:tc>
      </w:tr>
    </w:tbl>
    <w:p w:rsidR="0046723E" w:rsidRDefault="0046723E" w:rsidP="0046723E">
      <w:pPr>
        <w:spacing w:line="240" w:lineRule="auto"/>
        <w:rPr>
          <w:color w:val="000000"/>
          <w:sz w:val="21"/>
          <w:szCs w:val="21"/>
        </w:rPr>
      </w:pPr>
    </w:p>
    <w:p w:rsidR="00C72070" w:rsidRPr="008E4181" w:rsidRDefault="008E4181" w:rsidP="008E4181">
      <w:pPr>
        <w:tabs>
          <w:tab w:val="left" w:pos="540"/>
        </w:tabs>
        <w:spacing w:after="240" w:line="240" w:lineRule="exact"/>
        <w:rPr>
          <w:rFonts w:asciiTheme="minorHAnsi" w:hAnsiTheme="minorHAnsi" w:cs="Arial"/>
          <w:sz w:val="22"/>
          <w:szCs w:val="22"/>
        </w:rPr>
      </w:pPr>
      <w:r w:rsidRPr="008E4181">
        <w:rPr>
          <w:rFonts w:asciiTheme="minorHAnsi" w:hAnsiTheme="minorHAnsi" w:cs="Arial"/>
          <w:sz w:val="22"/>
          <w:szCs w:val="22"/>
        </w:rPr>
        <w:t>Skutki finansowe programu zostały uwzględnione na poziomie, który zapobiegnie sytuacji, że jakiko</w:t>
      </w:r>
      <w:r w:rsidRPr="008E4181">
        <w:rPr>
          <w:rFonts w:asciiTheme="minorHAnsi" w:hAnsiTheme="minorHAnsi" w:cs="Arial"/>
          <w:sz w:val="22"/>
          <w:szCs w:val="22"/>
        </w:rPr>
        <w:t>l</w:t>
      </w:r>
      <w:r w:rsidRPr="008E4181">
        <w:rPr>
          <w:rFonts w:asciiTheme="minorHAnsi" w:hAnsiTheme="minorHAnsi" w:cs="Arial"/>
          <w:sz w:val="22"/>
          <w:szCs w:val="22"/>
        </w:rPr>
        <w:t>wiek beneficjent finansowego wsparcia będzie mógł się liczyć z ryzykiem utraty lub wstrzymania d</w:t>
      </w:r>
      <w:r w:rsidRPr="008E4181">
        <w:rPr>
          <w:rFonts w:asciiTheme="minorHAnsi" w:hAnsiTheme="minorHAnsi" w:cs="Arial"/>
          <w:sz w:val="22"/>
          <w:szCs w:val="22"/>
        </w:rPr>
        <w:t>o</w:t>
      </w:r>
      <w:r w:rsidRPr="008E4181">
        <w:rPr>
          <w:rFonts w:asciiTheme="minorHAnsi" w:hAnsiTheme="minorHAnsi" w:cs="Arial"/>
          <w:sz w:val="22"/>
          <w:szCs w:val="22"/>
        </w:rPr>
        <w:t xml:space="preserve">płat w okresie dopłatowym. Przedstawione kwoty w pełni zabezpieczają pewność dla najemców i inwestorów, jednak w praktyce wydatki budżetowe powinny być niższe. </w:t>
      </w:r>
      <w:r>
        <w:rPr>
          <w:rFonts w:asciiTheme="minorHAnsi" w:hAnsiTheme="minorHAnsi" w:cs="Arial"/>
          <w:sz w:val="22"/>
          <w:szCs w:val="22"/>
        </w:rPr>
        <w:t>P</w:t>
      </w:r>
      <w:r w:rsidRPr="008E4181">
        <w:rPr>
          <w:rFonts w:asciiTheme="minorHAnsi" w:hAnsiTheme="minorHAnsi" w:cs="Arial"/>
          <w:sz w:val="22"/>
          <w:szCs w:val="22"/>
        </w:rPr>
        <w:t>rzy założeniu</w:t>
      </w:r>
      <w:r w:rsidR="003E1504">
        <w:rPr>
          <w:rFonts w:asciiTheme="minorHAnsi" w:hAnsiTheme="minorHAnsi" w:cs="Arial"/>
          <w:sz w:val="22"/>
          <w:szCs w:val="22"/>
        </w:rPr>
        <w:t>,</w:t>
      </w:r>
      <w:r w:rsidRPr="008E4181">
        <w:rPr>
          <w:rFonts w:asciiTheme="minorHAnsi" w:hAnsiTheme="minorHAnsi" w:cs="Arial"/>
          <w:sz w:val="22"/>
          <w:szCs w:val="22"/>
        </w:rPr>
        <w:t xml:space="preserve"> że do syst</w:t>
      </w:r>
      <w:r w:rsidRPr="008E4181">
        <w:rPr>
          <w:rFonts w:asciiTheme="minorHAnsi" w:hAnsiTheme="minorHAnsi" w:cs="Arial"/>
          <w:sz w:val="22"/>
          <w:szCs w:val="22"/>
        </w:rPr>
        <w:t>e</w:t>
      </w:r>
      <w:r w:rsidRPr="008E4181">
        <w:rPr>
          <w:rFonts w:asciiTheme="minorHAnsi" w:hAnsiTheme="minorHAnsi" w:cs="Arial"/>
          <w:sz w:val="22"/>
          <w:szCs w:val="22"/>
        </w:rPr>
        <w:t xml:space="preserve">mu co roku wchodzi </w:t>
      </w:r>
      <w:r w:rsidR="00A71BA6">
        <w:rPr>
          <w:rFonts w:asciiTheme="minorHAnsi" w:hAnsiTheme="minorHAnsi" w:cs="Arial"/>
          <w:sz w:val="22"/>
          <w:szCs w:val="22"/>
        </w:rPr>
        <w:t>ok. 3</w:t>
      </w:r>
      <w:r w:rsidRPr="008E4181">
        <w:rPr>
          <w:rFonts w:asciiTheme="minorHAnsi" w:hAnsiTheme="minorHAnsi" w:cs="Arial"/>
          <w:sz w:val="22"/>
          <w:szCs w:val="22"/>
        </w:rPr>
        <w:t>0</w:t>
      </w:r>
      <w:r>
        <w:rPr>
          <w:rFonts w:asciiTheme="minorHAnsi" w:hAnsiTheme="minorHAnsi" w:cs="Arial"/>
          <w:sz w:val="22"/>
          <w:szCs w:val="22"/>
        </w:rPr>
        <w:t xml:space="preserve"> tys. gospodarstw domowych</w:t>
      </w:r>
      <w:r w:rsidR="003E1504">
        <w:rPr>
          <w:rFonts w:asciiTheme="minorHAnsi" w:hAnsiTheme="minorHAnsi" w:cs="Arial"/>
          <w:sz w:val="22"/>
          <w:szCs w:val="22"/>
        </w:rPr>
        <w:t>,</w:t>
      </w:r>
      <w:r>
        <w:rPr>
          <w:rFonts w:asciiTheme="minorHAnsi" w:hAnsiTheme="minorHAnsi" w:cs="Arial"/>
          <w:sz w:val="22"/>
          <w:szCs w:val="22"/>
        </w:rPr>
        <w:t xml:space="preserve"> realne wydatki nie powinny docelowo (w 2026 r.) przekroczyć kwoty </w:t>
      </w:r>
      <w:r w:rsidR="00A71BA6">
        <w:rPr>
          <w:rFonts w:asciiTheme="minorHAnsi" w:hAnsiTheme="minorHAnsi" w:cs="Arial"/>
          <w:sz w:val="22"/>
          <w:szCs w:val="22"/>
        </w:rPr>
        <w:t xml:space="preserve">ok. </w:t>
      </w:r>
      <w:r>
        <w:rPr>
          <w:rFonts w:asciiTheme="minorHAnsi" w:hAnsiTheme="minorHAnsi" w:cs="Arial"/>
          <w:sz w:val="22"/>
          <w:szCs w:val="22"/>
        </w:rPr>
        <w:t>1 ml</w:t>
      </w:r>
      <w:r w:rsidR="00A71BA6">
        <w:rPr>
          <w:rFonts w:asciiTheme="minorHAnsi" w:hAnsiTheme="minorHAnsi" w:cs="Arial"/>
          <w:sz w:val="22"/>
          <w:szCs w:val="22"/>
        </w:rPr>
        <w:t>d</w:t>
      </w:r>
      <w:r>
        <w:rPr>
          <w:rFonts w:asciiTheme="minorHAnsi" w:hAnsiTheme="minorHAnsi" w:cs="Arial"/>
          <w:sz w:val="22"/>
          <w:szCs w:val="22"/>
        </w:rPr>
        <w:t xml:space="preserve"> zł</w:t>
      </w:r>
      <w:r w:rsidR="00A71BA6">
        <w:rPr>
          <w:rFonts w:asciiTheme="minorHAnsi" w:hAnsiTheme="minorHAnsi" w:cs="Arial"/>
          <w:sz w:val="22"/>
          <w:szCs w:val="22"/>
        </w:rPr>
        <w:t xml:space="preserve">, co zapobiegnie konieczności stosowania przewidzianych ustawą mechanizmów korygujących zabezpieczających budżet państwa przed niekontrolowanym wzrostem wydatków. </w:t>
      </w:r>
    </w:p>
    <w:p w:rsidR="00A86097" w:rsidRDefault="00A86097" w:rsidP="00A86097">
      <w:pPr>
        <w:tabs>
          <w:tab w:val="left" w:pos="540"/>
        </w:tabs>
        <w:spacing w:after="240" w:line="240" w:lineRule="exact"/>
        <w:rPr>
          <w:rFonts w:asciiTheme="minorHAnsi" w:hAnsiTheme="minorHAnsi" w:cs="Arial"/>
          <w:sz w:val="22"/>
          <w:szCs w:val="22"/>
        </w:rPr>
      </w:pPr>
      <w:r>
        <w:rPr>
          <w:rFonts w:asciiTheme="minorHAnsi" w:hAnsiTheme="minorHAnsi" w:cs="Arial"/>
          <w:sz w:val="22"/>
          <w:szCs w:val="22"/>
        </w:rPr>
        <w:t>Operacyjnie program będzie obsługiwany przez samorządy gminne i Bank Gospodarstwa Krajowego, jako podmiot zarządzający Funduszem Dopła</w:t>
      </w:r>
      <w:r w:rsidR="003C5BA9">
        <w:rPr>
          <w:rFonts w:asciiTheme="minorHAnsi" w:hAnsiTheme="minorHAnsi" w:cs="Arial"/>
          <w:sz w:val="22"/>
          <w:szCs w:val="22"/>
        </w:rPr>
        <w:t>t.</w:t>
      </w:r>
    </w:p>
    <w:p w:rsidR="00393BE6" w:rsidRPr="00FE436D" w:rsidRDefault="00CA53DA" w:rsidP="00A86097">
      <w:pPr>
        <w:tabs>
          <w:tab w:val="left" w:pos="540"/>
        </w:tabs>
        <w:spacing w:after="240" w:line="240" w:lineRule="exact"/>
        <w:rPr>
          <w:rFonts w:asciiTheme="minorHAnsi" w:hAnsiTheme="minorHAnsi" w:cs="Arial"/>
          <w:sz w:val="22"/>
          <w:szCs w:val="22"/>
        </w:rPr>
      </w:pPr>
      <w:r w:rsidRPr="00FE436D">
        <w:rPr>
          <w:rFonts w:asciiTheme="minorHAnsi" w:hAnsiTheme="minorHAnsi" w:cs="Arial"/>
          <w:sz w:val="22"/>
          <w:szCs w:val="22"/>
        </w:rPr>
        <w:t xml:space="preserve">Zaproponowane rozwiązania kierowane są do: </w:t>
      </w:r>
    </w:p>
    <w:p w:rsidR="00CA53DA" w:rsidRPr="00FE436D" w:rsidRDefault="00FE436D" w:rsidP="00092BEC">
      <w:pPr>
        <w:pStyle w:val="Akapitzlist"/>
        <w:numPr>
          <w:ilvl w:val="0"/>
          <w:numId w:val="49"/>
        </w:numPr>
        <w:tabs>
          <w:tab w:val="left" w:pos="709"/>
        </w:tabs>
        <w:spacing w:after="240" w:line="240" w:lineRule="exact"/>
        <w:ind w:left="709" w:hanging="425"/>
        <w:contextualSpacing w:val="0"/>
        <w:rPr>
          <w:rFonts w:asciiTheme="minorHAnsi" w:hAnsiTheme="minorHAnsi" w:cs="Arial"/>
          <w:sz w:val="22"/>
          <w:szCs w:val="22"/>
        </w:rPr>
      </w:pPr>
      <w:r w:rsidRPr="00FE436D">
        <w:rPr>
          <w:rFonts w:asciiTheme="minorHAnsi" w:hAnsiTheme="minorHAnsi" w:cs="Arial"/>
          <w:sz w:val="22"/>
          <w:szCs w:val="22"/>
          <w:u w:val="single"/>
        </w:rPr>
        <w:t>n</w:t>
      </w:r>
      <w:r w:rsidR="00CA53DA" w:rsidRPr="00FE436D">
        <w:rPr>
          <w:rFonts w:asciiTheme="minorHAnsi" w:hAnsiTheme="minorHAnsi" w:cs="Arial"/>
          <w:sz w:val="22"/>
          <w:szCs w:val="22"/>
          <w:u w:val="single"/>
        </w:rPr>
        <w:t>ajemców</w:t>
      </w:r>
      <w:r w:rsidR="00CA53DA" w:rsidRPr="00FE436D">
        <w:rPr>
          <w:rFonts w:asciiTheme="minorHAnsi" w:hAnsiTheme="minorHAnsi" w:cs="Arial"/>
          <w:sz w:val="22"/>
          <w:szCs w:val="22"/>
        </w:rPr>
        <w:t xml:space="preserve"> – zwiększając ich możliwości finansowe i umożliwiając płacenie czynszu rynkow</w:t>
      </w:r>
      <w:r w:rsidR="00CA53DA" w:rsidRPr="00FE436D">
        <w:rPr>
          <w:rFonts w:asciiTheme="minorHAnsi" w:hAnsiTheme="minorHAnsi" w:cs="Arial"/>
          <w:sz w:val="22"/>
          <w:szCs w:val="22"/>
        </w:rPr>
        <w:t>e</w:t>
      </w:r>
      <w:r w:rsidR="00CA53DA" w:rsidRPr="00FE436D">
        <w:rPr>
          <w:rFonts w:asciiTheme="minorHAnsi" w:hAnsiTheme="minorHAnsi" w:cs="Arial"/>
          <w:sz w:val="22"/>
          <w:szCs w:val="22"/>
        </w:rPr>
        <w:t>go za mieszkanie, którego wynajem zapewnia stabilność życiową</w:t>
      </w:r>
      <w:r w:rsidR="00C84224">
        <w:rPr>
          <w:rFonts w:asciiTheme="minorHAnsi" w:hAnsiTheme="minorHAnsi" w:cs="Arial"/>
          <w:sz w:val="22"/>
          <w:szCs w:val="22"/>
        </w:rPr>
        <w:t>;</w:t>
      </w:r>
      <w:r w:rsidR="00CA53DA" w:rsidRPr="00FE436D">
        <w:rPr>
          <w:rFonts w:asciiTheme="minorHAnsi" w:hAnsiTheme="minorHAnsi" w:cs="Arial"/>
          <w:sz w:val="22"/>
          <w:szCs w:val="22"/>
        </w:rPr>
        <w:t xml:space="preserve"> </w:t>
      </w:r>
      <w:r w:rsidR="00C84224">
        <w:rPr>
          <w:rFonts w:asciiTheme="minorHAnsi" w:hAnsiTheme="minorHAnsi" w:cs="Arial"/>
          <w:sz w:val="22"/>
          <w:szCs w:val="22"/>
        </w:rPr>
        <w:t>d</w:t>
      </w:r>
      <w:r w:rsidR="00CA53DA" w:rsidRPr="00FE436D">
        <w:rPr>
          <w:rFonts w:asciiTheme="minorHAnsi" w:hAnsiTheme="minorHAnsi" w:cs="Arial"/>
          <w:sz w:val="22"/>
          <w:szCs w:val="22"/>
        </w:rPr>
        <w:t xml:space="preserve">opłaty do czynszów mogą się przyczynić do </w:t>
      </w:r>
      <w:r w:rsidR="00DE5F83">
        <w:rPr>
          <w:rFonts w:asciiTheme="minorHAnsi" w:hAnsiTheme="minorHAnsi" w:cs="Arial"/>
          <w:sz w:val="22"/>
          <w:szCs w:val="22"/>
        </w:rPr>
        <w:t>stworzenia</w:t>
      </w:r>
      <w:r w:rsidR="00DE5F83" w:rsidRPr="00FE436D">
        <w:rPr>
          <w:rFonts w:asciiTheme="minorHAnsi" w:hAnsiTheme="minorHAnsi" w:cs="Arial"/>
          <w:sz w:val="22"/>
          <w:szCs w:val="22"/>
        </w:rPr>
        <w:t xml:space="preserve"> </w:t>
      </w:r>
      <w:r w:rsidR="00CA53DA" w:rsidRPr="00FE436D">
        <w:rPr>
          <w:rFonts w:asciiTheme="minorHAnsi" w:hAnsiTheme="minorHAnsi" w:cs="Arial"/>
          <w:sz w:val="22"/>
          <w:szCs w:val="22"/>
        </w:rPr>
        <w:t>możliwości wynajęcia samodzielnego mieszkania lub do zwię</w:t>
      </w:r>
      <w:r w:rsidR="00CA53DA" w:rsidRPr="00FE436D">
        <w:rPr>
          <w:rFonts w:asciiTheme="minorHAnsi" w:hAnsiTheme="minorHAnsi" w:cs="Arial"/>
          <w:sz w:val="22"/>
          <w:szCs w:val="22"/>
        </w:rPr>
        <w:t>k</w:t>
      </w:r>
      <w:r w:rsidR="00CA53DA" w:rsidRPr="00FE436D">
        <w:rPr>
          <w:rFonts w:asciiTheme="minorHAnsi" w:hAnsiTheme="minorHAnsi" w:cs="Arial"/>
          <w:sz w:val="22"/>
          <w:szCs w:val="22"/>
        </w:rPr>
        <w:t>szenia standardu (np. powierzchniowego) mieszkania i lepszego przysto</w:t>
      </w:r>
      <w:r w:rsidRPr="00FE436D">
        <w:rPr>
          <w:rFonts w:asciiTheme="minorHAnsi" w:hAnsiTheme="minorHAnsi" w:cs="Arial"/>
          <w:sz w:val="22"/>
          <w:szCs w:val="22"/>
        </w:rPr>
        <w:t xml:space="preserve">sowania go do </w:t>
      </w:r>
      <w:r>
        <w:rPr>
          <w:rFonts w:asciiTheme="minorHAnsi" w:hAnsiTheme="minorHAnsi" w:cs="Arial"/>
          <w:sz w:val="22"/>
          <w:szCs w:val="22"/>
        </w:rPr>
        <w:t>p</w:t>
      </w:r>
      <w:r>
        <w:rPr>
          <w:rFonts w:asciiTheme="minorHAnsi" w:hAnsiTheme="minorHAnsi" w:cs="Arial"/>
          <w:sz w:val="22"/>
          <w:szCs w:val="22"/>
        </w:rPr>
        <w:t>o</w:t>
      </w:r>
      <w:r>
        <w:rPr>
          <w:rFonts w:asciiTheme="minorHAnsi" w:hAnsiTheme="minorHAnsi" w:cs="Arial"/>
          <w:sz w:val="22"/>
          <w:szCs w:val="22"/>
        </w:rPr>
        <w:t xml:space="preserve">trzeb </w:t>
      </w:r>
      <w:r w:rsidRPr="00FE436D">
        <w:rPr>
          <w:rFonts w:asciiTheme="minorHAnsi" w:hAnsiTheme="minorHAnsi" w:cs="Arial"/>
          <w:sz w:val="22"/>
          <w:szCs w:val="22"/>
        </w:rPr>
        <w:t>rodziny,</w:t>
      </w:r>
    </w:p>
    <w:p w:rsidR="00CA53DA" w:rsidRPr="00FE436D" w:rsidRDefault="00FE436D" w:rsidP="00092BEC">
      <w:pPr>
        <w:pStyle w:val="Akapitzlist"/>
        <w:numPr>
          <w:ilvl w:val="0"/>
          <w:numId w:val="49"/>
        </w:numPr>
        <w:tabs>
          <w:tab w:val="left" w:pos="709"/>
        </w:tabs>
        <w:spacing w:after="240" w:line="240" w:lineRule="exact"/>
        <w:ind w:left="709" w:hanging="425"/>
        <w:contextualSpacing w:val="0"/>
        <w:rPr>
          <w:rFonts w:asciiTheme="minorHAnsi" w:hAnsiTheme="minorHAnsi" w:cs="Arial"/>
          <w:sz w:val="22"/>
          <w:szCs w:val="22"/>
        </w:rPr>
      </w:pPr>
      <w:r w:rsidRPr="00FE436D">
        <w:rPr>
          <w:rFonts w:asciiTheme="minorHAnsi" w:hAnsiTheme="minorHAnsi" w:cs="Arial"/>
          <w:sz w:val="22"/>
          <w:szCs w:val="22"/>
          <w:u w:val="single"/>
        </w:rPr>
        <w:t>s</w:t>
      </w:r>
      <w:r w:rsidR="00CA53DA" w:rsidRPr="00FE436D">
        <w:rPr>
          <w:rFonts w:asciiTheme="minorHAnsi" w:hAnsiTheme="minorHAnsi" w:cs="Arial"/>
          <w:sz w:val="22"/>
          <w:szCs w:val="22"/>
          <w:u w:val="single"/>
        </w:rPr>
        <w:t>amorządów gminnych</w:t>
      </w:r>
      <w:r w:rsidR="00CA53DA" w:rsidRPr="00FE436D">
        <w:rPr>
          <w:rFonts w:asciiTheme="minorHAnsi" w:hAnsiTheme="minorHAnsi" w:cs="Arial"/>
          <w:sz w:val="22"/>
          <w:szCs w:val="22"/>
        </w:rPr>
        <w:t xml:space="preserve"> – zwiększając zakres dostępnych instrumentów lokalnej polityki mieszkaniowej</w:t>
      </w:r>
      <w:r w:rsidR="00DE5F83">
        <w:rPr>
          <w:rFonts w:asciiTheme="minorHAnsi" w:hAnsiTheme="minorHAnsi" w:cs="Arial"/>
          <w:sz w:val="22"/>
          <w:szCs w:val="22"/>
        </w:rPr>
        <w:t>;</w:t>
      </w:r>
      <w:r w:rsidR="00CA53DA" w:rsidRPr="00FE436D">
        <w:rPr>
          <w:rFonts w:asciiTheme="minorHAnsi" w:hAnsiTheme="minorHAnsi" w:cs="Arial"/>
          <w:sz w:val="22"/>
          <w:szCs w:val="22"/>
        </w:rPr>
        <w:t xml:space="preserve"> </w:t>
      </w:r>
      <w:r w:rsidR="00DE5F83">
        <w:rPr>
          <w:rFonts w:asciiTheme="minorHAnsi" w:hAnsiTheme="minorHAnsi" w:cs="Arial"/>
          <w:sz w:val="22"/>
          <w:szCs w:val="22"/>
        </w:rPr>
        <w:t>s</w:t>
      </w:r>
      <w:r w:rsidR="00CA53DA" w:rsidRPr="00FE436D">
        <w:rPr>
          <w:rFonts w:asciiTheme="minorHAnsi" w:hAnsiTheme="minorHAnsi" w:cs="Arial"/>
          <w:sz w:val="22"/>
          <w:szCs w:val="22"/>
        </w:rPr>
        <w:t>amorządy będą miały możliwość zwiększenia zasobu mieszkaniowego na swoim terenie oraz zaspokajania potrzeb mieszkaniowych lokalnej społeczności bez bezp</w:t>
      </w:r>
      <w:r w:rsidR="00CA53DA" w:rsidRPr="00FE436D">
        <w:rPr>
          <w:rFonts w:asciiTheme="minorHAnsi" w:hAnsiTheme="minorHAnsi" w:cs="Arial"/>
          <w:sz w:val="22"/>
          <w:szCs w:val="22"/>
        </w:rPr>
        <w:t>o</w:t>
      </w:r>
      <w:r w:rsidR="00CA53DA" w:rsidRPr="00FE436D">
        <w:rPr>
          <w:rFonts w:asciiTheme="minorHAnsi" w:hAnsiTheme="minorHAnsi" w:cs="Arial"/>
          <w:sz w:val="22"/>
          <w:szCs w:val="22"/>
        </w:rPr>
        <w:t>średniego angażowania środków publicznych w realizację inwestycji mieszkani</w:t>
      </w:r>
      <w:r w:rsidRPr="00FE436D">
        <w:rPr>
          <w:rFonts w:asciiTheme="minorHAnsi" w:hAnsiTheme="minorHAnsi" w:cs="Arial"/>
          <w:sz w:val="22"/>
          <w:szCs w:val="22"/>
        </w:rPr>
        <w:t>owych,</w:t>
      </w:r>
    </w:p>
    <w:p w:rsidR="00CA53DA" w:rsidRDefault="00FE436D" w:rsidP="00092BEC">
      <w:pPr>
        <w:pStyle w:val="Akapitzlist"/>
        <w:numPr>
          <w:ilvl w:val="0"/>
          <w:numId w:val="49"/>
        </w:numPr>
        <w:tabs>
          <w:tab w:val="left" w:pos="709"/>
        </w:tabs>
        <w:spacing w:after="240" w:line="240" w:lineRule="exact"/>
        <w:ind w:left="709" w:hanging="425"/>
        <w:contextualSpacing w:val="0"/>
        <w:rPr>
          <w:rFonts w:asciiTheme="minorHAnsi" w:hAnsiTheme="minorHAnsi" w:cs="Arial"/>
          <w:sz w:val="22"/>
          <w:szCs w:val="22"/>
        </w:rPr>
      </w:pPr>
      <w:r w:rsidRPr="00FE436D">
        <w:rPr>
          <w:rFonts w:asciiTheme="minorHAnsi" w:hAnsiTheme="minorHAnsi" w:cs="Arial"/>
          <w:sz w:val="22"/>
          <w:szCs w:val="22"/>
          <w:u w:val="single"/>
        </w:rPr>
        <w:lastRenderedPageBreak/>
        <w:t>i</w:t>
      </w:r>
      <w:r w:rsidR="00CA53DA" w:rsidRPr="00FE436D">
        <w:rPr>
          <w:rFonts w:asciiTheme="minorHAnsi" w:hAnsiTheme="minorHAnsi" w:cs="Arial"/>
          <w:sz w:val="22"/>
          <w:szCs w:val="22"/>
          <w:u w:val="single"/>
        </w:rPr>
        <w:t>nwestorów</w:t>
      </w:r>
      <w:r w:rsidR="00CA53DA" w:rsidRPr="00FE436D">
        <w:rPr>
          <w:rFonts w:asciiTheme="minorHAnsi" w:hAnsiTheme="minorHAnsi" w:cs="Arial"/>
          <w:sz w:val="22"/>
          <w:szCs w:val="22"/>
        </w:rPr>
        <w:t xml:space="preserve"> – umożliwiając im rozszerzenie dotychczasowej skali działalności o nowy rynek </w:t>
      </w:r>
      <w:r w:rsidR="007F74ED">
        <w:rPr>
          <w:rFonts w:asciiTheme="minorHAnsi" w:hAnsiTheme="minorHAnsi" w:cs="Arial"/>
          <w:sz w:val="22"/>
          <w:szCs w:val="22"/>
        </w:rPr>
        <w:br/>
      </w:r>
      <w:r w:rsidR="00CA53DA" w:rsidRPr="00FE436D">
        <w:rPr>
          <w:rFonts w:asciiTheme="minorHAnsi" w:hAnsiTheme="minorHAnsi" w:cs="Arial"/>
          <w:sz w:val="22"/>
          <w:szCs w:val="22"/>
        </w:rPr>
        <w:t>z dużym potencjałem na stabilne i długoletnie źródło przychodów czynszowych</w:t>
      </w:r>
      <w:r w:rsidR="00DE5F83">
        <w:rPr>
          <w:rFonts w:asciiTheme="minorHAnsi" w:hAnsiTheme="minorHAnsi" w:cs="Arial"/>
          <w:sz w:val="22"/>
          <w:szCs w:val="22"/>
        </w:rPr>
        <w:t>;</w:t>
      </w:r>
      <w:r w:rsidR="00CA53DA" w:rsidRPr="00FE436D">
        <w:rPr>
          <w:rFonts w:asciiTheme="minorHAnsi" w:hAnsiTheme="minorHAnsi" w:cs="Arial"/>
          <w:sz w:val="22"/>
          <w:szCs w:val="22"/>
        </w:rPr>
        <w:t xml:space="preserve"> </w:t>
      </w:r>
      <w:r w:rsidR="00DE5F83">
        <w:rPr>
          <w:rFonts w:asciiTheme="minorHAnsi" w:hAnsiTheme="minorHAnsi" w:cs="Arial"/>
          <w:sz w:val="22"/>
          <w:szCs w:val="22"/>
        </w:rPr>
        <w:t>d</w:t>
      </w:r>
      <w:r w:rsidR="00CA53DA" w:rsidRPr="00FE436D">
        <w:rPr>
          <w:rFonts w:asciiTheme="minorHAnsi" w:hAnsiTheme="minorHAnsi" w:cs="Arial"/>
          <w:sz w:val="22"/>
          <w:szCs w:val="22"/>
        </w:rPr>
        <w:t>zięki zast</w:t>
      </w:r>
      <w:r w:rsidR="00CA53DA" w:rsidRPr="00FE436D">
        <w:rPr>
          <w:rFonts w:asciiTheme="minorHAnsi" w:hAnsiTheme="minorHAnsi" w:cs="Arial"/>
          <w:sz w:val="22"/>
          <w:szCs w:val="22"/>
        </w:rPr>
        <w:t>o</w:t>
      </w:r>
      <w:r w:rsidR="00CA53DA" w:rsidRPr="00FE436D">
        <w:rPr>
          <w:rFonts w:asciiTheme="minorHAnsi" w:hAnsiTheme="minorHAnsi" w:cs="Arial"/>
          <w:sz w:val="22"/>
          <w:szCs w:val="22"/>
        </w:rPr>
        <w:t xml:space="preserve">sowaniu dopłat do czynszów oraz włączeniu gmin w proces naboru najemców zmniejsza się ryzyko </w:t>
      </w:r>
      <w:r w:rsidRPr="00FE436D">
        <w:rPr>
          <w:rFonts w:asciiTheme="minorHAnsi" w:hAnsiTheme="minorHAnsi" w:cs="Arial"/>
          <w:sz w:val="22"/>
          <w:szCs w:val="22"/>
        </w:rPr>
        <w:t>braku odpowiedniego popytu na mieszkania na wynajem budowane w oparciu o zas</w:t>
      </w:r>
      <w:r w:rsidRPr="00FE436D">
        <w:rPr>
          <w:rFonts w:asciiTheme="minorHAnsi" w:hAnsiTheme="minorHAnsi" w:cs="Arial"/>
          <w:sz w:val="22"/>
          <w:szCs w:val="22"/>
        </w:rPr>
        <w:t>a</w:t>
      </w:r>
      <w:r w:rsidRPr="00FE436D">
        <w:rPr>
          <w:rFonts w:asciiTheme="minorHAnsi" w:hAnsiTheme="minorHAnsi" w:cs="Arial"/>
          <w:sz w:val="22"/>
          <w:szCs w:val="22"/>
        </w:rPr>
        <w:t xml:space="preserve">dy rynkowe. </w:t>
      </w:r>
    </w:p>
    <w:p w:rsidR="00092D2C" w:rsidRPr="00092BEC" w:rsidRDefault="00092D2C" w:rsidP="00092BEC">
      <w:pPr>
        <w:tabs>
          <w:tab w:val="left" w:pos="709"/>
        </w:tabs>
        <w:spacing w:after="240" w:line="240" w:lineRule="exact"/>
        <w:rPr>
          <w:rFonts w:asciiTheme="minorHAnsi" w:hAnsiTheme="minorHAnsi" w:cs="Arial"/>
          <w:sz w:val="22"/>
          <w:szCs w:val="22"/>
        </w:rPr>
      </w:pPr>
    </w:p>
    <w:p w:rsidR="00A95713" w:rsidRPr="00730411" w:rsidRDefault="00A95713" w:rsidP="00730411">
      <w:pPr>
        <w:tabs>
          <w:tab w:val="left" w:pos="540"/>
        </w:tabs>
        <w:spacing w:after="240" w:line="240" w:lineRule="exact"/>
        <w:rPr>
          <w:rFonts w:asciiTheme="minorHAnsi" w:hAnsiTheme="minorHAnsi" w:cs="Arial"/>
          <w:b/>
          <w:i/>
          <w:sz w:val="22"/>
          <w:szCs w:val="22"/>
          <w:u w:val="single"/>
        </w:rPr>
      </w:pPr>
      <w:r w:rsidRPr="00896AE4">
        <w:rPr>
          <w:rFonts w:asciiTheme="minorHAnsi" w:hAnsiTheme="minorHAnsi" w:cs="Arial"/>
          <w:b/>
          <w:i/>
          <w:sz w:val="22"/>
          <w:szCs w:val="22"/>
          <w:u w:val="single"/>
        </w:rPr>
        <w:t>Uzasadnienie szczegółowe proponowanych rozwiązań</w:t>
      </w:r>
    </w:p>
    <w:p w:rsidR="00BE1AAA" w:rsidRPr="00896AE4" w:rsidRDefault="00B813D0" w:rsidP="00730411">
      <w:pPr>
        <w:tabs>
          <w:tab w:val="left" w:pos="540"/>
        </w:tabs>
        <w:spacing w:after="240" w:line="240" w:lineRule="exact"/>
        <w:rPr>
          <w:rFonts w:asciiTheme="minorHAnsi" w:hAnsiTheme="minorHAnsi" w:cs="Arial"/>
          <w:sz w:val="22"/>
          <w:szCs w:val="22"/>
        </w:rPr>
      </w:pPr>
      <w:r w:rsidRPr="00896AE4">
        <w:rPr>
          <w:rFonts w:asciiTheme="minorHAnsi" w:hAnsiTheme="minorHAnsi" w:cs="Arial"/>
          <w:sz w:val="22"/>
          <w:szCs w:val="22"/>
        </w:rPr>
        <w:t xml:space="preserve">Proponowany </w:t>
      </w:r>
      <w:r w:rsidRPr="00896AE4">
        <w:rPr>
          <w:rFonts w:asciiTheme="minorHAnsi" w:hAnsiTheme="minorHAnsi" w:cs="Arial"/>
          <w:b/>
          <w:sz w:val="22"/>
          <w:szCs w:val="22"/>
        </w:rPr>
        <w:t>tytuł ustawy</w:t>
      </w:r>
      <w:r w:rsidRPr="00896AE4">
        <w:rPr>
          <w:rFonts w:asciiTheme="minorHAnsi" w:hAnsiTheme="minorHAnsi" w:cs="Arial"/>
          <w:sz w:val="22"/>
          <w:szCs w:val="22"/>
        </w:rPr>
        <w:t xml:space="preserve"> odzwierciedla zasadnicz</w:t>
      </w:r>
      <w:r w:rsidR="00F83A1D">
        <w:rPr>
          <w:rFonts w:asciiTheme="minorHAnsi" w:hAnsiTheme="minorHAnsi" w:cs="Arial"/>
          <w:sz w:val="22"/>
          <w:szCs w:val="22"/>
        </w:rPr>
        <w:t>e</w:t>
      </w:r>
      <w:r w:rsidRPr="00896AE4">
        <w:rPr>
          <w:rFonts w:asciiTheme="minorHAnsi" w:hAnsiTheme="minorHAnsi" w:cs="Arial"/>
          <w:sz w:val="22"/>
          <w:szCs w:val="22"/>
        </w:rPr>
        <w:t xml:space="preserve"> cel</w:t>
      </w:r>
      <w:r w:rsidR="00F83A1D">
        <w:rPr>
          <w:rFonts w:asciiTheme="minorHAnsi" w:hAnsiTheme="minorHAnsi" w:cs="Arial"/>
          <w:sz w:val="22"/>
          <w:szCs w:val="22"/>
        </w:rPr>
        <w:t>e</w:t>
      </w:r>
      <w:r w:rsidRPr="00896AE4">
        <w:rPr>
          <w:rFonts w:asciiTheme="minorHAnsi" w:hAnsiTheme="minorHAnsi" w:cs="Arial"/>
          <w:sz w:val="22"/>
          <w:szCs w:val="22"/>
        </w:rPr>
        <w:t>, jaki</w:t>
      </w:r>
      <w:r w:rsidR="00F83A1D">
        <w:rPr>
          <w:rFonts w:asciiTheme="minorHAnsi" w:hAnsiTheme="minorHAnsi" w:cs="Arial"/>
          <w:sz w:val="22"/>
          <w:szCs w:val="22"/>
        </w:rPr>
        <w:t>m</w:t>
      </w:r>
      <w:r w:rsidRPr="00896AE4">
        <w:rPr>
          <w:rFonts w:asciiTheme="minorHAnsi" w:hAnsiTheme="minorHAnsi" w:cs="Arial"/>
          <w:sz w:val="22"/>
          <w:szCs w:val="22"/>
        </w:rPr>
        <w:t xml:space="preserve"> ma służyć przedłożony projekt ro</w:t>
      </w:r>
      <w:r w:rsidRPr="00896AE4">
        <w:rPr>
          <w:rFonts w:asciiTheme="minorHAnsi" w:hAnsiTheme="minorHAnsi" w:cs="Arial"/>
          <w:sz w:val="22"/>
          <w:szCs w:val="22"/>
        </w:rPr>
        <w:t>z</w:t>
      </w:r>
      <w:r w:rsidRPr="00896AE4">
        <w:rPr>
          <w:rFonts w:asciiTheme="minorHAnsi" w:hAnsiTheme="minorHAnsi" w:cs="Arial"/>
          <w:sz w:val="22"/>
          <w:szCs w:val="22"/>
        </w:rPr>
        <w:t>wiązań prawnych, tj.</w:t>
      </w:r>
      <w:r w:rsidR="00F83A1D">
        <w:rPr>
          <w:rFonts w:asciiTheme="minorHAnsi" w:hAnsiTheme="minorHAnsi" w:cs="Arial"/>
          <w:sz w:val="22"/>
          <w:szCs w:val="22"/>
        </w:rPr>
        <w:t xml:space="preserve"> </w:t>
      </w:r>
      <w:r w:rsidR="00806C97" w:rsidRPr="00806C97">
        <w:rPr>
          <w:rFonts w:asciiTheme="minorHAnsi" w:hAnsiTheme="minorHAnsi" w:cs="Arial"/>
          <w:sz w:val="22"/>
          <w:szCs w:val="22"/>
        </w:rPr>
        <w:t xml:space="preserve">cel </w:t>
      </w:r>
      <w:r w:rsidR="00806C97">
        <w:rPr>
          <w:rFonts w:asciiTheme="minorHAnsi" w:hAnsiTheme="minorHAnsi" w:cs="Arial"/>
          <w:sz w:val="22"/>
          <w:szCs w:val="22"/>
        </w:rPr>
        <w:t>pomocy</w:t>
      </w:r>
      <w:r w:rsidR="00806C97" w:rsidRPr="00915092">
        <w:rPr>
          <w:rFonts w:asciiTheme="minorHAnsi" w:hAnsiTheme="minorHAnsi" w:cs="Arial"/>
          <w:sz w:val="22"/>
          <w:szCs w:val="22"/>
        </w:rPr>
        <w:t xml:space="preserve"> </w:t>
      </w:r>
      <w:r w:rsidR="00806C97">
        <w:rPr>
          <w:rFonts w:asciiTheme="minorHAnsi" w:hAnsiTheme="minorHAnsi" w:cs="Arial"/>
          <w:sz w:val="22"/>
          <w:szCs w:val="22"/>
        </w:rPr>
        <w:t>finansowej w zaspokajaniu potrzeb mieszkaniowych osobom</w:t>
      </w:r>
      <w:r w:rsidR="00806C97" w:rsidRPr="00915092">
        <w:rPr>
          <w:rFonts w:asciiTheme="minorHAnsi" w:hAnsiTheme="minorHAnsi" w:cs="Arial"/>
          <w:sz w:val="22"/>
          <w:szCs w:val="22"/>
        </w:rPr>
        <w:t xml:space="preserve"> o d</w:t>
      </w:r>
      <w:r w:rsidR="00806C97" w:rsidRPr="00915092">
        <w:rPr>
          <w:rFonts w:asciiTheme="minorHAnsi" w:hAnsiTheme="minorHAnsi" w:cs="Arial"/>
          <w:sz w:val="22"/>
          <w:szCs w:val="22"/>
        </w:rPr>
        <w:t>o</w:t>
      </w:r>
      <w:r w:rsidR="00806C97" w:rsidRPr="00915092">
        <w:rPr>
          <w:rFonts w:asciiTheme="minorHAnsi" w:hAnsiTheme="minorHAnsi" w:cs="Arial"/>
          <w:sz w:val="22"/>
          <w:szCs w:val="22"/>
        </w:rPr>
        <w:t xml:space="preserve">chodach uniemożliwiających </w:t>
      </w:r>
      <w:r w:rsidR="00806C97">
        <w:rPr>
          <w:rFonts w:asciiTheme="minorHAnsi" w:hAnsiTheme="minorHAnsi" w:cs="Arial"/>
          <w:sz w:val="22"/>
          <w:szCs w:val="22"/>
        </w:rPr>
        <w:t xml:space="preserve">im </w:t>
      </w:r>
      <w:r w:rsidR="00806C97" w:rsidRPr="00915092">
        <w:rPr>
          <w:rFonts w:asciiTheme="minorHAnsi" w:hAnsiTheme="minorHAnsi" w:cs="Arial"/>
          <w:sz w:val="22"/>
          <w:szCs w:val="22"/>
        </w:rPr>
        <w:t xml:space="preserve">samodzielny zakup </w:t>
      </w:r>
      <w:r w:rsidR="00806C97">
        <w:rPr>
          <w:rFonts w:asciiTheme="minorHAnsi" w:hAnsiTheme="minorHAnsi" w:cs="Arial"/>
          <w:sz w:val="22"/>
          <w:szCs w:val="22"/>
        </w:rPr>
        <w:t xml:space="preserve">lub najem </w:t>
      </w:r>
      <w:r w:rsidR="00806C97" w:rsidRPr="00915092">
        <w:rPr>
          <w:rFonts w:asciiTheme="minorHAnsi" w:hAnsiTheme="minorHAnsi" w:cs="Arial"/>
          <w:sz w:val="22"/>
          <w:szCs w:val="22"/>
        </w:rPr>
        <w:t>mieszkania o odpowiednim standa</w:t>
      </w:r>
      <w:r w:rsidR="00806C97" w:rsidRPr="00915092">
        <w:rPr>
          <w:rFonts w:asciiTheme="minorHAnsi" w:hAnsiTheme="minorHAnsi" w:cs="Arial"/>
          <w:sz w:val="22"/>
          <w:szCs w:val="22"/>
        </w:rPr>
        <w:t>r</w:t>
      </w:r>
      <w:r w:rsidR="00806C97" w:rsidRPr="00915092">
        <w:rPr>
          <w:rFonts w:asciiTheme="minorHAnsi" w:hAnsiTheme="minorHAnsi" w:cs="Arial"/>
          <w:sz w:val="22"/>
          <w:szCs w:val="22"/>
        </w:rPr>
        <w:t xml:space="preserve">dzie </w:t>
      </w:r>
      <w:r w:rsidR="00806C97">
        <w:rPr>
          <w:rFonts w:asciiTheme="minorHAnsi" w:hAnsiTheme="minorHAnsi" w:cs="Arial"/>
          <w:sz w:val="22"/>
          <w:szCs w:val="22"/>
        </w:rPr>
        <w:t>w warunkach komercyjnych oraz zwiększenie zaangażowania inwestorów w rozwój rynku mies</w:t>
      </w:r>
      <w:r w:rsidR="00806C97">
        <w:rPr>
          <w:rFonts w:asciiTheme="minorHAnsi" w:hAnsiTheme="minorHAnsi" w:cs="Arial"/>
          <w:sz w:val="22"/>
          <w:szCs w:val="22"/>
        </w:rPr>
        <w:t>z</w:t>
      </w:r>
      <w:r w:rsidR="00806C97">
        <w:rPr>
          <w:rFonts w:asciiTheme="minorHAnsi" w:hAnsiTheme="minorHAnsi" w:cs="Arial"/>
          <w:sz w:val="22"/>
          <w:szCs w:val="22"/>
        </w:rPr>
        <w:t xml:space="preserve">kań na wynajem. </w:t>
      </w:r>
    </w:p>
    <w:p w:rsidR="00896AE4" w:rsidRPr="00730411" w:rsidRDefault="004A6F83" w:rsidP="00730411">
      <w:pPr>
        <w:pStyle w:val="Akapitzlist"/>
        <w:numPr>
          <w:ilvl w:val="0"/>
          <w:numId w:val="1"/>
        </w:numPr>
        <w:tabs>
          <w:tab w:val="left" w:pos="540"/>
        </w:tabs>
        <w:spacing w:after="240" w:line="240" w:lineRule="exact"/>
        <w:contextualSpacing w:val="0"/>
        <w:rPr>
          <w:rFonts w:asciiTheme="minorHAnsi" w:hAnsiTheme="minorHAnsi" w:cs="Arial"/>
          <w:b/>
          <w:sz w:val="22"/>
          <w:szCs w:val="22"/>
        </w:rPr>
      </w:pPr>
      <w:r w:rsidRPr="0005208C">
        <w:rPr>
          <w:rFonts w:asciiTheme="minorHAnsi" w:hAnsiTheme="minorHAnsi" w:cs="Arial"/>
          <w:b/>
          <w:sz w:val="22"/>
          <w:szCs w:val="22"/>
        </w:rPr>
        <w:t>Przepisy ogólne</w:t>
      </w:r>
    </w:p>
    <w:p w:rsidR="00896AE4" w:rsidRPr="00730411" w:rsidRDefault="004A6F83" w:rsidP="00730411">
      <w:pPr>
        <w:tabs>
          <w:tab w:val="left" w:pos="540"/>
        </w:tabs>
        <w:spacing w:after="240" w:line="240" w:lineRule="exact"/>
        <w:rPr>
          <w:rFonts w:asciiTheme="minorHAnsi" w:hAnsiTheme="minorHAnsi" w:cs="Arial"/>
          <w:sz w:val="22"/>
          <w:szCs w:val="22"/>
        </w:rPr>
      </w:pPr>
      <w:r w:rsidRPr="00591771">
        <w:rPr>
          <w:rFonts w:asciiTheme="minorHAnsi" w:hAnsiTheme="minorHAnsi" w:cs="Arial"/>
          <w:sz w:val="22"/>
          <w:szCs w:val="22"/>
        </w:rPr>
        <w:t>W rozdziale 1</w:t>
      </w:r>
      <w:r w:rsidR="00500721">
        <w:rPr>
          <w:rFonts w:asciiTheme="minorHAnsi" w:hAnsiTheme="minorHAnsi" w:cs="Arial"/>
          <w:sz w:val="22"/>
          <w:szCs w:val="22"/>
        </w:rPr>
        <w:t>.</w:t>
      </w:r>
      <w:r w:rsidRPr="00591771">
        <w:rPr>
          <w:rFonts w:asciiTheme="minorHAnsi" w:hAnsiTheme="minorHAnsi" w:cs="Arial"/>
          <w:sz w:val="22"/>
          <w:szCs w:val="22"/>
        </w:rPr>
        <w:t xml:space="preserve"> projektu ustawy zawarto przepisy </w:t>
      </w:r>
      <w:r w:rsidR="003A04F5" w:rsidRPr="00591771">
        <w:rPr>
          <w:rFonts w:asciiTheme="minorHAnsi" w:hAnsiTheme="minorHAnsi" w:cs="Arial"/>
          <w:sz w:val="22"/>
          <w:szCs w:val="22"/>
        </w:rPr>
        <w:t>określające</w:t>
      </w:r>
      <w:r w:rsidRPr="00591771">
        <w:rPr>
          <w:rFonts w:asciiTheme="minorHAnsi" w:hAnsiTheme="minorHAnsi" w:cs="Arial"/>
          <w:sz w:val="22"/>
          <w:szCs w:val="22"/>
        </w:rPr>
        <w:t xml:space="preserve"> przedmiot regulacji ustawowej</w:t>
      </w:r>
      <w:r w:rsidR="004B427F" w:rsidRPr="00591771">
        <w:rPr>
          <w:rFonts w:asciiTheme="minorHAnsi" w:hAnsiTheme="minorHAnsi" w:cs="Arial"/>
          <w:sz w:val="22"/>
          <w:szCs w:val="22"/>
        </w:rPr>
        <w:t xml:space="preserve"> (art. 1)</w:t>
      </w:r>
      <w:r w:rsidRPr="00591771">
        <w:rPr>
          <w:rFonts w:asciiTheme="minorHAnsi" w:hAnsiTheme="minorHAnsi" w:cs="Arial"/>
          <w:sz w:val="22"/>
          <w:szCs w:val="22"/>
        </w:rPr>
        <w:t xml:space="preserve"> </w:t>
      </w:r>
      <w:r w:rsidR="003A04F5" w:rsidRPr="00591771">
        <w:rPr>
          <w:rFonts w:asciiTheme="minorHAnsi" w:hAnsiTheme="minorHAnsi" w:cs="Arial"/>
          <w:sz w:val="22"/>
          <w:szCs w:val="22"/>
        </w:rPr>
        <w:t xml:space="preserve">oraz </w:t>
      </w:r>
      <w:r w:rsidRPr="00591771">
        <w:rPr>
          <w:rFonts w:asciiTheme="minorHAnsi" w:hAnsiTheme="minorHAnsi" w:cs="Arial"/>
          <w:sz w:val="22"/>
          <w:szCs w:val="22"/>
        </w:rPr>
        <w:t>definicje podstawowych pojęć stosowanych w przepisach szczegółowych przedmiotowego aktu normatywnego</w:t>
      </w:r>
      <w:r w:rsidR="004B427F" w:rsidRPr="00591771">
        <w:rPr>
          <w:rFonts w:asciiTheme="minorHAnsi" w:hAnsiTheme="minorHAnsi" w:cs="Arial"/>
          <w:sz w:val="22"/>
          <w:szCs w:val="22"/>
        </w:rPr>
        <w:t xml:space="preserve"> (art. 2)</w:t>
      </w:r>
      <w:r w:rsidRPr="00591771">
        <w:rPr>
          <w:rFonts w:asciiTheme="minorHAnsi" w:hAnsiTheme="minorHAnsi" w:cs="Arial"/>
          <w:sz w:val="22"/>
          <w:szCs w:val="22"/>
        </w:rPr>
        <w:t xml:space="preserve">. Ich celem jest </w:t>
      </w:r>
      <w:r w:rsidR="00602954" w:rsidRPr="00591771">
        <w:rPr>
          <w:rFonts w:asciiTheme="minorHAnsi" w:hAnsiTheme="minorHAnsi" w:cs="Arial"/>
          <w:sz w:val="22"/>
          <w:szCs w:val="22"/>
        </w:rPr>
        <w:t xml:space="preserve">zwięzłe </w:t>
      </w:r>
      <w:r w:rsidR="00EE24B2" w:rsidRPr="00591771">
        <w:rPr>
          <w:rFonts w:asciiTheme="minorHAnsi" w:hAnsiTheme="minorHAnsi" w:cs="Arial"/>
          <w:sz w:val="22"/>
          <w:szCs w:val="22"/>
        </w:rPr>
        <w:t>przedstawienie</w:t>
      </w:r>
      <w:r w:rsidR="00602954" w:rsidRPr="00591771">
        <w:rPr>
          <w:rFonts w:asciiTheme="minorHAnsi" w:hAnsiTheme="minorHAnsi" w:cs="Arial"/>
          <w:sz w:val="22"/>
          <w:szCs w:val="22"/>
        </w:rPr>
        <w:t xml:space="preserve"> treści ustawy</w:t>
      </w:r>
      <w:r w:rsidR="00EE24B2" w:rsidRPr="00591771">
        <w:rPr>
          <w:rFonts w:asciiTheme="minorHAnsi" w:hAnsiTheme="minorHAnsi" w:cs="Arial"/>
          <w:sz w:val="22"/>
          <w:szCs w:val="22"/>
        </w:rPr>
        <w:t xml:space="preserve">, a także </w:t>
      </w:r>
      <w:r w:rsidRPr="00591771">
        <w:rPr>
          <w:rFonts w:asciiTheme="minorHAnsi" w:hAnsiTheme="minorHAnsi" w:cs="Arial"/>
          <w:sz w:val="22"/>
          <w:szCs w:val="22"/>
        </w:rPr>
        <w:t xml:space="preserve">zapewnienie </w:t>
      </w:r>
      <w:r w:rsidR="00602954" w:rsidRPr="00591771">
        <w:rPr>
          <w:rFonts w:asciiTheme="minorHAnsi" w:hAnsiTheme="minorHAnsi" w:cs="Arial"/>
          <w:sz w:val="22"/>
          <w:szCs w:val="22"/>
        </w:rPr>
        <w:t xml:space="preserve">przejrzystości i </w:t>
      </w:r>
      <w:r w:rsidRPr="00591771">
        <w:rPr>
          <w:rFonts w:asciiTheme="minorHAnsi" w:hAnsiTheme="minorHAnsi" w:cs="Arial"/>
          <w:sz w:val="22"/>
          <w:szCs w:val="22"/>
        </w:rPr>
        <w:t xml:space="preserve">syntetyczności tekstu prawnego oraz </w:t>
      </w:r>
      <w:r w:rsidR="001469D2" w:rsidRPr="00591771">
        <w:rPr>
          <w:rFonts w:asciiTheme="minorHAnsi" w:hAnsiTheme="minorHAnsi" w:cs="Arial"/>
          <w:sz w:val="22"/>
          <w:szCs w:val="22"/>
        </w:rPr>
        <w:t>zrozumiałości</w:t>
      </w:r>
      <w:r w:rsidRPr="00591771">
        <w:rPr>
          <w:rFonts w:asciiTheme="minorHAnsi" w:hAnsiTheme="minorHAnsi" w:cs="Arial"/>
          <w:sz w:val="22"/>
          <w:szCs w:val="22"/>
        </w:rPr>
        <w:t xml:space="preserve"> opisu norm zawartych w poszcz</w:t>
      </w:r>
      <w:r w:rsidRPr="00591771">
        <w:rPr>
          <w:rFonts w:asciiTheme="minorHAnsi" w:hAnsiTheme="minorHAnsi" w:cs="Arial"/>
          <w:sz w:val="22"/>
          <w:szCs w:val="22"/>
        </w:rPr>
        <w:t>e</w:t>
      </w:r>
      <w:r w:rsidRPr="00591771">
        <w:rPr>
          <w:rFonts w:asciiTheme="minorHAnsi" w:hAnsiTheme="minorHAnsi" w:cs="Arial"/>
          <w:sz w:val="22"/>
          <w:szCs w:val="22"/>
        </w:rPr>
        <w:t xml:space="preserve">gólnych przepisach. </w:t>
      </w:r>
    </w:p>
    <w:p w:rsidR="00EE7E9D" w:rsidRPr="00730411" w:rsidRDefault="00E73E3E" w:rsidP="00730411">
      <w:pPr>
        <w:tabs>
          <w:tab w:val="left" w:pos="540"/>
        </w:tabs>
        <w:spacing w:after="240" w:line="240" w:lineRule="exact"/>
        <w:rPr>
          <w:rFonts w:asciiTheme="minorHAnsi" w:hAnsiTheme="minorHAnsi" w:cs="Arial"/>
          <w:sz w:val="22"/>
          <w:szCs w:val="22"/>
        </w:rPr>
      </w:pPr>
      <w:r w:rsidRPr="00887C91">
        <w:rPr>
          <w:rFonts w:asciiTheme="minorHAnsi" w:hAnsiTheme="minorHAnsi" w:cs="Arial"/>
          <w:sz w:val="22"/>
          <w:szCs w:val="22"/>
        </w:rPr>
        <w:t xml:space="preserve">Zgodnie z </w:t>
      </w:r>
      <w:r w:rsidRPr="00887C91">
        <w:rPr>
          <w:rFonts w:asciiTheme="minorHAnsi" w:hAnsiTheme="minorHAnsi" w:cs="Arial"/>
          <w:b/>
          <w:sz w:val="22"/>
          <w:szCs w:val="22"/>
        </w:rPr>
        <w:t>art. 1</w:t>
      </w:r>
      <w:r w:rsidRPr="00887C91">
        <w:rPr>
          <w:rFonts w:asciiTheme="minorHAnsi" w:hAnsiTheme="minorHAnsi" w:cs="Arial"/>
          <w:sz w:val="22"/>
          <w:szCs w:val="22"/>
        </w:rPr>
        <w:t xml:space="preserve"> ustawa </w:t>
      </w:r>
      <w:r w:rsidR="00887C91">
        <w:rPr>
          <w:rFonts w:asciiTheme="minorHAnsi" w:hAnsiTheme="minorHAnsi" w:cs="Arial"/>
          <w:sz w:val="22"/>
          <w:szCs w:val="22"/>
        </w:rPr>
        <w:t>określa</w:t>
      </w:r>
      <w:r w:rsidRPr="00887C91">
        <w:rPr>
          <w:rFonts w:asciiTheme="minorHAnsi" w:hAnsiTheme="minorHAnsi" w:cs="Arial"/>
          <w:sz w:val="22"/>
          <w:szCs w:val="22"/>
        </w:rPr>
        <w:t xml:space="preserve"> </w:t>
      </w:r>
      <w:r w:rsidR="00887C91" w:rsidRPr="00887C91">
        <w:rPr>
          <w:rFonts w:asciiTheme="minorHAnsi" w:hAnsiTheme="minorHAnsi" w:cs="Arial"/>
          <w:sz w:val="22"/>
          <w:szCs w:val="22"/>
        </w:rPr>
        <w:t>zasady stosowania dopłat pokrywających część czynszu za najem mieszkania</w:t>
      </w:r>
      <w:r w:rsidR="00E43D0B">
        <w:rPr>
          <w:rFonts w:asciiTheme="minorHAnsi" w:hAnsiTheme="minorHAnsi" w:cs="Arial"/>
          <w:sz w:val="22"/>
          <w:szCs w:val="22"/>
        </w:rPr>
        <w:t>, którego dotyczyła</w:t>
      </w:r>
      <w:r w:rsidR="00887C91" w:rsidRPr="00887C91">
        <w:rPr>
          <w:rFonts w:asciiTheme="minorHAnsi" w:hAnsiTheme="minorHAnsi" w:cs="Arial"/>
          <w:sz w:val="22"/>
          <w:szCs w:val="22"/>
        </w:rPr>
        <w:t xml:space="preserve"> inwestycj</w:t>
      </w:r>
      <w:r w:rsidR="00E43D0B">
        <w:rPr>
          <w:rFonts w:asciiTheme="minorHAnsi" w:hAnsiTheme="minorHAnsi" w:cs="Arial"/>
          <w:sz w:val="22"/>
          <w:szCs w:val="22"/>
        </w:rPr>
        <w:t>a</w:t>
      </w:r>
      <w:r w:rsidR="00887C91" w:rsidRPr="00887C91">
        <w:rPr>
          <w:rFonts w:asciiTheme="minorHAnsi" w:hAnsiTheme="minorHAnsi" w:cs="Arial"/>
          <w:sz w:val="22"/>
          <w:szCs w:val="22"/>
        </w:rPr>
        <w:t xml:space="preserve"> </w:t>
      </w:r>
      <w:r w:rsidR="00E43D0B" w:rsidRPr="00887C91">
        <w:rPr>
          <w:rFonts w:asciiTheme="minorHAnsi" w:hAnsiTheme="minorHAnsi" w:cs="Arial"/>
          <w:sz w:val="22"/>
          <w:szCs w:val="22"/>
        </w:rPr>
        <w:t>mieszkaniow</w:t>
      </w:r>
      <w:r w:rsidR="00E43D0B">
        <w:rPr>
          <w:rFonts w:asciiTheme="minorHAnsi" w:hAnsiTheme="minorHAnsi" w:cs="Arial"/>
          <w:sz w:val="22"/>
          <w:szCs w:val="22"/>
        </w:rPr>
        <w:t xml:space="preserve">a </w:t>
      </w:r>
      <w:r w:rsidR="00887C91">
        <w:rPr>
          <w:rFonts w:asciiTheme="minorHAnsi" w:hAnsiTheme="minorHAnsi" w:cs="Arial"/>
          <w:sz w:val="22"/>
          <w:szCs w:val="22"/>
        </w:rPr>
        <w:t>w rozumieniu nadanym przez niniejszą ust</w:t>
      </w:r>
      <w:r w:rsidR="00887C91">
        <w:rPr>
          <w:rFonts w:asciiTheme="minorHAnsi" w:hAnsiTheme="minorHAnsi" w:cs="Arial"/>
          <w:sz w:val="22"/>
          <w:szCs w:val="22"/>
        </w:rPr>
        <w:t>a</w:t>
      </w:r>
      <w:r w:rsidR="00887C91">
        <w:rPr>
          <w:rFonts w:asciiTheme="minorHAnsi" w:hAnsiTheme="minorHAnsi" w:cs="Arial"/>
          <w:sz w:val="22"/>
          <w:szCs w:val="22"/>
        </w:rPr>
        <w:t>wę</w:t>
      </w:r>
      <w:r w:rsidR="001617CD">
        <w:rPr>
          <w:rFonts w:asciiTheme="minorHAnsi" w:hAnsiTheme="minorHAnsi" w:cs="Arial"/>
          <w:sz w:val="22"/>
          <w:szCs w:val="22"/>
        </w:rPr>
        <w:t xml:space="preserve"> (czyli mieszkania utworzonego w wyniku np. budowy budyn</w:t>
      </w:r>
      <w:r w:rsidR="00092D2C">
        <w:rPr>
          <w:rFonts w:asciiTheme="minorHAnsi" w:hAnsiTheme="minorHAnsi" w:cs="Arial"/>
          <w:sz w:val="22"/>
          <w:szCs w:val="22"/>
        </w:rPr>
        <w:t>ku mieszkalnego albo mieszkania</w:t>
      </w:r>
      <w:r w:rsidR="00B55AAA">
        <w:rPr>
          <w:rFonts w:asciiTheme="minorHAnsi" w:hAnsiTheme="minorHAnsi" w:cs="Arial"/>
          <w:sz w:val="22"/>
          <w:szCs w:val="22"/>
        </w:rPr>
        <w:t xml:space="preserve"> </w:t>
      </w:r>
      <w:r w:rsidR="001617CD">
        <w:rPr>
          <w:rFonts w:asciiTheme="minorHAnsi" w:hAnsiTheme="minorHAnsi" w:cs="Arial"/>
          <w:sz w:val="22"/>
          <w:szCs w:val="22"/>
        </w:rPr>
        <w:t>w podda</w:t>
      </w:r>
      <w:r w:rsidR="00713FB3">
        <w:rPr>
          <w:rFonts w:asciiTheme="minorHAnsi" w:hAnsiTheme="minorHAnsi" w:cs="Arial"/>
          <w:sz w:val="22"/>
          <w:szCs w:val="22"/>
        </w:rPr>
        <w:t xml:space="preserve">nym </w:t>
      </w:r>
      <w:r w:rsidR="000762BC">
        <w:rPr>
          <w:rFonts w:asciiTheme="minorHAnsi" w:hAnsiTheme="minorHAnsi" w:cs="Arial"/>
          <w:sz w:val="22"/>
          <w:szCs w:val="22"/>
        </w:rPr>
        <w:t xml:space="preserve">np. </w:t>
      </w:r>
      <w:r w:rsidR="00713FB3">
        <w:rPr>
          <w:rFonts w:asciiTheme="minorHAnsi" w:hAnsiTheme="minorHAnsi" w:cs="Arial"/>
          <w:sz w:val="22"/>
          <w:szCs w:val="22"/>
        </w:rPr>
        <w:t xml:space="preserve">remontowi </w:t>
      </w:r>
      <w:r w:rsidR="00713FB3" w:rsidRPr="00713FB3">
        <w:rPr>
          <w:rFonts w:asciiTheme="minorHAnsi" w:hAnsiTheme="minorHAnsi" w:cs="Arial"/>
          <w:sz w:val="22"/>
          <w:szCs w:val="22"/>
        </w:rPr>
        <w:t>budynku mieszkalnym</w:t>
      </w:r>
      <w:r w:rsidR="001617CD" w:rsidRPr="00713FB3">
        <w:rPr>
          <w:rFonts w:asciiTheme="minorHAnsi" w:hAnsiTheme="minorHAnsi" w:cs="Arial"/>
          <w:sz w:val="22"/>
          <w:szCs w:val="22"/>
        </w:rPr>
        <w:t xml:space="preserve"> </w:t>
      </w:r>
      <w:r w:rsidR="001617CD">
        <w:rPr>
          <w:rFonts w:asciiTheme="minorHAnsi" w:hAnsiTheme="minorHAnsi" w:cs="Arial"/>
          <w:sz w:val="22"/>
          <w:szCs w:val="22"/>
        </w:rPr>
        <w:t>znajdującym się na obszarze Specjalnej Strefy Rew</w:t>
      </w:r>
      <w:r w:rsidR="001617CD">
        <w:rPr>
          <w:rFonts w:asciiTheme="minorHAnsi" w:hAnsiTheme="minorHAnsi" w:cs="Arial"/>
          <w:sz w:val="22"/>
          <w:szCs w:val="22"/>
        </w:rPr>
        <w:t>i</w:t>
      </w:r>
      <w:r w:rsidR="001617CD">
        <w:rPr>
          <w:rFonts w:asciiTheme="minorHAnsi" w:hAnsiTheme="minorHAnsi" w:cs="Arial"/>
          <w:sz w:val="22"/>
          <w:szCs w:val="22"/>
        </w:rPr>
        <w:t>talizacji)</w:t>
      </w:r>
      <w:r w:rsidR="000A6612" w:rsidRPr="00887C91">
        <w:rPr>
          <w:rFonts w:asciiTheme="minorHAnsi" w:hAnsiTheme="minorHAnsi" w:cs="Arial"/>
          <w:sz w:val="22"/>
          <w:szCs w:val="22"/>
        </w:rPr>
        <w:t>.</w:t>
      </w:r>
    </w:p>
    <w:p w:rsidR="00730411" w:rsidRDefault="00E73E3E" w:rsidP="00730411">
      <w:pPr>
        <w:tabs>
          <w:tab w:val="left" w:pos="540"/>
        </w:tabs>
        <w:spacing w:after="240" w:line="240" w:lineRule="exact"/>
        <w:rPr>
          <w:rFonts w:asciiTheme="minorHAnsi" w:hAnsiTheme="minorHAnsi" w:cs="Arial"/>
          <w:sz w:val="22"/>
          <w:szCs w:val="22"/>
        </w:rPr>
      </w:pPr>
      <w:r w:rsidRPr="00887C91">
        <w:rPr>
          <w:rFonts w:asciiTheme="minorHAnsi" w:hAnsiTheme="minorHAnsi" w:cs="Arial"/>
          <w:sz w:val="22"/>
          <w:szCs w:val="22"/>
        </w:rPr>
        <w:t xml:space="preserve">W </w:t>
      </w:r>
      <w:r w:rsidRPr="00887C91">
        <w:rPr>
          <w:rFonts w:asciiTheme="minorHAnsi" w:hAnsiTheme="minorHAnsi" w:cs="Arial"/>
          <w:b/>
          <w:sz w:val="22"/>
          <w:szCs w:val="22"/>
        </w:rPr>
        <w:t>art. 2</w:t>
      </w:r>
      <w:r w:rsidRPr="00887C91">
        <w:rPr>
          <w:rFonts w:asciiTheme="minorHAnsi" w:hAnsiTheme="minorHAnsi" w:cs="Arial"/>
          <w:sz w:val="22"/>
          <w:szCs w:val="22"/>
        </w:rPr>
        <w:t xml:space="preserve"> określono znaczenie najważniejszych stosowanych w </w:t>
      </w:r>
      <w:r w:rsidR="00DF6984">
        <w:rPr>
          <w:rFonts w:asciiTheme="minorHAnsi" w:hAnsiTheme="minorHAnsi" w:cs="Arial"/>
          <w:sz w:val="22"/>
          <w:szCs w:val="22"/>
        </w:rPr>
        <w:t>projekcie ustawy</w:t>
      </w:r>
      <w:r w:rsidRPr="00887C91">
        <w:rPr>
          <w:rFonts w:asciiTheme="minorHAnsi" w:hAnsiTheme="minorHAnsi" w:cs="Arial"/>
          <w:sz w:val="22"/>
          <w:szCs w:val="22"/>
        </w:rPr>
        <w:t xml:space="preserve"> sformu</w:t>
      </w:r>
      <w:r w:rsidR="006227E6" w:rsidRPr="00887C91">
        <w:rPr>
          <w:rFonts w:asciiTheme="minorHAnsi" w:hAnsiTheme="minorHAnsi" w:cs="Arial"/>
          <w:sz w:val="22"/>
          <w:szCs w:val="22"/>
        </w:rPr>
        <w:t>łowań,</w:t>
      </w:r>
      <w:r w:rsidRPr="00887C91">
        <w:rPr>
          <w:rFonts w:asciiTheme="minorHAnsi" w:hAnsiTheme="minorHAnsi" w:cs="Arial"/>
          <w:sz w:val="22"/>
          <w:szCs w:val="22"/>
        </w:rPr>
        <w:t xml:space="preserve"> </w:t>
      </w:r>
      <w:r w:rsidR="00CE4A62" w:rsidRPr="00887C91">
        <w:rPr>
          <w:rFonts w:asciiTheme="minorHAnsi" w:hAnsiTheme="minorHAnsi" w:cs="Arial"/>
          <w:sz w:val="22"/>
          <w:szCs w:val="22"/>
        </w:rPr>
        <w:br/>
      </w:r>
      <w:r w:rsidR="006227E6" w:rsidRPr="00887C91">
        <w:rPr>
          <w:rFonts w:asciiTheme="minorHAnsi" w:hAnsiTheme="minorHAnsi" w:cs="Arial"/>
          <w:sz w:val="22"/>
          <w:szCs w:val="22"/>
        </w:rPr>
        <w:t xml:space="preserve">ograniczając w niektórych przypadkach </w:t>
      </w:r>
      <w:r w:rsidR="00887C91" w:rsidRPr="00887C91">
        <w:rPr>
          <w:rFonts w:asciiTheme="minorHAnsi" w:hAnsiTheme="minorHAnsi" w:cs="Arial"/>
          <w:sz w:val="22"/>
          <w:szCs w:val="22"/>
        </w:rPr>
        <w:t xml:space="preserve">na potrzeby projektowanej ustawy </w:t>
      </w:r>
      <w:r w:rsidR="006227E6" w:rsidRPr="00887C91">
        <w:rPr>
          <w:rFonts w:asciiTheme="minorHAnsi" w:hAnsiTheme="minorHAnsi" w:cs="Arial"/>
          <w:sz w:val="22"/>
          <w:szCs w:val="22"/>
        </w:rPr>
        <w:t>zakres definicji funkcjon</w:t>
      </w:r>
      <w:r w:rsidR="006227E6" w:rsidRPr="00887C91">
        <w:rPr>
          <w:rFonts w:asciiTheme="minorHAnsi" w:hAnsiTheme="minorHAnsi" w:cs="Arial"/>
          <w:sz w:val="22"/>
          <w:szCs w:val="22"/>
        </w:rPr>
        <w:t>u</w:t>
      </w:r>
      <w:r w:rsidR="006227E6" w:rsidRPr="00887C91">
        <w:rPr>
          <w:rFonts w:asciiTheme="minorHAnsi" w:hAnsiTheme="minorHAnsi" w:cs="Arial"/>
          <w:sz w:val="22"/>
          <w:szCs w:val="22"/>
        </w:rPr>
        <w:t xml:space="preserve">jących na gruncie innych aktów normatywnych. </w:t>
      </w:r>
      <w:r w:rsidRPr="00887C91">
        <w:rPr>
          <w:rFonts w:asciiTheme="minorHAnsi" w:hAnsiTheme="minorHAnsi" w:cs="Arial"/>
          <w:sz w:val="22"/>
          <w:szCs w:val="22"/>
        </w:rPr>
        <w:t>W związku z tym w przedmiotowym przepisie zdef</w:t>
      </w:r>
      <w:r w:rsidRPr="00887C91">
        <w:rPr>
          <w:rFonts w:asciiTheme="minorHAnsi" w:hAnsiTheme="minorHAnsi" w:cs="Arial"/>
          <w:sz w:val="22"/>
          <w:szCs w:val="22"/>
        </w:rPr>
        <w:t>i</w:t>
      </w:r>
      <w:r w:rsidRPr="00887C91">
        <w:rPr>
          <w:rFonts w:asciiTheme="minorHAnsi" w:hAnsiTheme="minorHAnsi" w:cs="Arial"/>
          <w:sz w:val="22"/>
          <w:szCs w:val="22"/>
        </w:rPr>
        <w:t>niowano m. in.</w:t>
      </w:r>
      <w:r w:rsidR="00730411">
        <w:rPr>
          <w:rFonts w:asciiTheme="minorHAnsi" w:hAnsiTheme="minorHAnsi" w:cs="Arial"/>
          <w:sz w:val="22"/>
          <w:szCs w:val="22"/>
        </w:rPr>
        <w:t xml:space="preserve"> pojęcie:</w:t>
      </w:r>
    </w:p>
    <w:p w:rsidR="00730411" w:rsidRPr="00730411" w:rsidRDefault="00730411" w:rsidP="00730411">
      <w:pPr>
        <w:pStyle w:val="Bezodstpw"/>
        <w:numPr>
          <w:ilvl w:val="0"/>
          <w:numId w:val="33"/>
        </w:numPr>
        <w:spacing w:after="240" w:line="240" w:lineRule="exact"/>
        <w:rPr>
          <w:rFonts w:asciiTheme="minorHAnsi" w:hAnsiTheme="minorHAnsi"/>
          <w:sz w:val="22"/>
          <w:szCs w:val="22"/>
        </w:rPr>
      </w:pPr>
      <w:r w:rsidRPr="00730411">
        <w:rPr>
          <w:rFonts w:asciiTheme="minorHAnsi" w:hAnsiTheme="minorHAnsi"/>
          <w:sz w:val="22"/>
          <w:szCs w:val="22"/>
        </w:rPr>
        <w:t xml:space="preserve">mieszkania, </w:t>
      </w:r>
      <w:r w:rsidR="00E73E3E" w:rsidRPr="00730411">
        <w:rPr>
          <w:rFonts w:asciiTheme="minorHAnsi" w:hAnsiTheme="minorHAnsi"/>
          <w:sz w:val="22"/>
          <w:szCs w:val="22"/>
        </w:rPr>
        <w:t xml:space="preserve">rozumianego jako </w:t>
      </w:r>
      <w:r w:rsidR="00C328E2" w:rsidRPr="00730411">
        <w:rPr>
          <w:rFonts w:asciiTheme="minorHAnsi" w:hAnsiTheme="minorHAnsi"/>
          <w:sz w:val="22"/>
          <w:szCs w:val="22"/>
        </w:rPr>
        <w:t xml:space="preserve">samodzielny lokal mieszkalny w rozumieniu art. 2 ust. 2 zdanie pierwsze </w:t>
      </w:r>
      <w:r w:rsidR="00C328E2" w:rsidRPr="00730411">
        <w:rPr>
          <w:rFonts w:asciiTheme="minorHAnsi" w:hAnsiTheme="minorHAnsi"/>
          <w:i/>
          <w:sz w:val="22"/>
          <w:szCs w:val="22"/>
        </w:rPr>
        <w:t>ustawy z dnia 24 czerwca 1994 r. o własności lokali</w:t>
      </w:r>
      <w:r w:rsidR="00C328E2" w:rsidRPr="00730411">
        <w:rPr>
          <w:rFonts w:asciiTheme="minorHAnsi" w:hAnsiTheme="minorHAnsi"/>
          <w:sz w:val="22"/>
          <w:szCs w:val="22"/>
        </w:rPr>
        <w:t xml:space="preserve"> </w:t>
      </w:r>
      <w:r w:rsidR="00887C91" w:rsidRPr="00730411">
        <w:rPr>
          <w:rFonts w:asciiTheme="minorHAnsi" w:hAnsiTheme="minorHAnsi"/>
          <w:sz w:val="22"/>
          <w:szCs w:val="22"/>
        </w:rPr>
        <w:t xml:space="preserve">(Dz. U. z 2015 r. poz. 1892 oraz </w:t>
      </w:r>
      <w:r w:rsidR="005F6B51">
        <w:rPr>
          <w:rFonts w:asciiTheme="minorHAnsi" w:hAnsiTheme="minorHAnsi"/>
          <w:sz w:val="22"/>
          <w:szCs w:val="22"/>
        </w:rPr>
        <w:br/>
      </w:r>
      <w:r w:rsidR="00887C91" w:rsidRPr="00730411">
        <w:rPr>
          <w:rFonts w:asciiTheme="minorHAnsi" w:hAnsiTheme="minorHAnsi"/>
          <w:sz w:val="22"/>
          <w:szCs w:val="22"/>
        </w:rPr>
        <w:t>z 2017 r. poz. 1529), znajdujący się w budynku, w skład którego wchodzą co najmniej dwa l</w:t>
      </w:r>
      <w:r w:rsidR="00887C91" w:rsidRPr="00730411">
        <w:rPr>
          <w:rFonts w:asciiTheme="minorHAnsi" w:hAnsiTheme="minorHAnsi"/>
          <w:sz w:val="22"/>
          <w:szCs w:val="22"/>
        </w:rPr>
        <w:t>o</w:t>
      </w:r>
      <w:r w:rsidR="00887C91" w:rsidRPr="00730411">
        <w:rPr>
          <w:rFonts w:asciiTheme="minorHAnsi" w:hAnsiTheme="minorHAnsi"/>
          <w:sz w:val="22"/>
          <w:szCs w:val="22"/>
        </w:rPr>
        <w:t>kale</w:t>
      </w:r>
      <w:r>
        <w:rPr>
          <w:rFonts w:asciiTheme="minorHAnsi" w:hAnsiTheme="minorHAnsi"/>
          <w:sz w:val="22"/>
          <w:szCs w:val="22"/>
        </w:rPr>
        <w:t>; pojęcie mieszkania na gruncie projektowanej ustawy funkcjonuje przy tym wyłącznie na określenie lokalu</w:t>
      </w:r>
      <w:r w:rsidR="00DF6984">
        <w:rPr>
          <w:rFonts w:asciiTheme="minorHAnsi" w:hAnsiTheme="minorHAnsi"/>
          <w:sz w:val="22"/>
          <w:szCs w:val="22"/>
        </w:rPr>
        <w:t xml:space="preserve"> mieszkalnego</w:t>
      </w:r>
      <w:r>
        <w:rPr>
          <w:rFonts w:asciiTheme="minorHAnsi" w:hAnsiTheme="minorHAnsi"/>
          <w:sz w:val="22"/>
          <w:szCs w:val="22"/>
        </w:rPr>
        <w:t xml:space="preserve">, </w:t>
      </w:r>
      <w:r w:rsidR="00AF5DE3">
        <w:rPr>
          <w:rFonts w:asciiTheme="minorHAnsi" w:hAnsiTheme="minorHAnsi"/>
          <w:sz w:val="22"/>
          <w:szCs w:val="22"/>
        </w:rPr>
        <w:t xml:space="preserve">w związku </w:t>
      </w:r>
      <w:r>
        <w:rPr>
          <w:rFonts w:asciiTheme="minorHAnsi" w:hAnsiTheme="minorHAnsi"/>
          <w:sz w:val="22"/>
          <w:szCs w:val="22"/>
        </w:rPr>
        <w:t>z najmem którego mogą być stosowane dopłaty do czynszu</w:t>
      </w:r>
      <w:r w:rsidR="00713FB3">
        <w:rPr>
          <w:rFonts w:asciiTheme="minorHAnsi" w:hAnsiTheme="minorHAnsi"/>
          <w:sz w:val="22"/>
          <w:szCs w:val="22"/>
        </w:rPr>
        <w:t xml:space="preserve"> (i, jak wcześniej wspomniano, w związku z inwestycją mieszkaniową w rozumieniu przedmiotowej ustawy)</w:t>
      </w:r>
      <w:r>
        <w:rPr>
          <w:rFonts w:asciiTheme="minorHAnsi" w:hAnsiTheme="minorHAnsi"/>
          <w:sz w:val="22"/>
          <w:szCs w:val="22"/>
        </w:rPr>
        <w:t>;</w:t>
      </w:r>
    </w:p>
    <w:p w:rsidR="000D4424" w:rsidRDefault="00730411" w:rsidP="00730411">
      <w:pPr>
        <w:pStyle w:val="Bezodstpw"/>
        <w:numPr>
          <w:ilvl w:val="0"/>
          <w:numId w:val="33"/>
        </w:numPr>
        <w:spacing w:after="240" w:line="240" w:lineRule="exact"/>
        <w:rPr>
          <w:rFonts w:asciiTheme="minorHAnsi" w:hAnsiTheme="minorHAnsi"/>
          <w:sz w:val="22"/>
          <w:szCs w:val="22"/>
        </w:rPr>
      </w:pPr>
      <w:r w:rsidRPr="00730411">
        <w:rPr>
          <w:rFonts w:asciiTheme="minorHAnsi" w:hAnsiTheme="minorHAnsi"/>
          <w:sz w:val="22"/>
          <w:szCs w:val="22"/>
        </w:rPr>
        <w:t xml:space="preserve">inwestycji mieszkaniowej, </w:t>
      </w:r>
      <w:r w:rsidR="00E73E3E" w:rsidRPr="00730411">
        <w:rPr>
          <w:rFonts w:asciiTheme="minorHAnsi" w:hAnsiTheme="minorHAnsi"/>
          <w:sz w:val="22"/>
          <w:szCs w:val="22"/>
        </w:rPr>
        <w:t xml:space="preserve">czyli </w:t>
      </w:r>
      <w:r w:rsidR="00044BA5">
        <w:rPr>
          <w:rFonts w:asciiTheme="minorHAnsi" w:hAnsiTheme="minorHAnsi"/>
          <w:sz w:val="22"/>
          <w:szCs w:val="22"/>
        </w:rPr>
        <w:t xml:space="preserve">budowy </w:t>
      </w:r>
      <w:r w:rsidRPr="00730411">
        <w:rPr>
          <w:rFonts w:asciiTheme="minorHAnsi" w:hAnsiTheme="minorHAnsi"/>
          <w:sz w:val="22"/>
          <w:szCs w:val="22"/>
        </w:rPr>
        <w:t>budynk</w:t>
      </w:r>
      <w:r w:rsidR="00044BA5">
        <w:rPr>
          <w:rFonts w:asciiTheme="minorHAnsi" w:hAnsiTheme="minorHAnsi"/>
          <w:sz w:val="22"/>
          <w:szCs w:val="22"/>
        </w:rPr>
        <w:t>u</w:t>
      </w:r>
      <w:r w:rsidRPr="00730411">
        <w:rPr>
          <w:rFonts w:asciiTheme="minorHAnsi" w:hAnsiTheme="minorHAnsi"/>
          <w:sz w:val="22"/>
          <w:szCs w:val="22"/>
        </w:rPr>
        <w:t xml:space="preserve"> mieszkaln</w:t>
      </w:r>
      <w:r w:rsidR="00044BA5">
        <w:rPr>
          <w:rFonts w:asciiTheme="minorHAnsi" w:hAnsiTheme="minorHAnsi"/>
          <w:sz w:val="22"/>
          <w:szCs w:val="22"/>
        </w:rPr>
        <w:t>ego</w:t>
      </w:r>
      <w:r w:rsidRPr="00730411">
        <w:rPr>
          <w:rFonts w:asciiTheme="minorHAnsi" w:hAnsiTheme="minorHAnsi"/>
          <w:sz w:val="22"/>
          <w:szCs w:val="22"/>
        </w:rPr>
        <w:t>, w którym zostanie wyodrę</w:t>
      </w:r>
      <w:r w:rsidRPr="00730411">
        <w:rPr>
          <w:rFonts w:asciiTheme="minorHAnsi" w:hAnsiTheme="minorHAnsi"/>
          <w:sz w:val="22"/>
          <w:szCs w:val="22"/>
        </w:rPr>
        <w:t>b</w:t>
      </w:r>
      <w:r w:rsidRPr="00730411">
        <w:rPr>
          <w:rFonts w:asciiTheme="minorHAnsi" w:hAnsiTheme="minorHAnsi"/>
          <w:sz w:val="22"/>
          <w:szCs w:val="22"/>
        </w:rPr>
        <w:t>nione przynajmniej jedno mieszkanie</w:t>
      </w:r>
      <w:r>
        <w:rPr>
          <w:rFonts w:asciiTheme="minorHAnsi" w:hAnsiTheme="minorHAnsi"/>
          <w:sz w:val="22"/>
          <w:szCs w:val="22"/>
        </w:rPr>
        <w:t xml:space="preserve"> (tj. lokal, </w:t>
      </w:r>
      <w:r w:rsidR="00027D56">
        <w:rPr>
          <w:rFonts w:asciiTheme="minorHAnsi" w:hAnsiTheme="minorHAnsi"/>
          <w:sz w:val="22"/>
          <w:szCs w:val="22"/>
        </w:rPr>
        <w:t xml:space="preserve">w związku </w:t>
      </w:r>
      <w:r>
        <w:rPr>
          <w:rFonts w:asciiTheme="minorHAnsi" w:hAnsiTheme="minorHAnsi"/>
          <w:sz w:val="22"/>
          <w:szCs w:val="22"/>
        </w:rPr>
        <w:t>z najmem którego mogą być st</w:t>
      </w:r>
      <w:r>
        <w:rPr>
          <w:rFonts w:asciiTheme="minorHAnsi" w:hAnsiTheme="minorHAnsi"/>
          <w:sz w:val="22"/>
          <w:szCs w:val="22"/>
        </w:rPr>
        <w:t>o</w:t>
      </w:r>
      <w:r>
        <w:rPr>
          <w:rFonts w:asciiTheme="minorHAnsi" w:hAnsiTheme="minorHAnsi"/>
          <w:sz w:val="22"/>
          <w:szCs w:val="22"/>
        </w:rPr>
        <w:t>sowane dopłaty)</w:t>
      </w:r>
      <w:r w:rsidRPr="00730411">
        <w:rPr>
          <w:rFonts w:asciiTheme="minorHAnsi" w:hAnsiTheme="minorHAnsi"/>
          <w:sz w:val="22"/>
          <w:szCs w:val="22"/>
        </w:rPr>
        <w:t xml:space="preserve">, </w:t>
      </w:r>
      <w:r w:rsidR="00044BA5">
        <w:rPr>
          <w:rFonts w:asciiTheme="minorHAnsi" w:hAnsiTheme="minorHAnsi"/>
          <w:sz w:val="22"/>
          <w:szCs w:val="22"/>
        </w:rPr>
        <w:t>przebudowy budynku, w wyniku której nastąpi zmiana sposobu użytkow</w:t>
      </w:r>
      <w:r w:rsidR="00044BA5">
        <w:rPr>
          <w:rFonts w:asciiTheme="minorHAnsi" w:hAnsiTheme="minorHAnsi"/>
          <w:sz w:val="22"/>
          <w:szCs w:val="22"/>
        </w:rPr>
        <w:t>a</w:t>
      </w:r>
      <w:r w:rsidR="00044BA5">
        <w:rPr>
          <w:rFonts w:asciiTheme="minorHAnsi" w:hAnsiTheme="minorHAnsi"/>
          <w:sz w:val="22"/>
          <w:szCs w:val="22"/>
        </w:rPr>
        <w:t xml:space="preserve">nia </w:t>
      </w:r>
      <w:r w:rsidR="00092D2C">
        <w:rPr>
          <w:rFonts w:asciiTheme="minorHAnsi" w:hAnsiTheme="minorHAnsi"/>
          <w:sz w:val="22"/>
          <w:szCs w:val="22"/>
        </w:rPr>
        <w:br/>
      </w:r>
      <w:r w:rsidR="00044BA5">
        <w:rPr>
          <w:rFonts w:asciiTheme="minorHAnsi" w:hAnsiTheme="minorHAnsi"/>
          <w:sz w:val="22"/>
          <w:szCs w:val="22"/>
        </w:rPr>
        <w:t>z budynku niemieszkalnego na budynek mieszkalny, w którym zostanie wyodrębnione prz</w:t>
      </w:r>
      <w:r w:rsidR="00044BA5">
        <w:rPr>
          <w:rFonts w:asciiTheme="minorHAnsi" w:hAnsiTheme="minorHAnsi"/>
          <w:sz w:val="22"/>
          <w:szCs w:val="22"/>
        </w:rPr>
        <w:t>y</w:t>
      </w:r>
      <w:r w:rsidR="00044BA5">
        <w:rPr>
          <w:rFonts w:asciiTheme="minorHAnsi" w:hAnsiTheme="minorHAnsi"/>
          <w:sz w:val="22"/>
          <w:szCs w:val="22"/>
        </w:rPr>
        <w:t xml:space="preserve">najmniej jedno mieszkanie, </w:t>
      </w:r>
      <w:r w:rsidRPr="00730411">
        <w:rPr>
          <w:rFonts w:asciiTheme="minorHAnsi" w:hAnsiTheme="minorHAnsi"/>
          <w:sz w:val="22"/>
          <w:szCs w:val="22"/>
        </w:rPr>
        <w:t xml:space="preserve">albo wykonania robót budowlanych polegających na remoncie </w:t>
      </w:r>
      <w:r>
        <w:rPr>
          <w:rFonts w:asciiTheme="minorHAnsi" w:hAnsiTheme="minorHAnsi"/>
          <w:sz w:val="22"/>
          <w:szCs w:val="22"/>
        </w:rPr>
        <w:t xml:space="preserve">lub przebudowie </w:t>
      </w:r>
      <w:r w:rsidRPr="00730411">
        <w:rPr>
          <w:rFonts w:asciiTheme="minorHAnsi" w:hAnsiTheme="minorHAnsi"/>
          <w:sz w:val="22"/>
          <w:szCs w:val="22"/>
        </w:rPr>
        <w:t>budynku mieszkalnego znajdującego się na obszarze Specjalnej Strefy Rew</w:t>
      </w:r>
      <w:r w:rsidRPr="00730411">
        <w:rPr>
          <w:rFonts w:asciiTheme="minorHAnsi" w:hAnsiTheme="minorHAnsi"/>
          <w:sz w:val="22"/>
          <w:szCs w:val="22"/>
        </w:rPr>
        <w:t>i</w:t>
      </w:r>
      <w:r w:rsidRPr="00730411">
        <w:rPr>
          <w:rFonts w:asciiTheme="minorHAnsi" w:hAnsiTheme="minorHAnsi"/>
          <w:sz w:val="22"/>
          <w:szCs w:val="22"/>
        </w:rPr>
        <w:t xml:space="preserve">talizacji, o której mowa w </w:t>
      </w:r>
      <w:r w:rsidRPr="00730411">
        <w:rPr>
          <w:rFonts w:asciiTheme="minorHAnsi" w:hAnsiTheme="minorHAnsi"/>
          <w:i/>
          <w:sz w:val="22"/>
          <w:szCs w:val="22"/>
        </w:rPr>
        <w:t>ustawie z dnia 9 października 2015 r. o rewitalizacji</w:t>
      </w:r>
      <w:r>
        <w:rPr>
          <w:rFonts w:asciiTheme="minorHAnsi" w:hAnsiTheme="minorHAnsi"/>
          <w:sz w:val="22"/>
          <w:szCs w:val="22"/>
        </w:rPr>
        <w:t xml:space="preserve"> [(</w:t>
      </w:r>
      <w:r w:rsidRPr="00730411">
        <w:rPr>
          <w:rFonts w:asciiTheme="minorHAnsi" w:hAnsiTheme="minorHAnsi"/>
          <w:sz w:val="22"/>
          <w:szCs w:val="22"/>
        </w:rPr>
        <w:t>Dz. U. z 2017 r. poz. 1023, 1529 i 1566)</w:t>
      </w:r>
      <w:r>
        <w:rPr>
          <w:rFonts w:asciiTheme="minorHAnsi" w:hAnsiTheme="minorHAnsi"/>
          <w:sz w:val="22"/>
          <w:szCs w:val="22"/>
        </w:rPr>
        <w:t xml:space="preserve">; w tym przypadku również mieszkanie objęte tymi robotami </w:t>
      </w:r>
      <w:r w:rsidR="00044BA5">
        <w:rPr>
          <w:rFonts w:asciiTheme="minorHAnsi" w:hAnsiTheme="minorHAnsi"/>
          <w:sz w:val="22"/>
          <w:szCs w:val="22"/>
        </w:rPr>
        <w:t xml:space="preserve">będzie </w:t>
      </w:r>
      <w:r>
        <w:rPr>
          <w:rFonts w:asciiTheme="minorHAnsi" w:hAnsiTheme="minorHAnsi"/>
          <w:sz w:val="22"/>
          <w:szCs w:val="22"/>
        </w:rPr>
        <w:t xml:space="preserve">lokalem związanym z </w:t>
      </w:r>
      <w:r w:rsidR="001B383B">
        <w:rPr>
          <w:rFonts w:asciiTheme="minorHAnsi" w:hAnsiTheme="minorHAnsi"/>
          <w:sz w:val="22"/>
          <w:szCs w:val="22"/>
        </w:rPr>
        <w:t>możliwością</w:t>
      </w:r>
      <w:r>
        <w:rPr>
          <w:rFonts w:asciiTheme="minorHAnsi" w:hAnsiTheme="minorHAnsi"/>
          <w:sz w:val="22"/>
          <w:szCs w:val="22"/>
        </w:rPr>
        <w:t xml:space="preserve"> stosowania dopłat</w:t>
      </w:r>
      <w:r w:rsidR="00044BA5">
        <w:rPr>
          <w:rFonts w:asciiTheme="minorHAnsi" w:hAnsiTheme="minorHAnsi"/>
          <w:sz w:val="22"/>
          <w:szCs w:val="22"/>
        </w:rPr>
        <w:t>]</w:t>
      </w:r>
      <w:r>
        <w:rPr>
          <w:rFonts w:asciiTheme="minorHAnsi" w:hAnsiTheme="minorHAnsi"/>
          <w:sz w:val="22"/>
          <w:szCs w:val="22"/>
        </w:rPr>
        <w:t>;</w:t>
      </w:r>
    </w:p>
    <w:p w:rsidR="00F95C02" w:rsidRDefault="00F95C02" w:rsidP="00730411">
      <w:pPr>
        <w:pStyle w:val="Bezodstpw"/>
        <w:numPr>
          <w:ilvl w:val="0"/>
          <w:numId w:val="33"/>
        </w:numPr>
        <w:spacing w:after="240" w:line="240" w:lineRule="exact"/>
        <w:rPr>
          <w:rFonts w:asciiTheme="minorHAnsi" w:hAnsiTheme="minorHAnsi"/>
          <w:sz w:val="22"/>
          <w:szCs w:val="22"/>
        </w:rPr>
      </w:pPr>
      <w:r>
        <w:rPr>
          <w:rFonts w:asciiTheme="minorHAnsi" w:hAnsiTheme="minorHAnsi"/>
          <w:sz w:val="22"/>
          <w:szCs w:val="22"/>
        </w:rPr>
        <w:t>inwestora, którym</w:t>
      </w:r>
      <w:r w:rsidR="000C3228">
        <w:rPr>
          <w:rFonts w:asciiTheme="minorHAnsi" w:hAnsiTheme="minorHAnsi"/>
          <w:sz w:val="22"/>
          <w:szCs w:val="22"/>
        </w:rPr>
        <w:t>, w celu zagwarantowania równości w dostępie do systemu,</w:t>
      </w:r>
      <w:r>
        <w:rPr>
          <w:rFonts w:asciiTheme="minorHAnsi" w:hAnsiTheme="minorHAnsi"/>
          <w:sz w:val="22"/>
          <w:szCs w:val="22"/>
        </w:rPr>
        <w:t xml:space="preserve"> może być ka</w:t>
      </w:r>
      <w:r>
        <w:rPr>
          <w:rFonts w:asciiTheme="minorHAnsi" w:hAnsiTheme="minorHAnsi"/>
          <w:sz w:val="22"/>
          <w:szCs w:val="22"/>
        </w:rPr>
        <w:t>ż</w:t>
      </w:r>
      <w:r>
        <w:rPr>
          <w:rFonts w:asciiTheme="minorHAnsi" w:hAnsiTheme="minorHAnsi"/>
          <w:sz w:val="22"/>
          <w:szCs w:val="22"/>
        </w:rPr>
        <w:t xml:space="preserve">dy </w:t>
      </w:r>
      <w:r w:rsidRPr="00F95C02">
        <w:rPr>
          <w:rFonts w:asciiTheme="minorHAnsi" w:hAnsiTheme="minorHAnsi"/>
          <w:sz w:val="22"/>
          <w:szCs w:val="22"/>
        </w:rPr>
        <w:t>podmiot</w:t>
      </w:r>
      <w:r w:rsidR="001B383B">
        <w:rPr>
          <w:rFonts w:asciiTheme="minorHAnsi" w:hAnsiTheme="minorHAnsi"/>
          <w:sz w:val="22"/>
          <w:szCs w:val="22"/>
        </w:rPr>
        <w:t xml:space="preserve"> realizujący</w:t>
      </w:r>
      <w:r w:rsidRPr="00F95C02">
        <w:rPr>
          <w:rFonts w:asciiTheme="minorHAnsi" w:hAnsiTheme="minorHAnsi"/>
          <w:sz w:val="22"/>
          <w:szCs w:val="22"/>
        </w:rPr>
        <w:t xml:space="preserve"> inwestycję mieszkaniową</w:t>
      </w:r>
      <w:r>
        <w:rPr>
          <w:rFonts w:asciiTheme="minorHAnsi" w:hAnsiTheme="minorHAnsi"/>
          <w:sz w:val="22"/>
          <w:szCs w:val="22"/>
        </w:rPr>
        <w:t xml:space="preserve"> w rozumieniu ustawy, np. deweloper, tow</w:t>
      </w:r>
      <w:r>
        <w:rPr>
          <w:rFonts w:asciiTheme="minorHAnsi" w:hAnsiTheme="minorHAnsi"/>
          <w:sz w:val="22"/>
          <w:szCs w:val="22"/>
        </w:rPr>
        <w:t>a</w:t>
      </w:r>
      <w:r>
        <w:rPr>
          <w:rFonts w:asciiTheme="minorHAnsi" w:hAnsiTheme="minorHAnsi"/>
          <w:sz w:val="22"/>
          <w:szCs w:val="22"/>
        </w:rPr>
        <w:t>rzystwo budownictwa społecznego, spółdzielnia mieszkaniowa</w:t>
      </w:r>
      <w:r w:rsidR="00CF76D6">
        <w:rPr>
          <w:rFonts w:asciiTheme="minorHAnsi" w:hAnsiTheme="minorHAnsi"/>
          <w:sz w:val="22"/>
          <w:szCs w:val="22"/>
        </w:rPr>
        <w:t>, osoba fizyczna</w:t>
      </w:r>
      <w:r>
        <w:rPr>
          <w:rFonts w:asciiTheme="minorHAnsi" w:hAnsiTheme="minorHAnsi"/>
          <w:sz w:val="22"/>
          <w:szCs w:val="22"/>
        </w:rPr>
        <w:t xml:space="preserve"> etc.;</w:t>
      </w:r>
    </w:p>
    <w:p w:rsidR="00092D2C" w:rsidRDefault="00F95C02" w:rsidP="00B55AAA">
      <w:pPr>
        <w:pStyle w:val="Bezodstpw"/>
        <w:numPr>
          <w:ilvl w:val="0"/>
          <w:numId w:val="33"/>
        </w:numPr>
        <w:spacing w:after="240" w:line="240" w:lineRule="exact"/>
        <w:rPr>
          <w:rFonts w:asciiTheme="minorHAnsi" w:hAnsiTheme="minorHAnsi"/>
          <w:sz w:val="22"/>
          <w:szCs w:val="22"/>
        </w:rPr>
      </w:pPr>
      <w:r w:rsidRPr="00E319F5">
        <w:rPr>
          <w:rFonts w:asciiTheme="minorHAnsi" w:hAnsiTheme="minorHAnsi"/>
          <w:sz w:val="22"/>
          <w:szCs w:val="22"/>
        </w:rPr>
        <w:lastRenderedPageBreak/>
        <w:t>gospodarstwa domowego, tj. gospodarstwa prowadzonego przez najemcę (rozumianego również jako osoba ubiegająca się o zawarcie umowy najmu) albo przez najemcę wspólnie z</w:t>
      </w:r>
      <w:r w:rsidR="001B383B" w:rsidRPr="00E319F5">
        <w:rPr>
          <w:rFonts w:asciiTheme="minorHAnsi" w:hAnsiTheme="minorHAnsi"/>
          <w:sz w:val="22"/>
          <w:szCs w:val="22"/>
        </w:rPr>
        <w:t xml:space="preserve"> osobami </w:t>
      </w:r>
      <w:r w:rsidR="007B46DE" w:rsidRPr="00E319F5">
        <w:rPr>
          <w:rFonts w:asciiTheme="minorHAnsi" w:hAnsiTheme="minorHAnsi"/>
          <w:sz w:val="22"/>
          <w:szCs w:val="22"/>
        </w:rPr>
        <w:t>stale z nim zamieszkującymi</w:t>
      </w:r>
      <w:r w:rsidR="007E08FD" w:rsidRPr="00E319F5">
        <w:rPr>
          <w:rFonts w:asciiTheme="minorHAnsi" w:hAnsiTheme="minorHAnsi"/>
          <w:sz w:val="22"/>
          <w:szCs w:val="22"/>
        </w:rPr>
        <w:t xml:space="preserve">, np. </w:t>
      </w:r>
      <w:r w:rsidR="001B383B" w:rsidRPr="00E319F5">
        <w:rPr>
          <w:rFonts w:asciiTheme="minorHAnsi" w:hAnsiTheme="minorHAnsi"/>
          <w:sz w:val="22"/>
          <w:szCs w:val="22"/>
        </w:rPr>
        <w:t xml:space="preserve">pozostającymi z nim w relacji </w:t>
      </w:r>
      <w:r w:rsidR="00B9612D" w:rsidRPr="00E319F5">
        <w:rPr>
          <w:rFonts w:asciiTheme="minorHAnsi" w:hAnsiTheme="minorHAnsi"/>
          <w:sz w:val="22"/>
          <w:szCs w:val="22"/>
        </w:rPr>
        <w:t>wynikającej z pokr</w:t>
      </w:r>
      <w:r w:rsidR="00B9612D" w:rsidRPr="00E319F5">
        <w:rPr>
          <w:rFonts w:asciiTheme="minorHAnsi" w:hAnsiTheme="minorHAnsi"/>
          <w:sz w:val="22"/>
          <w:szCs w:val="22"/>
        </w:rPr>
        <w:t>e</w:t>
      </w:r>
      <w:r w:rsidR="00B9612D" w:rsidRPr="00E319F5">
        <w:rPr>
          <w:rFonts w:asciiTheme="minorHAnsi" w:hAnsiTheme="minorHAnsi"/>
          <w:sz w:val="22"/>
          <w:szCs w:val="22"/>
        </w:rPr>
        <w:t>wieństwa lub powinowactwa (w zakresie pojęcia mieści się gospodarstwo domowe prow</w:t>
      </w:r>
      <w:r w:rsidR="00B9612D" w:rsidRPr="00E319F5">
        <w:rPr>
          <w:rFonts w:asciiTheme="minorHAnsi" w:hAnsiTheme="minorHAnsi"/>
          <w:sz w:val="22"/>
          <w:szCs w:val="22"/>
        </w:rPr>
        <w:t>a</w:t>
      </w:r>
      <w:r w:rsidR="00B9612D" w:rsidRPr="00E319F5">
        <w:rPr>
          <w:rFonts w:asciiTheme="minorHAnsi" w:hAnsiTheme="minorHAnsi"/>
          <w:sz w:val="22"/>
          <w:szCs w:val="22"/>
        </w:rPr>
        <w:t>dzone przez najemcę, przykładowo, z</w:t>
      </w:r>
      <w:r w:rsidR="001B383B" w:rsidRPr="00E319F5">
        <w:rPr>
          <w:rFonts w:asciiTheme="minorHAnsi" w:hAnsiTheme="minorHAnsi"/>
          <w:sz w:val="22"/>
          <w:szCs w:val="22"/>
        </w:rPr>
        <w:t xml:space="preserve"> małżonkiem</w:t>
      </w:r>
      <w:r w:rsidR="00B9612D" w:rsidRPr="00E319F5">
        <w:rPr>
          <w:rFonts w:asciiTheme="minorHAnsi" w:hAnsiTheme="minorHAnsi"/>
          <w:sz w:val="22"/>
          <w:szCs w:val="22"/>
        </w:rPr>
        <w:t xml:space="preserve"> niebędącym współnajemcą mieszkania</w:t>
      </w:r>
      <w:r w:rsidR="001B383B" w:rsidRPr="00E319F5">
        <w:rPr>
          <w:rFonts w:asciiTheme="minorHAnsi" w:hAnsiTheme="minorHAnsi"/>
          <w:sz w:val="22"/>
          <w:szCs w:val="22"/>
        </w:rPr>
        <w:t>, konkubentem, dziećmi,</w:t>
      </w:r>
      <w:r w:rsidRPr="00E319F5">
        <w:rPr>
          <w:rFonts w:asciiTheme="minorHAnsi" w:hAnsiTheme="minorHAnsi"/>
          <w:sz w:val="22"/>
          <w:szCs w:val="22"/>
        </w:rPr>
        <w:t xml:space="preserve"> </w:t>
      </w:r>
      <w:r w:rsidR="00B9612D" w:rsidRPr="00E319F5">
        <w:rPr>
          <w:rFonts w:asciiTheme="minorHAnsi" w:hAnsiTheme="minorHAnsi"/>
          <w:sz w:val="22"/>
          <w:szCs w:val="22"/>
        </w:rPr>
        <w:t>dziadkami</w:t>
      </w:r>
      <w:r w:rsidR="001B383B" w:rsidRPr="00E319F5">
        <w:rPr>
          <w:rFonts w:asciiTheme="minorHAnsi" w:hAnsiTheme="minorHAnsi"/>
          <w:sz w:val="22"/>
          <w:szCs w:val="22"/>
        </w:rPr>
        <w:t xml:space="preserve">, </w:t>
      </w:r>
      <w:r w:rsidR="00B9612D" w:rsidRPr="00E319F5">
        <w:rPr>
          <w:rFonts w:asciiTheme="minorHAnsi" w:hAnsiTheme="minorHAnsi"/>
          <w:sz w:val="22"/>
          <w:szCs w:val="22"/>
        </w:rPr>
        <w:t>osobą przysposabiającą lub przysposobioną, rodze</w:t>
      </w:r>
      <w:r w:rsidR="00B9612D" w:rsidRPr="00E319F5">
        <w:rPr>
          <w:rFonts w:asciiTheme="minorHAnsi" w:hAnsiTheme="minorHAnsi"/>
          <w:sz w:val="22"/>
          <w:szCs w:val="22"/>
        </w:rPr>
        <w:t>ń</w:t>
      </w:r>
      <w:r w:rsidR="00B9612D" w:rsidRPr="00E319F5">
        <w:rPr>
          <w:rFonts w:asciiTheme="minorHAnsi" w:hAnsiTheme="minorHAnsi"/>
          <w:sz w:val="22"/>
          <w:szCs w:val="22"/>
        </w:rPr>
        <w:t xml:space="preserve">stwem, teściami, </w:t>
      </w:r>
      <w:r w:rsidR="007E08FD" w:rsidRPr="00E319F5">
        <w:rPr>
          <w:rFonts w:asciiTheme="minorHAnsi" w:hAnsiTheme="minorHAnsi"/>
          <w:sz w:val="22"/>
          <w:szCs w:val="22"/>
        </w:rPr>
        <w:t>ale również z innymi osobami</w:t>
      </w:r>
      <w:r w:rsidR="00B9612D" w:rsidRPr="00E319F5">
        <w:rPr>
          <w:rFonts w:asciiTheme="minorHAnsi" w:hAnsiTheme="minorHAnsi"/>
          <w:sz w:val="22"/>
          <w:szCs w:val="22"/>
        </w:rPr>
        <w:t xml:space="preserve">, </w:t>
      </w:r>
      <w:r w:rsidR="00CC6E57" w:rsidRPr="00E319F5">
        <w:rPr>
          <w:rFonts w:asciiTheme="minorHAnsi" w:hAnsiTheme="minorHAnsi"/>
          <w:sz w:val="22"/>
          <w:szCs w:val="22"/>
        </w:rPr>
        <w:t>także niespokrewnionymi i niespowinow</w:t>
      </w:r>
      <w:r w:rsidR="00CC6E57" w:rsidRPr="00E319F5">
        <w:rPr>
          <w:rFonts w:asciiTheme="minorHAnsi" w:hAnsiTheme="minorHAnsi"/>
          <w:sz w:val="22"/>
          <w:szCs w:val="22"/>
        </w:rPr>
        <w:t>a</w:t>
      </w:r>
      <w:r w:rsidR="00CC6E57" w:rsidRPr="00E319F5">
        <w:rPr>
          <w:rFonts w:asciiTheme="minorHAnsi" w:hAnsiTheme="minorHAnsi"/>
          <w:sz w:val="22"/>
          <w:szCs w:val="22"/>
        </w:rPr>
        <w:t xml:space="preserve">conymi z najemcą, </w:t>
      </w:r>
      <w:r w:rsidR="00B9612D" w:rsidRPr="00E319F5">
        <w:rPr>
          <w:rFonts w:asciiTheme="minorHAnsi" w:hAnsiTheme="minorHAnsi"/>
          <w:sz w:val="22"/>
          <w:szCs w:val="22"/>
        </w:rPr>
        <w:t>pod warunkiem</w:t>
      </w:r>
      <w:r w:rsidR="004D174D" w:rsidRPr="00E319F5">
        <w:rPr>
          <w:rFonts w:asciiTheme="minorHAnsi" w:hAnsiTheme="minorHAnsi"/>
          <w:sz w:val="22"/>
          <w:szCs w:val="22"/>
        </w:rPr>
        <w:t>,</w:t>
      </w:r>
      <w:r w:rsidR="00B9612D" w:rsidRPr="00E319F5">
        <w:rPr>
          <w:rFonts w:asciiTheme="minorHAnsi" w:hAnsiTheme="minorHAnsi"/>
          <w:sz w:val="22"/>
          <w:szCs w:val="22"/>
        </w:rPr>
        <w:t xml:space="preserve"> że osoby te</w:t>
      </w:r>
      <w:r w:rsidR="007E08FD" w:rsidRPr="00E319F5">
        <w:rPr>
          <w:rFonts w:asciiTheme="minorHAnsi" w:hAnsiTheme="minorHAnsi"/>
          <w:sz w:val="22"/>
          <w:szCs w:val="22"/>
        </w:rPr>
        <w:t>, jak wspomniano,</w:t>
      </w:r>
      <w:r w:rsidR="007B46DE" w:rsidRPr="00E319F5">
        <w:rPr>
          <w:rFonts w:asciiTheme="minorHAnsi" w:hAnsiTheme="minorHAnsi"/>
          <w:sz w:val="22"/>
          <w:szCs w:val="22"/>
        </w:rPr>
        <w:t xml:space="preserve"> stale zamieszkują </w:t>
      </w:r>
      <w:r w:rsidR="00B9612D" w:rsidRPr="00E319F5">
        <w:rPr>
          <w:rFonts w:asciiTheme="minorHAnsi" w:hAnsiTheme="minorHAnsi"/>
          <w:sz w:val="22"/>
          <w:szCs w:val="22"/>
        </w:rPr>
        <w:t>z naje</w:t>
      </w:r>
      <w:r w:rsidR="00B9612D" w:rsidRPr="00E319F5">
        <w:rPr>
          <w:rFonts w:asciiTheme="minorHAnsi" w:hAnsiTheme="minorHAnsi"/>
          <w:sz w:val="22"/>
          <w:szCs w:val="22"/>
        </w:rPr>
        <w:t>m</w:t>
      </w:r>
      <w:r w:rsidR="00B9612D" w:rsidRPr="00E319F5">
        <w:rPr>
          <w:rFonts w:asciiTheme="minorHAnsi" w:hAnsiTheme="minorHAnsi"/>
          <w:sz w:val="22"/>
          <w:szCs w:val="22"/>
        </w:rPr>
        <w:t>cą</w:t>
      </w:r>
      <w:r w:rsidR="00105D51">
        <w:rPr>
          <w:rFonts w:asciiTheme="minorHAnsi" w:hAnsiTheme="minorHAnsi"/>
          <w:sz w:val="22"/>
          <w:szCs w:val="22"/>
        </w:rPr>
        <w:t>; tak szeroka definicja gospodarstwa jest motywowana celami społecznym i proinwestycy</w:t>
      </w:r>
      <w:r w:rsidR="00105D51">
        <w:rPr>
          <w:rFonts w:asciiTheme="minorHAnsi" w:hAnsiTheme="minorHAnsi"/>
          <w:sz w:val="22"/>
          <w:szCs w:val="22"/>
        </w:rPr>
        <w:t>j</w:t>
      </w:r>
      <w:r w:rsidR="00105D51">
        <w:rPr>
          <w:rFonts w:asciiTheme="minorHAnsi" w:hAnsiTheme="minorHAnsi"/>
          <w:sz w:val="22"/>
          <w:szCs w:val="22"/>
        </w:rPr>
        <w:t>nym projektowanej ustawy; uwzględnienie</w:t>
      </w:r>
      <w:r w:rsidR="00105D51" w:rsidRPr="00105D51">
        <w:rPr>
          <w:rFonts w:asciiTheme="minorHAnsi" w:hAnsiTheme="minorHAnsi"/>
          <w:sz w:val="22"/>
          <w:szCs w:val="22"/>
        </w:rPr>
        <w:t xml:space="preserve"> </w:t>
      </w:r>
      <w:r w:rsidR="00105D51">
        <w:rPr>
          <w:rFonts w:asciiTheme="minorHAnsi" w:hAnsiTheme="minorHAnsi"/>
          <w:sz w:val="22"/>
          <w:szCs w:val="22"/>
        </w:rPr>
        <w:t>różnych sytuacji faktycznych powoduje</w:t>
      </w:r>
      <w:r w:rsidR="00105D51" w:rsidRPr="00105D51">
        <w:rPr>
          <w:rFonts w:asciiTheme="minorHAnsi" w:hAnsiTheme="minorHAnsi"/>
          <w:sz w:val="22"/>
          <w:szCs w:val="22"/>
        </w:rPr>
        <w:t xml:space="preserve"> zwiększ</w:t>
      </w:r>
      <w:r w:rsidR="00105D51">
        <w:rPr>
          <w:rFonts w:asciiTheme="minorHAnsi" w:hAnsiTheme="minorHAnsi"/>
          <w:sz w:val="22"/>
          <w:szCs w:val="22"/>
        </w:rPr>
        <w:t>e</w:t>
      </w:r>
      <w:r w:rsidR="00105D51">
        <w:rPr>
          <w:rFonts w:asciiTheme="minorHAnsi" w:hAnsiTheme="minorHAnsi"/>
          <w:sz w:val="22"/>
          <w:szCs w:val="22"/>
        </w:rPr>
        <w:t>nie liczby</w:t>
      </w:r>
      <w:r w:rsidR="00105D51" w:rsidRPr="00105D51">
        <w:rPr>
          <w:rFonts w:asciiTheme="minorHAnsi" w:hAnsiTheme="minorHAnsi"/>
          <w:sz w:val="22"/>
          <w:szCs w:val="22"/>
        </w:rPr>
        <w:t xml:space="preserve"> poten</w:t>
      </w:r>
      <w:r w:rsidR="00105D51">
        <w:rPr>
          <w:rFonts w:asciiTheme="minorHAnsi" w:hAnsiTheme="minorHAnsi"/>
          <w:sz w:val="22"/>
          <w:szCs w:val="22"/>
        </w:rPr>
        <w:t>cjalnych beneficjentów wsparcia, umożliwiając dotarcie</w:t>
      </w:r>
      <w:r w:rsidR="00105D51" w:rsidRPr="00105D51">
        <w:rPr>
          <w:rFonts w:asciiTheme="minorHAnsi" w:hAnsiTheme="minorHAnsi"/>
          <w:sz w:val="22"/>
          <w:szCs w:val="22"/>
        </w:rPr>
        <w:t xml:space="preserve"> z pomocą do wszys</w:t>
      </w:r>
      <w:r w:rsidR="00105D51" w:rsidRPr="00105D51">
        <w:rPr>
          <w:rFonts w:asciiTheme="minorHAnsi" w:hAnsiTheme="minorHAnsi"/>
          <w:sz w:val="22"/>
          <w:szCs w:val="22"/>
        </w:rPr>
        <w:t>t</w:t>
      </w:r>
      <w:r w:rsidR="00105D51" w:rsidRPr="00105D51">
        <w:rPr>
          <w:rFonts w:asciiTheme="minorHAnsi" w:hAnsiTheme="minorHAnsi"/>
          <w:sz w:val="22"/>
          <w:szCs w:val="22"/>
        </w:rPr>
        <w:t>kich potrzebujących</w:t>
      </w:r>
      <w:r w:rsidR="00B9612D" w:rsidRPr="00105D51">
        <w:rPr>
          <w:rFonts w:asciiTheme="minorHAnsi" w:hAnsiTheme="minorHAnsi"/>
          <w:sz w:val="22"/>
          <w:szCs w:val="22"/>
        </w:rPr>
        <w:t>)</w:t>
      </w:r>
      <w:r w:rsidRPr="00105D51">
        <w:rPr>
          <w:rFonts w:asciiTheme="minorHAnsi" w:hAnsiTheme="minorHAnsi"/>
          <w:sz w:val="22"/>
          <w:szCs w:val="22"/>
        </w:rPr>
        <w:t xml:space="preserve">; </w:t>
      </w:r>
    </w:p>
    <w:p w:rsidR="00F90FD4" w:rsidRPr="00092D2C" w:rsidRDefault="00F95C02" w:rsidP="00F90FD4">
      <w:pPr>
        <w:pStyle w:val="Bezodstpw"/>
        <w:numPr>
          <w:ilvl w:val="0"/>
          <w:numId w:val="33"/>
        </w:numPr>
        <w:spacing w:after="240" w:line="240" w:lineRule="exact"/>
        <w:rPr>
          <w:rFonts w:asciiTheme="minorHAnsi" w:hAnsiTheme="minorHAnsi"/>
          <w:sz w:val="22"/>
          <w:szCs w:val="22"/>
        </w:rPr>
      </w:pPr>
      <w:r>
        <w:rPr>
          <w:rFonts w:asciiTheme="minorHAnsi" w:hAnsiTheme="minorHAnsi"/>
          <w:sz w:val="22"/>
          <w:szCs w:val="22"/>
        </w:rPr>
        <w:t xml:space="preserve">pierwszego zasiedlenia, stanowiącego </w:t>
      </w:r>
      <w:r w:rsidRPr="00F95C02">
        <w:rPr>
          <w:rFonts w:asciiTheme="minorHAnsi" w:hAnsiTheme="minorHAnsi"/>
          <w:sz w:val="22"/>
          <w:szCs w:val="22"/>
        </w:rPr>
        <w:t xml:space="preserve">pierwsze oddanie do używania mieszkania </w:t>
      </w:r>
      <w:r>
        <w:rPr>
          <w:rFonts w:asciiTheme="minorHAnsi" w:hAnsiTheme="minorHAnsi"/>
          <w:sz w:val="22"/>
          <w:szCs w:val="22"/>
        </w:rPr>
        <w:t>objętego prawem do dopłat</w:t>
      </w:r>
      <w:r w:rsidRPr="00F95C02">
        <w:rPr>
          <w:rFonts w:asciiTheme="minorHAnsi" w:hAnsiTheme="minorHAnsi"/>
          <w:sz w:val="22"/>
          <w:szCs w:val="22"/>
        </w:rPr>
        <w:t xml:space="preserve"> na podstawie umowy najmu </w:t>
      </w:r>
      <w:r>
        <w:rPr>
          <w:rFonts w:asciiTheme="minorHAnsi" w:hAnsiTheme="minorHAnsi"/>
          <w:sz w:val="22"/>
          <w:szCs w:val="22"/>
        </w:rPr>
        <w:t xml:space="preserve">(przez to pojęcie rozumie się zatem pierwsze </w:t>
      </w:r>
      <w:r w:rsidRPr="00F95C02">
        <w:rPr>
          <w:rFonts w:asciiTheme="minorHAnsi" w:hAnsiTheme="minorHAnsi"/>
          <w:sz w:val="22"/>
          <w:szCs w:val="22"/>
        </w:rPr>
        <w:t>po zakończeniu inwestycji mieszkaniowej w rozumieni</w:t>
      </w:r>
      <w:r>
        <w:rPr>
          <w:rFonts w:asciiTheme="minorHAnsi" w:hAnsiTheme="minorHAnsi"/>
          <w:sz w:val="22"/>
          <w:szCs w:val="22"/>
        </w:rPr>
        <w:t>u niniejszej ustawy</w:t>
      </w:r>
      <w:r w:rsidRPr="00F95C02">
        <w:rPr>
          <w:rFonts w:asciiTheme="minorHAnsi" w:hAnsiTheme="minorHAnsi"/>
          <w:sz w:val="22"/>
          <w:szCs w:val="22"/>
        </w:rPr>
        <w:t xml:space="preserve"> oddanie na po</w:t>
      </w:r>
      <w:r w:rsidRPr="00F95C02">
        <w:rPr>
          <w:rFonts w:asciiTheme="minorHAnsi" w:hAnsiTheme="minorHAnsi"/>
          <w:sz w:val="22"/>
          <w:szCs w:val="22"/>
        </w:rPr>
        <w:t>d</w:t>
      </w:r>
      <w:r w:rsidRPr="00F95C02">
        <w:rPr>
          <w:rFonts w:asciiTheme="minorHAnsi" w:hAnsiTheme="minorHAnsi"/>
          <w:sz w:val="22"/>
          <w:szCs w:val="22"/>
        </w:rPr>
        <w:t xml:space="preserve">stawie umowy najmu mieszkania do używania, czyli oddanie mieszkania do </w:t>
      </w:r>
      <w:r w:rsidR="00014447">
        <w:rPr>
          <w:rFonts w:asciiTheme="minorHAnsi" w:hAnsiTheme="minorHAnsi"/>
          <w:sz w:val="22"/>
          <w:szCs w:val="22"/>
        </w:rPr>
        <w:t>używania</w:t>
      </w:r>
      <w:r w:rsidR="00014447" w:rsidRPr="00F95C02">
        <w:rPr>
          <w:rFonts w:asciiTheme="minorHAnsi" w:hAnsiTheme="minorHAnsi"/>
          <w:sz w:val="22"/>
          <w:szCs w:val="22"/>
        </w:rPr>
        <w:t xml:space="preserve"> </w:t>
      </w:r>
      <w:r w:rsidRPr="00F95C02">
        <w:rPr>
          <w:rFonts w:asciiTheme="minorHAnsi" w:hAnsiTheme="minorHAnsi"/>
          <w:sz w:val="22"/>
          <w:szCs w:val="22"/>
        </w:rPr>
        <w:t>pier</w:t>
      </w:r>
      <w:r w:rsidRPr="00F95C02">
        <w:rPr>
          <w:rFonts w:asciiTheme="minorHAnsi" w:hAnsiTheme="minorHAnsi"/>
          <w:sz w:val="22"/>
          <w:szCs w:val="22"/>
        </w:rPr>
        <w:t>w</w:t>
      </w:r>
      <w:r w:rsidRPr="00F95C02">
        <w:rPr>
          <w:rFonts w:asciiTheme="minorHAnsi" w:hAnsiTheme="minorHAnsi"/>
          <w:sz w:val="22"/>
          <w:szCs w:val="22"/>
        </w:rPr>
        <w:t xml:space="preserve">szemu najemcy </w:t>
      </w:r>
      <w:r w:rsidR="00D56889">
        <w:rPr>
          <w:rFonts w:asciiTheme="minorHAnsi" w:hAnsiTheme="minorHAnsi"/>
          <w:sz w:val="22"/>
          <w:szCs w:val="22"/>
        </w:rPr>
        <w:t>w „historii” tego</w:t>
      </w:r>
      <w:r w:rsidRPr="00F95C02">
        <w:rPr>
          <w:rFonts w:asciiTheme="minorHAnsi" w:hAnsiTheme="minorHAnsi"/>
          <w:sz w:val="22"/>
          <w:szCs w:val="22"/>
        </w:rPr>
        <w:t xml:space="preserve"> mieszkania</w:t>
      </w:r>
      <w:r w:rsidR="00014447">
        <w:rPr>
          <w:rFonts w:asciiTheme="minorHAnsi" w:hAnsiTheme="minorHAnsi"/>
          <w:sz w:val="22"/>
          <w:szCs w:val="22"/>
        </w:rPr>
        <w:t xml:space="preserve"> po zakończeniu inwestycji, również tej polegaj</w:t>
      </w:r>
      <w:r w:rsidR="00014447">
        <w:rPr>
          <w:rFonts w:asciiTheme="minorHAnsi" w:hAnsiTheme="minorHAnsi"/>
          <w:sz w:val="22"/>
          <w:szCs w:val="22"/>
        </w:rPr>
        <w:t>ą</w:t>
      </w:r>
      <w:r w:rsidR="00014447">
        <w:rPr>
          <w:rFonts w:asciiTheme="minorHAnsi" w:hAnsiTheme="minorHAnsi"/>
          <w:sz w:val="22"/>
          <w:szCs w:val="22"/>
        </w:rPr>
        <w:t>cej na remoncie</w:t>
      </w:r>
      <w:r>
        <w:rPr>
          <w:rFonts w:asciiTheme="minorHAnsi" w:hAnsiTheme="minorHAnsi"/>
          <w:sz w:val="22"/>
          <w:szCs w:val="22"/>
        </w:rPr>
        <w:t>)</w:t>
      </w:r>
      <w:r w:rsidR="00014447">
        <w:rPr>
          <w:rFonts w:asciiTheme="minorHAnsi" w:hAnsiTheme="minorHAnsi"/>
          <w:sz w:val="22"/>
          <w:szCs w:val="22"/>
        </w:rPr>
        <w:t>; w</w:t>
      </w:r>
      <w:r w:rsidR="00CF76D6">
        <w:rPr>
          <w:rFonts w:asciiTheme="minorHAnsi" w:hAnsiTheme="minorHAnsi"/>
          <w:sz w:val="22"/>
          <w:szCs w:val="22"/>
        </w:rPr>
        <w:t xml:space="preserve"> ramach tej definicji doprecyzowano również, że możliwa jest sytuacja, </w:t>
      </w:r>
      <w:r w:rsidR="00014447">
        <w:rPr>
          <w:rFonts w:asciiTheme="minorHAnsi" w:hAnsiTheme="minorHAnsi"/>
          <w:sz w:val="22"/>
          <w:szCs w:val="22"/>
        </w:rPr>
        <w:t>w której</w:t>
      </w:r>
      <w:r w:rsidR="00CF76D6">
        <w:rPr>
          <w:rFonts w:asciiTheme="minorHAnsi" w:hAnsiTheme="minorHAnsi"/>
          <w:sz w:val="22"/>
          <w:szCs w:val="22"/>
        </w:rPr>
        <w:t xml:space="preserve"> inwestor po zakończeniu </w:t>
      </w:r>
      <w:r w:rsidR="00014447">
        <w:rPr>
          <w:rFonts w:asciiTheme="minorHAnsi" w:hAnsiTheme="minorHAnsi"/>
          <w:sz w:val="22"/>
          <w:szCs w:val="22"/>
        </w:rPr>
        <w:t xml:space="preserve">inwestycji </w:t>
      </w:r>
      <w:r w:rsidR="00CF76D6">
        <w:rPr>
          <w:rFonts w:asciiTheme="minorHAnsi" w:hAnsiTheme="minorHAnsi"/>
          <w:sz w:val="22"/>
          <w:szCs w:val="22"/>
        </w:rPr>
        <w:t>sprzedaje mieszkania innemu podmiotowi prow</w:t>
      </w:r>
      <w:r w:rsidR="00CF76D6">
        <w:rPr>
          <w:rFonts w:asciiTheme="minorHAnsi" w:hAnsiTheme="minorHAnsi"/>
          <w:sz w:val="22"/>
          <w:szCs w:val="22"/>
        </w:rPr>
        <w:t>a</w:t>
      </w:r>
      <w:r w:rsidR="00CF76D6">
        <w:rPr>
          <w:rFonts w:asciiTheme="minorHAnsi" w:hAnsiTheme="minorHAnsi"/>
          <w:sz w:val="22"/>
          <w:szCs w:val="22"/>
        </w:rPr>
        <w:t>dzącemu działalność gospodarczą w zakresie wynajmu mieszkań</w:t>
      </w:r>
      <w:r w:rsidR="00014447">
        <w:rPr>
          <w:rFonts w:asciiTheme="minorHAnsi" w:hAnsiTheme="minorHAnsi"/>
          <w:sz w:val="22"/>
          <w:szCs w:val="22"/>
        </w:rPr>
        <w:t>;</w:t>
      </w:r>
      <w:r w:rsidR="00CF76D6">
        <w:rPr>
          <w:rFonts w:asciiTheme="minorHAnsi" w:hAnsiTheme="minorHAnsi"/>
          <w:sz w:val="22"/>
          <w:szCs w:val="22"/>
        </w:rPr>
        <w:t xml:space="preserve"> </w:t>
      </w:r>
      <w:r w:rsidR="00014447">
        <w:rPr>
          <w:rFonts w:asciiTheme="minorHAnsi" w:hAnsiTheme="minorHAnsi"/>
          <w:sz w:val="22"/>
          <w:szCs w:val="22"/>
        </w:rPr>
        <w:t>p</w:t>
      </w:r>
      <w:r w:rsidR="00CF76D6">
        <w:rPr>
          <w:rFonts w:asciiTheme="minorHAnsi" w:hAnsiTheme="minorHAnsi"/>
          <w:sz w:val="22"/>
          <w:szCs w:val="22"/>
        </w:rPr>
        <w:t>rzepis ten jednoznacznie przesądza</w:t>
      </w:r>
      <w:r w:rsidR="00014447">
        <w:rPr>
          <w:rFonts w:asciiTheme="minorHAnsi" w:hAnsiTheme="minorHAnsi"/>
          <w:sz w:val="22"/>
          <w:szCs w:val="22"/>
        </w:rPr>
        <w:t xml:space="preserve"> również</w:t>
      </w:r>
      <w:r w:rsidR="00CF76D6">
        <w:rPr>
          <w:rFonts w:asciiTheme="minorHAnsi" w:hAnsiTheme="minorHAnsi"/>
          <w:sz w:val="22"/>
          <w:szCs w:val="22"/>
        </w:rPr>
        <w:t>, że inwestor może działa</w:t>
      </w:r>
      <w:r w:rsidR="00014447">
        <w:rPr>
          <w:rFonts w:asciiTheme="minorHAnsi" w:hAnsiTheme="minorHAnsi"/>
          <w:sz w:val="22"/>
          <w:szCs w:val="22"/>
        </w:rPr>
        <w:t>ć</w:t>
      </w:r>
      <w:r w:rsidR="00CF76D6">
        <w:rPr>
          <w:rFonts w:asciiTheme="minorHAnsi" w:hAnsiTheme="minorHAnsi"/>
          <w:sz w:val="22"/>
          <w:szCs w:val="22"/>
        </w:rPr>
        <w:t xml:space="preserve"> </w:t>
      </w:r>
      <w:r w:rsidR="00014447">
        <w:rPr>
          <w:rFonts w:asciiTheme="minorHAnsi" w:hAnsiTheme="minorHAnsi"/>
          <w:sz w:val="22"/>
          <w:szCs w:val="22"/>
        </w:rPr>
        <w:t xml:space="preserve">także </w:t>
      </w:r>
      <w:r w:rsidR="00CF76D6">
        <w:rPr>
          <w:rFonts w:asciiTheme="minorHAnsi" w:hAnsiTheme="minorHAnsi"/>
          <w:sz w:val="22"/>
          <w:szCs w:val="22"/>
        </w:rPr>
        <w:t>przez pośrednika, który na pod</w:t>
      </w:r>
      <w:r w:rsidR="00B55AAA">
        <w:rPr>
          <w:rFonts w:asciiTheme="minorHAnsi" w:hAnsiTheme="minorHAnsi"/>
          <w:sz w:val="22"/>
          <w:szCs w:val="22"/>
        </w:rPr>
        <w:t xml:space="preserve">stawie </w:t>
      </w:r>
      <w:r w:rsidR="00CF76D6">
        <w:rPr>
          <w:rFonts w:asciiTheme="minorHAnsi" w:hAnsiTheme="minorHAnsi"/>
          <w:sz w:val="22"/>
          <w:szCs w:val="22"/>
        </w:rPr>
        <w:t>umowy</w:t>
      </w:r>
      <w:r w:rsidR="00B55AAA">
        <w:rPr>
          <w:rFonts w:asciiTheme="minorHAnsi" w:hAnsiTheme="minorHAnsi"/>
          <w:sz w:val="22"/>
          <w:szCs w:val="22"/>
        </w:rPr>
        <w:t xml:space="preserve"> </w:t>
      </w:r>
      <w:r w:rsidR="00CF76D6" w:rsidRPr="00B55AAA">
        <w:rPr>
          <w:rFonts w:asciiTheme="minorHAnsi" w:hAnsiTheme="minorHAnsi"/>
          <w:sz w:val="22"/>
          <w:szCs w:val="22"/>
        </w:rPr>
        <w:t>z inwestorem dokonuje w jego imieniu czynności związan</w:t>
      </w:r>
      <w:r w:rsidR="00014447" w:rsidRPr="00B55AAA">
        <w:rPr>
          <w:rFonts w:asciiTheme="minorHAnsi" w:hAnsiTheme="minorHAnsi"/>
          <w:sz w:val="22"/>
          <w:szCs w:val="22"/>
        </w:rPr>
        <w:t>ych</w:t>
      </w:r>
      <w:r w:rsidR="00CF76D6" w:rsidRPr="00B55AAA">
        <w:rPr>
          <w:rFonts w:asciiTheme="minorHAnsi" w:hAnsiTheme="minorHAnsi"/>
          <w:sz w:val="22"/>
          <w:szCs w:val="22"/>
        </w:rPr>
        <w:t xml:space="preserve"> z najmem (np. zawiera um</w:t>
      </w:r>
      <w:r w:rsidR="00014447" w:rsidRPr="00B55AAA">
        <w:rPr>
          <w:rFonts w:asciiTheme="minorHAnsi" w:hAnsiTheme="minorHAnsi"/>
          <w:sz w:val="22"/>
          <w:szCs w:val="22"/>
        </w:rPr>
        <w:t>owy</w:t>
      </w:r>
      <w:r w:rsidR="00CF76D6" w:rsidRPr="00B55AAA">
        <w:rPr>
          <w:rFonts w:asciiTheme="minorHAnsi" w:hAnsiTheme="minorHAnsi"/>
          <w:sz w:val="22"/>
          <w:szCs w:val="22"/>
        </w:rPr>
        <w:t xml:space="preserve"> najmu, zarządz</w:t>
      </w:r>
      <w:r w:rsidR="00014447" w:rsidRPr="00B55AAA">
        <w:rPr>
          <w:rFonts w:asciiTheme="minorHAnsi" w:hAnsiTheme="minorHAnsi"/>
          <w:sz w:val="22"/>
          <w:szCs w:val="22"/>
        </w:rPr>
        <w:t>a</w:t>
      </w:r>
      <w:r w:rsidR="00CF76D6" w:rsidRPr="00B55AAA">
        <w:rPr>
          <w:rFonts w:asciiTheme="minorHAnsi" w:hAnsiTheme="minorHAnsi"/>
          <w:sz w:val="22"/>
          <w:szCs w:val="22"/>
        </w:rPr>
        <w:t xml:space="preserve"> budynkiem, windyk</w:t>
      </w:r>
      <w:r w:rsidR="00014447" w:rsidRPr="00B55AAA">
        <w:rPr>
          <w:rFonts w:asciiTheme="minorHAnsi" w:hAnsiTheme="minorHAnsi"/>
          <w:sz w:val="22"/>
          <w:szCs w:val="22"/>
        </w:rPr>
        <w:t>uje</w:t>
      </w:r>
      <w:r w:rsidR="00CF76D6" w:rsidRPr="00B55AAA">
        <w:rPr>
          <w:rFonts w:asciiTheme="minorHAnsi" w:hAnsiTheme="minorHAnsi"/>
          <w:sz w:val="22"/>
          <w:szCs w:val="22"/>
        </w:rPr>
        <w:t xml:space="preserve"> należności czynszow</w:t>
      </w:r>
      <w:r w:rsidR="00014447" w:rsidRPr="00B55AAA">
        <w:rPr>
          <w:rFonts w:asciiTheme="minorHAnsi" w:hAnsiTheme="minorHAnsi"/>
          <w:sz w:val="22"/>
          <w:szCs w:val="22"/>
        </w:rPr>
        <w:t>e</w:t>
      </w:r>
      <w:r w:rsidR="00CF76D6" w:rsidRPr="00B55AAA">
        <w:rPr>
          <w:rFonts w:asciiTheme="minorHAnsi" w:hAnsiTheme="minorHAnsi"/>
          <w:sz w:val="22"/>
          <w:szCs w:val="22"/>
        </w:rPr>
        <w:t xml:space="preserve"> etc.). </w:t>
      </w:r>
    </w:p>
    <w:p w:rsidR="00896AE4" w:rsidRPr="00F95C02" w:rsidRDefault="00F95C02" w:rsidP="00E2615C">
      <w:pPr>
        <w:pStyle w:val="Akapitzlist"/>
        <w:numPr>
          <w:ilvl w:val="0"/>
          <w:numId w:val="1"/>
        </w:numPr>
        <w:tabs>
          <w:tab w:val="left" w:pos="540"/>
        </w:tabs>
        <w:spacing w:after="240" w:line="240" w:lineRule="exact"/>
        <w:contextualSpacing w:val="0"/>
        <w:rPr>
          <w:rFonts w:asciiTheme="minorHAnsi" w:hAnsiTheme="minorHAnsi" w:cs="Arial"/>
          <w:b/>
          <w:sz w:val="22"/>
          <w:szCs w:val="22"/>
        </w:rPr>
      </w:pPr>
      <w:r>
        <w:rPr>
          <w:rFonts w:asciiTheme="minorHAnsi" w:hAnsiTheme="minorHAnsi" w:cs="Arial"/>
          <w:b/>
          <w:sz w:val="22"/>
          <w:szCs w:val="22"/>
        </w:rPr>
        <w:t>Dopłaty do czynszu</w:t>
      </w:r>
    </w:p>
    <w:p w:rsidR="0045426A" w:rsidRDefault="00E2615C" w:rsidP="00E2615C">
      <w:pPr>
        <w:tabs>
          <w:tab w:val="left" w:pos="540"/>
        </w:tabs>
        <w:spacing w:after="240" w:line="240" w:lineRule="exact"/>
        <w:rPr>
          <w:rFonts w:asciiTheme="minorHAnsi" w:hAnsiTheme="minorHAnsi" w:cs="Arial"/>
          <w:sz w:val="22"/>
          <w:szCs w:val="22"/>
        </w:rPr>
      </w:pPr>
      <w:r w:rsidRPr="00E2615C">
        <w:rPr>
          <w:rFonts w:asciiTheme="minorHAnsi" w:hAnsiTheme="minorHAnsi" w:cs="Arial"/>
          <w:sz w:val="22"/>
          <w:szCs w:val="22"/>
        </w:rPr>
        <w:t>W</w:t>
      </w:r>
      <w:r w:rsidR="0021541D" w:rsidRPr="00E2615C">
        <w:rPr>
          <w:rFonts w:asciiTheme="minorHAnsi" w:hAnsiTheme="minorHAnsi" w:cs="Arial"/>
          <w:sz w:val="22"/>
          <w:szCs w:val="22"/>
        </w:rPr>
        <w:t xml:space="preserve"> </w:t>
      </w:r>
      <w:r w:rsidR="00992718" w:rsidRPr="00E2615C">
        <w:rPr>
          <w:rFonts w:asciiTheme="minorHAnsi" w:hAnsiTheme="minorHAnsi" w:cs="Arial"/>
          <w:sz w:val="22"/>
          <w:szCs w:val="22"/>
        </w:rPr>
        <w:t>rozdzia</w:t>
      </w:r>
      <w:r w:rsidR="00CF2E50" w:rsidRPr="00E2615C">
        <w:rPr>
          <w:rFonts w:asciiTheme="minorHAnsi" w:hAnsiTheme="minorHAnsi" w:cs="Arial"/>
          <w:sz w:val="22"/>
          <w:szCs w:val="22"/>
        </w:rPr>
        <w:t>le</w:t>
      </w:r>
      <w:r w:rsidR="00992718" w:rsidRPr="00E2615C">
        <w:rPr>
          <w:rFonts w:asciiTheme="minorHAnsi" w:hAnsiTheme="minorHAnsi" w:cs="Arial"/>
          <w:sz w:val="22"/>
          <w:szCs w:val="22"/>
        </w:rPr>
        <w:t xml:space="preserve"> 2</w:t>
      </w:r>
      <w:r w:rsidR="00500721">
        <w:rPr>
          <w:rFonts w:asciiTheme="minorHAnsi" w:hAnsiTheme="minorHAnsi" w:cs="Arial"/>
          <w:sz w:val="22"/>
          <w:szCs w:val="22"/>
        </w:rPr>
        <w:t>.</w:t>
      </w:r>
      <w:r w:rsidR="00CF2E50" w:rsidRPr="00E2615C">
        <w:rPr>
          <w:rFonts w:asciiTheme="minorHAnsi" w:hAnsiTheme="minorHAnsi" w:cs="Arial"/>
          <w:sz w:val="22"/>
          <w:szCs w:val="22"/>
        </w:rPr>
        <w:t xml:space="preserve"> </w:t>
      </w:r>
      <w:r w:rsidR="00992718" w:rsidRPr="00E2615C">
        <w:rPr>
          <w:rFonts w:asciiTheme="minorHAnsi" w:hAnsiTheme="minorHAnsi" w:cs="Arial"/>
          <w:sz w:val="22"/>
          <w:szCs w:val="22"/>
        </w:rPr>
        <w:t xml:space="preserve">zawarto przepisy </w:t>
      </w:r>
      <w:r w:rsidR="0045426A">
        <w:rPr>
          <w:rFonts w:asciiTheme="minorHAnsi" w:hAnsiTheme="minorHAnsi" w:cs="Arial"/>
          <w:sz w:val="22"/>
          <w:szCs w:val="22"/>
        </w:rPr>
        <w:t>określające istotę dopłat do czynszu oraz w</w:t>
      </w:r>
      <w:r w:rsidR="00500721">
        <w:rPr>
          <w:rFonts w:asciiTheme="minorHAnsi" w:hAnsiTheme="minorHAnsi" w:cs="Arial"/>
          <w:sz w:val="22"/>
          <w:szCs w:val="22"/>
        </w:rPr>
        <w:t xml:space="preserve">arunki ich stosowania </w:t>
      </w:r>
      <w:r w:rsidR="005F6B51">
        <w:rPr>
          <w:rFonts w:asciiTheme="minorHAnsi" w:hAnsiTheme="minorHAnsi" w:cs="Arial"/>
          <w:sz w:val="22"/>
          <w:szCs w:val="22"/>
        </w:rPr>
        <w:br/>
      </w:r>
      <w:r w:rsidR="00500721">
        <w:rPr>
          <w:rFonts w:asciiTheme="minorHAnsi" w:hAnsiTheme="minorHAnsi" w:cs="Arial"/>
          <w:sz w:val="22"/>
          <w:szCs w:val="22"/>
        </w:rPr>
        <w:t>(art. 3-1</w:t>
      </w:r>
      <w:r w:rsidR="004A23BD">
        <w:rPr>
          <w:rFonts w:asciiTheme="minorHAnsi" w:hAnsiTheme="minorHAnsi" w:cs="Arial"/>
          <w:sz w:val="22"/>
          <w:szCs w:val="22"/>
        </w:rPr>
        <w:t>1</w:t>
      </w:r>
      <w:r w:rsidR="004B427F" w:rsidRPr="00E2615C">
        <w:rPr>
          <w:rFonts w:asciiTheme="minorHAnsi" w:hAnsiTheme="minorHAnsi" w:cs="Arial"/>
          <w:sz w:val="22"/>
          <w:szCs w:val="22"/>
        </w:rPr>
        <w:t>)</w:t>
      </w:r>
      <w:r w:rsidR="00992718" w:rsidRPr="00E2615C">
        <w:rPr>
          <w:rFonts w:asciiTheme="minorHAnsi" w:hAnsiTheme="minorHAnsi" w:cs="Arial"/>
          <w:sz w:val="22"/>
          <w:szCs w:val="22"/>
        </w:rPr>
        <w:t xml:space="preserve">. </w:t>
      </w:r>
      <w:r w:rsidR="0045426A">
        <w:rPr>
          <w:rFonts w:asciiTheme="minorHAnsi" w:hAnsiTheme="minorHAnsi" w:cs="Arial"/>
          <w:sz w:val="22"/>
          <w:szCs w:val="22"/>
        </w:rPr>
        <w:t xml:space="preserve">Wskazują one zatem beneficjentów </w:t>
      </w:r>
      <w:r w:rsidR="00D44DDB">
        <w:rPr>
          <w:rFonts w:asciiTheme="minorHAnsi" w:hAnsiTheme="minorHAnsi" w:cs="Arial"/>
          <w:sz w:val="22"/>
          <w:szCs w:val="22"/>
        </w:rPr>
        <w:t>wsparcia</w:t>
      </w:r>
      <w:r w:rsidR="0045426A">
        <w:rPr>
          <w:rFonts w:asciiTheme="minorHAnsi" w:hAnsiTheme="minorHAnsi" w:cs="Arial"/>
          <w:sz w:val="22"/>
          <w:szCs w:val="22"/>
        </w:rPr>
        <w:t xml:space="preserve"> (w tym ograniczenia w ubieganiu się o d</w:t>
      </w:r>
      <w:r w:rsidR="0045426A">
        <w:rPr>
          <w:rFonts w:asciiTheme="minorHAnsi" w:hAnsiTheme="minorHAnsi" w:cs="Arial"/>
          <w:sz w:val="22"/>
          <w:szCs w:val="22"/>
        </w:rPr>
        <w:t>o</w:t>
      </w:r>
      <w:r w:rsidR="0045426A">
        <w:rPr>
          <w:rFonts w:asciiTheme="minorHAnsi" w:hAnsiTheme="minorHAnsi" w:cs="Arial"/>
          <w:sz w:val="22"/>
          <w:szCs w:val="22"/>
        </w:rPr>
        <w:t>płaty), wysokość dopłat i okres ich stosowania, a także inne wymogi warunkujące przystąpienie do systemu</w:t>
      </w:r>
      <w:r w:rsidR="00D44DDB">
        <w:rPr>
          <w:rFonts w:asciiTheme="minorHAnsi" w:hAnsiTheme="minorHAnsi" w:cs="Arial"/>
          <w:sz w:val="22"/>
          <w:szCs w:val="22"/>
        </w:rPr>
        <w:t>.</w:t>
      </w:r>
      <w:r w:rsidR="0045426A">
        <w:rPr>
          <w:rFonts w:asciiTheme="minorHAnsi" w:hAnsiTheme="minorHAnsi" w:cs="Arial"/>
          <w:sz w:val="22"/>
          <w:szCs w:val="22"/>
        </w:rPr>
        <w:t xml:space="preserve"> </w:t>
      </w:r>
      <w:r w:rsidR="00D44DDB">
        <w:rPr>
          <w:rFonts w:asciiTheme="minorHAnsi" w:hAnsiTheme="minorHAnsi" w:cs="Arial"/>
          <w:sz w:val="22"/>
          <w:szCs w:val="22"/>
        </w:rPr>
        <w:t xml:space="preserve">Mają one zapewnić </w:t>
      </w:r>
      <w:r w:rsidR="00A61F6E" w:rsidRPr="00A61F6E">
        <w:rPr>
          <w:rFonts w:asciiTheme="minorHAnsi" w:hAnsiTheme="minorHAnsi" w:cs="Arial"/>
          <w:sz w:val="22"/>
          <w:szCs w:val="22"/>
        </w:rPr>
        <w:t xml:space="preserve">adekwatną do założeń polityki mieszkaniowej państwa </w:t>
      </w:r>
      <w:r w:rsidR="0045426A" w:rsidRPr="00E2615C">
        <w:rPr>
          <w:rFonts w:asciiTheme="minorHAnsi" w:hAnsiTheme="minorHAnsi" w:cs="Arial"/>
          <w:sz w:val="22"/>
          <w:szCs w:val="22"/>
        </w:rPr>
        <w:t xml:space="preserve">efektywność </w:t>
      </w:r>
      <w:r w:rsidR="00D44DDB">
        <w:rPr>
          <w:rFonts w:asciiTheme="minorHAnsi" w:hAnsiTheme="minorHAnsi" w:cs="Arial"/>
          <w:sz w:val="22"/>
          <w:szCs w:val="22"/>
        </w:rPr>
        <w:t>instrumentu.</w:t>
      </w:r>
    </w:p>
    <w:p w:rsidR="004A23BD" w:rsidRDefault="00762C18" w:rsidP="00E2615C">
      <w:pPr>
        <w:tabs>
          <w:tab w:val="left" w:pos="540"/>
        </w:tabs>
        <w:spacing w:after="240" w:line="240" w:lineRule="exact"/>
        <w:rPr>
          <w:rFonts w:asciiTheme="minorHAnsi" w:hAnsiTheme="minorHAnsi" w:cs="Arial"/>
          <w:sz w:val="22"/>
          <w:szCs w:val="22"/>
        </w:rPr>
      </w:pPr>
      <w:r w:rsidRPr="00D44DDB">
        <w:rPr>
          <w:rFonts w:asciiTheme="minorHAnsi" w:hAnsiTheme="minorHAnsi" w:cs="Arial"/>
          <w:sz w:val="22"/>
          <w:szCs w:val="22"/>
        </w:rPr>
        <w:t xml:space="preserve">Zgodnie z </w:t>
      </w:r>
      <w:r w:rsidRPr="00D44DDB">
        <w:rPr>
          <w:rFonts w:asciiTheme="minorHAnsi" w:hAnsiTheme="minorHAnsi" w:cs="Arial"/>
          <w:b/>
          <w:sz w:val="22"/>
          <w:szCs w:val="22"/>
        </w:rPr>
        <w:t>art. 3</w:t>
      </w:r>
      <w:r w:rsidRPr="00D44DDB">
        <w:rPr>
          <w:rFonts w:asciiTheme="minorHAnsi" w:hAnsiTheme="minorHAnsi" w:cs="Arial"/>
          <w:sz w:val="22"/>
          <w:szCs w:val="22"/>
        </w:rPr>
        <w:t xml:space="preserve"> </w:t>
      </w:r>
      <w:r w:rsidR="00D44DDB">
        <w:rPr>
          <w:rFonts w:asciiTheme="minorHAnsi" w:hAnsiTheme="minorHAnsi" w:cs="Arial"/>
          <w:sz w:val="22"/>
          <w:szCs w:val="22"/>
        </w:rPr>
        <w:t>dopłaty przysługują najemcy mieszkania</w:t>
      </w:r>
      <w:r w:rsidR="00722E88">
        <w:rPr>
          <w:rFonts w:asciiTheme="minorHAnsi" w:hAnsiTheme="minorHAnsi" w:cs="Arial"/>
          <w:sz w:val="22"/>
          <w:szCs w:val="22"/>
        </w:rPr>
        <w:t>, którego dotyczyła inwestycja mieszkaniowa w rozumieniu ustawy</w:t>
      </w:r>
      <w:r w:rsidR="00D44DDB">
        <w:rPr>
          <w:rFonts w:asciiTheme="minorHAnsi" w:hAnsiTheme="minorHAnsi" w:cs="Arial"/>
          <w:sz w:val="22"/>
          <w:szCs w:val="22"/>
        </w:rPr>
        <w:t>.</w:t>
      </w:r>
      <w:r w:rsidR="00321719">
        <w:rPr>
          <w:rFonts w:asciiTheme="minorHAnsi" w:hAnsiTheme="minorHAnsi" w:cs="Arial"/>
          <w:sz w:val="22"/>
          <w:szCs w:val="22"/>
        </w:rPr>
        <w:t xml:space="preserve"> Zakres tej normy wyznacza dwie kluczowe przesłanki stosowania finansowego wsparcia wprowadzanego projektowaną ustawą. Zgodnie z pierwszą z nich o dopłaty może ubiegać się wyłącznie najemca. Z kręgu ubiegających </w:t>
      </w:r>
      <w:r w:rsidR="000A3B8A">
        <w:rPr>
          <w:rFonts w:asciiTheme="minorHAnsi" w:hAnsiTheme="minorHAnsi" w:cs="Arial"/>
          <w:sz w:val="22"/>
          <w:szCs w:val="22"/>
        </w:rPr>
        <w:t xml:space="preserve">zostały </w:t>
      </w:r>
      <w:r w:rsidR="00321719">
        <w:rPr>
          <w:rFonts w:asciiTheme="minorHAnsi" w:hAnsiTheme="minorHAnsi" w:cs="Arial"/>
          <w:sz w:val="22"/>
          <w:szCs w:val="22"/>
        </w:rPr>
        <w:t>zatem wykluczone osob</w:t>
      </w:r>
      <w:r w:rsidR="000A3B8A">
        <w:rPr>
          <w:rFonts w:asciiTheme="minorHAnsi" w:hAnsiTheme="minorHAnsi" w:cs="Arial"/>
          <w:sz w:val="22"/>
          <w:szCs w:val="22"/>
        </w:rPr>
        <w:t>y będące wprawdzie członkami</w:t>
      </w:r>
      <w:r w:rsidR="00321719">
        <w:rPr>
          <w:rFonts w:asciiTheme="minorHAnsi" w:hAnsiTheme="minorHAnsi" w:cs="Arial"/>
          <w:sz w:val="22"/>
          <w:szCs w:val="22"/>
        </w:rPr>
        <w:t xml:space="preserve"> gospodarstwa domowego najemcy </w:t>
      </w:r>
      <w:r w:rsidR="00152884">
        <w:rPr>
          <w:rFonts w:asciiTheme="minorHAnsi" w:hAnsiTheme="minorHAnsi" w:cs="Arial"/>
          <w:sz w:val="22"/>
          <w:szCs w:val="22"/>
        </w:rPr>
        <w:t>oraz</w:t>
      </w:r>
      <w:r w:rsidR="000A3B8A">
        <w:rPr>
          <w:rFonts w:asciiTheme="minorHAnsi" w:hAnsiTheme="minorHAnsi" w:cs="Arial"/>
          <w:sz w:val="22"/>
          <w:szCs w:val="22"/>
        </w:rPr>
        <w:t xml:space="preserve"> zamieszkujące z nim w danym mieszkaniu, ale które nie są stroną umowy najmu mieszkania (</w:t>
      </w:r>
      <w:r w:rsidR="00152884">
        <w:rPr>
          <w:rFonts w:asciiTheme="minorHAnsi" w:hAnsiTheme="minorHAnsi" w:cs="Arial"/>
          <w:sz w:val="22"/>
          <w:szCs w:val="22"/>
        </w:rPr>
        <w:t xml:space="preserve">mimo że </w:t>
      </w:r>
      <w:r w:rsidR="000A3B8A">
        <w:rPr>
          <w:rFonts w:asciiTheme="minorHAnsi" w:hAnsiTheme="minorHAnsi" w:cs="Arial"/>
          <w:sz w:val="22"/>
          <w:szCs w:val="22"/>
        </w:rPr>
        <w:t>projektodawca ujmuje w zakresie pojęcia najemcy również osoby ubiegające się o najem, z brzmienia przepisów regulujących zasady ubiega</w:t>
      </w:r>
      <w:r w:rsidR="00152884">
        <w:rPr>
          <w:rFonts w:asciiTheme="minorHAnsi" w:hAnsiTheme="minorHAnsi" w:cs="Arial"/>
          <w:sz w:val="22"/>
          <w:szCs w:val="22"/>
        </w:rPr>
        <w:t>nia</w:t>
      </w:r>
      <w:r w:rsidR="000A3B8A">
        <w:rPr>
          <w:rFonts w:asciiTheme="minorHAnsi" w:hAnsiTheme="minorHAnsi" w:cs="Arial"/>
          <w:sz w:val="22"/>
          <w:szCs w:val="22"/>
        </w:rPr>
        <w:t xml:space="preserve"> się o dopłaty wynika, że wniosek o dopłaty może złożyć wyłącznie osoba, która już zawarła umowę najmu)</w:t>
      </w:r>
      <w:r w:rsidR="00321719">
        <w:rPr>
          <w:rFonts w:asciiTheme="minorHAnsi" w:hAnsiTheme="minorHAnsi" w:cs="Arial"/>
          <w:sz w:val="22"/>
          <w:szCs w:val="22"/>
        </w:rPr>
        <w:t xml:space="preserve">. </w:t>
      </w:r>
      <w:r w:rsidR="007623ED">
        <w:rPr>
          <w:rFonts w:asciiTheme="minorHAnsi" w:hAnsiTheme="minorHAnsi" w:cs="Arial"/>
          <w:sz w:val="22"/>
          <w:szCs w:val="22"/>
        </w:rPr>
        <w:t>W tym kontekście należy uzupełnić, że przepisy projektowanej ustawy uwzględniają również sytuację, w której najemcą mieszkania są oboje małżonkowie. Tematyka ta zostanie omówiona w dalszej części uzasadnienia, w tym miejscu trzeba jednak zaznaczyć, że w takim przypadku wniosek o dopłaty będzie składany przez jednego z małżonków (będzie to równoznaczne ze zgodą współma</w:t>
      </w:r>
      <w:r w:rsidR="007623ED">
        <w:rPr>
          <w:rFonts w:asciiTheme="minorHAnsi" w:hAnsiTheme="minorHAnsi" w:cs="Arial"/>
          <w:sz w:val="22"/>
          <w:szCs w:val="22"/>
        </w:rPr>
        <w:t>ł</w:t>
      </w:r>
      <w:r w:rsidR="007623ED">
        <w:rPr>
          <w:rFonts w:asciiTheme="minorHAnsi" w:hAnsiTheme="minorHAnsi" w:cs="Arial"/>
          <w:sz w:val="22"/>
          <w:szCs w:val="22"/>
        </w:rPr>
        <w:t>żonka na uczestnictwo w systemie dopłat z konsekwencjami w zakresie okresu stosowania dopłat – okres stosowania dopłat obejmie obu małżonków).</w:t>
      </w:r>
    </w:p>
    <w:p w:rsidR="00D44DDB" w:rsidRDefault="000A3B8A" w:rsidP="00E2615C">
      <w:pPr>
        <w:tabs>
          <w:tab w:val="left" w:pos="540"/>
        </w:tabs>
        <w:spacing w:after="240" w:line="240" w:lineRule="exact"/>
        <w:rPr>
          <w:rFonts w:asciiTheme="minorHAnsi" w:hAnsiTheme="minorHAnsi" w:cs="Arial"/>
          <w:sz w:val="22"/>
          <w:szCs w:val="22"/>
        </w:rPr>
      </w:pPr>
      <w:r>
        <w:rPr>
          <w:rFonts w:asciiTheme="minorHAnsi" w:hAnsiTheme="minorHAnsi" w:cs="Arial"/>
          <w:sz w:val="22"/>
          <w:szCs w:val="22"/>
        </w:rPr>
        <w:t xml:space="preserve">Drugą przesłankę wyznacza pojęcie mieszkania. Należy </w:t>
      </w:r>
      <w:r w:rsidR="00152884">
        <w:rPr>
          <w:rFonts w:asciiTheme="minorHAnsi" w:hAnsiTheme="minorHAnsi" w:cs="Arial"/>
          <w:sz w:val="22"/>
          <w:szCs w:val="22"/>
        </w:rPr>
        <w:t>powtórzyć</w:t>
      </w:r>
      <w:r>
        <w:rPr>
          <w:rFonts w:asciiTheme="minorHAnsi" w:hAnsiTheme="minorHAnsi" w:cs="Arial"/>
          <w:sz w:val="22"/>
          <w:szCs w:val="22"/>
        </w:rPr>
        <w:t>, że na gruncie projektowanego aktu pojęcie to funkcjonuje wyłącznie na określenie samodzielnych lokali mieszkalnych, z których najmem związana jest możliwość stosowania dopłat. Takie lokale muszą być przy tym</w:t>
      </w:r>
      <w:r w:rsidR="00722E88">
        <w:rPr>
          <w:rFonts w:asciiTheme="minorHAnsi" w:hAnsiTheme="minorHAnsi" w:cs="Arial"/>
          <w:sz w:val="22"/>
          <w:szCs w:val="22"/>
        </w:rPr>
        <w:t xml:space="preserve"> związane z</w:t>
      </w:r>
      <w:r>
        <w:rPr>
          <w:rFonts w:asciiTheme="minorHAnsi" w:hAnsiTheme="minorHAnsi" w:cs="Arial"/>
          <w:sz w:val="22"/>
          <w:szCs w:val="22"/>
        </w:rPr>
        <w:t xml:space="preserve"> inwestycj</w:t>
      </w:r>
      <w:r w:rsidR="00722E88">
        <w:rPr>
          <w:rFonts w:asciiTheme="minorHAnsi" w:hAnsiTheme="minorHAnsi" w:cs="Arial"/>
          <w:sz w:val="22"/>
          <w:szCs w:val="22"/>
        </w:rPr>
        <w:t>ą</w:t>
      </w:r>
      <w:r>
        <w:rPr>
          <w:rFonts w:asciiTheme="minorHAnsi" w:hAnsiTheme="minorHAnsi" w:cs="Arial"/>
          <w:sz w:val="22"/>
          <w:szCs w:val="22"/>
        </w:rPr>
        <w:t xml:space="preserve"> mieszkaniow</w:t>
      </w:r>
      <w:r w:rsidR="00722E88">
        <w:rPr>
          <w:rFonts w:asciiTheme="minorHAnsi" w:hAnsiTheme="minorHAnsi" w:cs="Arial"/>
          <w:sz w:val="22"/>
          <w:szCs w:val="22"/>
        </w:rPr>
        <w:t>ą</w:t>
      </w:r>
      <w:r w:rsidR="00E44024">
        <w:rPr>
          <w:rFonts w:asciiTheme="minorHAnsi" w:hAnsiTheme="minorHAnsi" w:cs="Arial"/>
          <w:sz w:val="22"/>
          <w:szCs w:val="22"/>
        </w:rPr>
        <w:t xml:space="preserve"> w rozumieniu projektowanej ustawy. Inwestycję w tym znaczeniu</w:t>
      </w:r>
      <w:r>
        <w:rPr>
          <w:rFonts w:asciiTheme="minorHAnsi" w:hAnsiTheme="minorHAnsi" w:cs="Arial"/>
          <w:sz w:val="22"/>
          <w:szCs w:val="22"/>
        </w:rPr>
        <w:t xml:space="preserve"> stanowi</w:t>
      </w:r>
      <w:r w:rsidR="00E44024">
        <w:rPr>
          <w:rFonts w:asciiTheme="minorHAnsi" w:hAnsiTheme="minorHAnsi" w:cs="Arial"/>
          <w:sz w:val="22"/>
          <w:szCs w:val="22"/>
        </w:rPr>
        <w:t>, po pierwsze,</w:t>
      </w:r>
      <w:r>
        <w:rPr>
          <w:rFonts w:asciiTheme="minorHAnsi" w:hAnsiTheme="minorHAnsi" w:cs="Arial"/>
          <w:sz w:val="22"/>
          <w:szCs w:val="22"/>
        </w:rPr>
        <w:t xml:space="preserve"> przedsięwzięcie prowadzące do powstania budynku mieszkalnego</w:t>
      </w:r>
      <w:r w:rsidR="00E44024">
        <w:rPr>
          <w:rFonts w:asciiTheme="minorHAnsi" w:hAnsiTheme="minorHAnsi" w:cs="Arial"/>
          <w:sz w:val="22"/>
          <w:szCs w:val="22"/>
        </w:rPr>
        <w:t>, w którym zostanie wyodrębniony przynajmniej jeden lokal objęty możliwością stosowania dopłat. Takie przedsięwzięcie może</w:t>
      </w:r>
      <w:r>
        <w:rPr>
          <w:rFonts w:asciiTheme="minorHAnsi" w:hAnsiTheme="minorHAnsi" w:cs="Arial"/>
          <w:sz w:val="22"/>
          <w:szCs w:val="22"/>
        </w:rPr>
        <w:t xml:space="preserve"> </w:t>
      </w:r>
      <w:r w:rsidR="00E44024">
        <w:rPr>
          <w:rFonts w:asciiTheme="minorHAnsi" w:hAnsiTheme="minorHAnsi" w:cs="Arial"/>
          <w:sz w:val="22"/>
          <w:szCs w:val="22"/>
        </w:rPr>
        <w:t>polegać</w:t>
      </w:r>
      <w:r>
        <w:rPr>
          <w:rFonts w:asciiTheme="minorHAnsi" w:hAnsiTheme="minorHAnsi" w:cs="Arial"/>
          <w:sz w:val="22"/>
          <w:szCs w:val="22"/>
        </w:rPr>
        <w:t xml:space="preserve"> nie tylko na budowie budynku</w:t>
      </w:r>
      <w:r w:rsidR="00E44024">
        <w:rPr>
          <w:rFonts w:asciiTheme="minorHAnsi" w:hAnsiTheme="minorHAnsi" w:cs="Arial"/>
          <w:sz w:val="22"/>
          <w:szCs w:val="22"/>
        </w:rPr>
        <w:t xml:space="preserve"> mieszkalnego</w:t>
      </w:r>
      <w:r>
        <w:rPr>
          <w:rFonts w:asciiTheme="minorHAnsi" w:hAnsiTheme="minorHAnsi" w:cs="Arial"/>
          <w:sz w:val="22"/>
          <w:szCs w:val="22"/>
        </w:rPr>
        <w:t>, ale również na przebudowie skutkującej zmianą sposobu użytkowania budynku niemieszkalnego na budynek mieszkalny</w:t>
      </w:r>
      <w:r w:rsidR="00E44024">
        <w:rPr>
          <w:rFonts w:asciiTheme="minorHAnsi" w:hAnsiTheme="minorHAnsi" w:cs="Arial"/>
          <w:sz w:val="22"/>
          <w:szCs w:val="22"/>
        </w:rPr>
        <w:t xml:space="preserve">. </w:t>
      </w:r>
      <w:r w:rsidR="00152884">
        <w:rPr>
          <w:rFonts w:asciiTheme="minorHAnsi" w:hAnsiTheme="minorHAnsi" w:cs="Arial"/>
          <w:sz w:val="22"/>
          <w:szCs w:val="22"/>
        </w:rPr>
        <w:t>Należy</w:t>
      </w:r>
      <w:r w:rsidR="00E44024">
        <w:rPr>
          <w:rFonts w:asciiTheme="minorHAnsi" w:hAnsiTheme="minorHAnsi" w:cs="Arial"/>
          <w:sz w:val="22"/>
          <w:szCs w:val="22"/>
        </w:rPr>
        <w:t xml:space="preserve"> przy tym zauważyć, że w drugim przypadku nie wprowadzono zastrzeżenia, zgodnie z którym budynek pow</w:t>
      </w:r>
      <w:r w:rsidR="00E44024">
        <w:rPr>
          <w:rFonts w:asciiTheme="minorHAnsi" w:hAnsiTheme="minorHAnsi" w:cs="Arial"/>
          <w:sz w:val="22"/>
          <w:szCs w:val="22"/>
        </w:rPr>
        <w:t>i</w:t>
      </w:r>
      <w:r w:rsidR="00E44024">
        <w:rPr>
          <w:rFonts w:asciiTheme="minorHAnsi" w:hAnsiTheme="minorHAnsi" w:cs="Arial"/>
          <w:sz w:val="22"/>
          <w:szCs w:val="22"/>
        </w:rPr>
        <w:t xml:space="preserve">nien być położony </w:t>
      </w:r>
      <w:r w:rsidR="00092D2C">
        <w:rPr>
          <w:rFonts w:asciiTheme="minorHAnsi" w:hAnsiTheme="minorHAnsi" w:cs="Arial"/>
          <w:sz w:val="22"/>
          <w:szCs w:val="22"/>
        </w:rPr>
        <w:br/>
      </w:r>
      <w:r w:rsidR="00E44024">
        <w:rPr>
          <w:rFonts w:asciiTheme="minorHAnsi" w:hAnsiTheme="minorHAnsi" w:cs="Arial"/>
          <w:sz w:val="22"/>
          <w:szCs w:val="22"/>
        </w:rPr>
        <w:lastRenderedPageBreak/>
        <w:t xml:space="preserve">w Specjalnej Strefie Rewitalizacji. Takie zastrzeżenie zawarto natomiast w odniesieniu do drugiego typu inwestycji mieszkaniowych objętych zakresem </w:t>
      </w:r>
      <w:r w:rsidR="00152884">
        <w:rPr>
          <w:rFonts w:asciiTheme="minorHAnsi" w:hAnsiTheme="minorHAnsi" w:cs="Arial"/>
          <w:sz w:val="22"/>
          <w:szCs w:val="22"/>
        </w:rPr>
        <w:t xml:space="preserve">projektowanej </w:t>
      </w:r>
      <w:r w:rsidR="00E44024">
        <w:rPr>
          <w:rFonts w:asciiTheme="minorHAnsi" w:hAnsiTheme="minorHAnsi" w:cs="Arial"/>
          <w:sz w:val="22"/>
          <w:szCs w:val="22"/>
        </w:rPr>
        <w:t>ustawy. Inwestycją w tym konte</w:t>
      </w:r>
      <w:r w:rsidR="00E44024">
        <w:rPr>
          <w:rFonts w:asciiTheme="minorHAnsi" w:hAnsiTheme="minorHAnsi" w:cs="Arial"/>
          <w:sz w:val="22"/>
          <w:szCs w:val="22"/>
        </w:rPr>
        <w:t>k</w:t>
      </w:r>
      <w:r w:rsidR="00E44024">
        <w:rPr>
          <w:rFonts w:asciiTheme="minorHAnsi" w:hAnsiTheme="minorHAnsi" w:cs="Arial"/>
          <w:sz w:val="22"/>
          <w:szCs w:val="22"/>
        </w:rPr>
        <w:t xml:space="preserve">ście jest bowiem </w:t>
      </w:r>
      <w:r>
        <w:rPr>
          <w:rFonts w:asciiTheme="minorHAnsi" w:hAnsiTheme="minorHAnsi" w:cs="Arial"/>
          <w:sz w:val="22"/>
          <w:szCs w:val="22"/>
        </w:rPr>
        <w:t xml:space="preserve">wykonanie robót budowlanych polegających na remoncie lub przebudowie </w:t>
      </w:r>
      <w:r w:rsidR="00DD306D">
        <w:rPr>
          <w:rFonts w:asciiTheme="minorHAnsi" w:hAnsiTheme="minorHAnsi" w:cs="Arial"/>
          <w:sz w:val="22"/>
          <w:szCs w:val="22"/>
        </w:rPr>
        <w:t>istniej</w:t>
      </w:r>
      <w:r w:rsidR="00DD306D">
        <w:rPr>
          <w:rFonts w:asciiTheme="minorHAnsi" w:hAnsiTheme="minorHAnsi" w:cs="Arial"/>
          <w:sz w:val="22"/>
          <w:szCs w:val="22"/>
        </w:rPr>
        <w:t>ą</w:t>
      </w:r>
      <w:r w:rsidR="00DD306D">
        <w:rPr>
          <w:rFonts w:asciiTheme="minorHAnsi" w:hAnsiTheme="minorHAnsi" w:cs="Arial"/>
          <w:sz w:val="22"/>
          <w:szCs w:val="22"/>
        </w:rPr>
        <w:t xml:space="preserve">cego </w:t>
      </w:r>
      <w:r>
        <w:rPr>
          <w:rFonts w:asciiTheme="minorHAnsi" w:hAnsiTheme="minorHAnsi" w:cs="Arial"/>
          <w:sz w:val="22"/>
          <w:szCs w:val="22"/>
        </w:rPr>
        <w:t>budynku mieszkalnego</w:t>
      </w:r>
      <w:r w:rsidR="00E44024">
        <w:rPr>
          <w:rFonts w:asciiTheme="minorHAnsi" w:hAnsiTheme="minorHAnsi" w:cs="Arial"/>
          <w:sz w:val="22"/>
          <w:szCs w:val="22"/>
        </w:rPr>
        <w:t xml:space="preserve"> położonego we wspomnianej strefie. </w:t>
      </w:r>
      <w:r w:rsidR="00DD306D">
        <w:rPr>
          <w:rFonts w:asciiTheme="minorHAnsi" w:hAnsiTheme="minorHAnsi" w:cs="Arial"/>
          <w:sz w:val="22"/>
          <w:szCs w:val="22"/>
        </w:rPr>
        <w:t xml:space="preserve">Rozwiązanie to ma </w:t>
      </w:r>
      <w:r w:rsidR="00E362B0">
        <w:rPr>
          <w:rFonts w:asciiTheme="minorHAnsi" w:hAnsiTheme="minorHAnsi" w:cs="Arial"/>
          <w:sz w:val="22"/>
          <w:szCs w:val="22"/>
        </w:rPr>
        <w:t>stanowić zach</w:t>
      </w:r>
      <w:r w:rsidR="00E362B0">
        <w:rPr>
          <w:rFonts w:asciiTheme="minorHAnsi" w:hAnsiTheme="minorHAnsi" w:cs="Arial"/>
          <w:sz w:val="22"/>
          <w:szCs w:val="22"/>
        </w:rPr>
        <w:t>ę</w:t>
      </w:r>
      <w:r w:rsidR="00E362B0">
        <w:rPr>
          <w:rFonts w:asciiTheme="minorHAnsi" w:hAnsiTheme="minorHAnsi" w:cs="Arial"/>
          <w:sz w:val="22"/>
          <w:szCs w:val="22"/>
        </w:rPr>
        <w:t>tę do</w:t>
      </w:r>
      <w:r w:rsidR="00DD306D">
        <w:rPr>
          <w:rFonts w:asciiTheme="minorHAnsi" w:hAnsiTheme="minorHAnsi" w:cs="Arial"/>
          <w:sz w:val="22"/>
          <w:szCs w:val="22"/>
        </w:rPr>
        <w:t xml:space="preserve"> </w:t>
      </w:r>
      <w:r w:rsidR="00A73FF9">
        <w:rPr>
          <w:rFonts w:asciiTheme="minorHAnsi" w:hAnsiTheme="minorHAnsi" w:cs="Arial"/>
          <w:sz w:val="22"/>
          <w:szCs w:val="22"/>
        </w:rPr>
        <w:t xml:space="preserve">realizacji </w:t>
      </w:r>
      <w:r w:rsidR="00DD306D">
        <w:rPr>
          <w:rFonts w:asciiTheme="minorHAnsi" w:hAnsiTheme="minorHAnsi" w:cs="Arial"/>
          <w:sz w:val="22"/>
          <w:szCs w:val="22"/>
        </w:rPr>
        <w:t xml:space="preserve">inwestycji poprawiających standard budynków na obszarach objętych rewitalizacją. </w:t>
      </w:r>
      <w:r w:rsidR="00092D2C">
        <w:rPr>
          <w:rFonts w:asciiTheme="minorHAnsi" w:hAnsiTheme="minorHAnsi" w:cs="Arial"/>
          <w:sz w:val="22"/>
          <w:szCs w:val="22"/>
        </w:rPr>
        <w:br/>
      </w:r>
      <w:r w:rsidR="00D12A35">
        <w:rPr>
          <w:rFonts w:asciiTheme="minorHAnsi" w:hAnsiTheme="minorHAnsi" w:cs="Arial"/>
          <w:sz w:val="22"/>
          <w:szCs w:val="22"/>
        </w:rPr>
        <w:t>W konsekwencji również najemcom mieszkań znajdujących się w takich budynkach przysługują d</w:t>
      </w:r>
      <w:r w:rsidR="00D12A35">
        <w:rPr>
          <w:rFonts w:asciiTheme="minorHAnsi" w:hAnsiTheme="minorHAnsi" w:cs="Arial"/>
          <w:sz w:val="22"/>
          <w:szCs w:val="22"/>
        </w:rPr>
        <w:t>o</w:t>
      </w:r>
      <w:r w:rsidR="00D12A35">
        <w:rPr>
          <w:rFonts w:asciiTheme="minorHAnsi" w:hAnsiTheme="minorHAnsi" w:cs="Arial"/>
          <w:sz w:val="22"/>
          <w:szCs w:val="22"/>
        </w:rPr>
        <w:t>płaty na zasadach określonych w projektowanej ustawie.</w:t>
      </w:r>
    </w:p>
    <w:p w:rsidR="00E44024" w:rsidRDefault="00E44024" w:rsidP="00E2615C">
      <w:pPr>
        <w:tabs>
          <w:tab w:val="left" w:pos="540"/>
        </w:tabs>
        <w:spacing w:after="240" w:line="240" w:lineRule="exact"/>
        <w:rPr>
          <w:rFonts w:asciiTheme="minorHAnsi" w:hAnsiTheme="minorHAnsi" w:cs="Arial"/>
          <w:sz w:val="22"/>
          <w:szCs w:val="22"/>
        </w:rPr>
      </w:pPr>
      <w:r w:rsidRPr="00E44024">
        <w:rPr>
          <w:rFonts w:asciiTheme="minorHAnsi" w:hAnsiTheme="minorHAnsi" w:cs="Arial"/>
          <w:b/>
          <w:sz w:val="22"/>
          <w:szCs w:val="22"/>
        </w:rPr>
        <w:t>Art. 4</w:t>
      </w:r>
      <w:r>
        <w:rPr>
          <w:rFonts w:asciiTheme="minorHAnsi" w:hAnsiTheme="minorHAnsi" w:cs="Arial"/>
          <w:sz w:val="22"/>
          <w:szCs w:val="22"/>
        </w:rPr>
        <w:t xml:space="preserve"> wprowadza ograniczenia dla najemców mieszkań objętych możliwością stosowania dopłat, które skutkują wyłączeniem ich z grona be</w:t>
      </w:r>
      <w:r w:rsidR="00112542">
        <w:rPr>
          <w:rFonts w:asciiTheme="minorHAnsi" w:hAnsiTheme="minorHAnsi" w:cs="Arial"/>
          <w:sz w:val="22"/>
          <w:szCs w:val="22"/>
        </w:rPr>
        <w:t xml:space="preserve">neficjentów wsparcia. W tym kontekście </w:t>
      </w:r>
      <w:r w:rsidR="00B53B21">
        <w:rPr>
          <w:rFonts w:asciiTheme="minorHAnsi" w:hAnsiTheme="minorHAnsi" w:cs="Arial"/>
          <w:sz w:val="22"/>
          <w:szCs w:val="22"/>
        </w:rPr>
        <w:t>trzeba</w:t>
      </w:r>
      <w:r w:rsidR="00112542">
        <w:rPr>
          <w:rFonts w:asciiTheme="minorHAnsi" w:hAnsiTheme="minorHAnsi" w:cs="Arial"/>
          <w:sz w:val="22"/>
          <w:szCs w:val="22"/>
        </w:rPr>
        <w:t xml:space="preserve"> wsp</w:t>
      </w:r>
      <w:r w:rsidR="00112542">
        <w:rPr>
          <w:rFonts w:asciiTheme="minorHAnsi" w:hAnsiTheme="minorHAnsi" w:cs="Arial"/>
          <w:sz w:val="22"/>
          <w:szCs w:val="22"/>
        </w:rPr>
        <w:t>o</w:t>
      </w:r>
      <w:r w:rsidR="00112542">
        <w:rPr>
          <w:rFonts w:asciiTheme="minorHAnsi" w:hAnsiTheme="minorHAnsi" w:cs="Arial"/>
          <w:sz w:val="22"/>
          <w:szCs w:val="22"/>
        </w:rPr>
        <w:t xml:space="preserve">mnieć, że nie należy mylić tych warunków z </w:t>
      </w:r>
      <w:r>
        <w:rPr>
          <w:rFonts w:asciiTheme="minorHAnsi" w:hAnsiTheme="minorHAnsi" w:cs="Arial"/>
          <w:sz w:val="22"/>
          <w:szCs w:val="22"/>
        </w:rPr>
        <w:t>warunkami</w:t>
      </w:r>
      <w:r w:rsidR="00112542">
        <w:rPr>
          <w:rFonts w:asciiTheme="minorHAnsi" w:hAnsiTheme="minorHAnsi" w:cs="Arial"/>
          <w:sz w:val="22"/>
          <w:szCs w:val="22"/>
        </w:rPr>
        <w:t xml:space="preserve">, których spełnienie uprawnia </w:t>
      </w:r>
      <w:r>
        <w:rPr>
          <w:rFonts w:asciiTheme="minorHAnsi" w:hAnsiTheme="minorHAnsi" w:cs="Arial"/>
          <w:sz w:val="22"/>
          <w:szCs w:val="22"/>
        </w:rPr>
        <w:t>do najmu ww. miesz</w:t>
      </w:r>
      <w:r w:rsidR="00112542">
        <w:rPr>
          <w:rFonts w:asciiTheme="minorHAnsi" w:hAnsiTheme="minorHAnsi" w:cs="Arial"/>
          <w:sz w:val="22"/>
          <w:szCs w:val="22"/>
        </w:rPr>
        <w:t>kań</w:t>
      </w:r>
      <w:r w:rsidR="00565015">
        <w:rPr>
          <w:rFonts w:asciiTheme="minorHAnsi" w:hAnsiTheme="minorHAnsi" w:cs="Arial"/>
          <w:sz w:val="22"/>
          <w:szCs w:val="22"/>
        </w:rPr>
        <w:t>, uregulowanymi</w:t>
      </w:r>
      <w:r w:rsidR="00EB69E7">
        <w:rPr>
          <w:rFonts w:asciiTheme="minorHAnsi" w:hAnsiTheme="minorHAnsi" w:cs="Arial"/>
          <w:sz w:val="22"/>
          <w:szCs w:val="22"/>
        </w:rPr>
        <w:t xml:space="preserve"> w dalszej części projektowanej ustawy</w:t>
      </w:r>
      <w:r w:rsidR="00112542">
        <w:rPr>
          <w:rFonts w:asciiTheme="minorHAnsi" w:hAnsiTheme="minorHAnsi" w:cs="Arial"/>
          <w:sz w:val="22"/>
          <w:szCs w:val="22"/>
        </w:rPr>
        <w:t>.</w:t>
      </w:r>
      <w:r>
        <w:rPr>
          <w:rFonts w:asciiTheme="minorHAnsi" w:hAnsiTheme="minorHAnsi" w:cs="Arial"/>
          <w:sz w:val="22"/>
          <w:szCs w:val="22"/>
        </w:rPr>
        <w:t xml:space="preserve"> </w:t>
      </w:r>
      <w:r w:rsidR="00112542">
        <w:rPr>
          <w:rFonts w:asciiTheme="minorHAnsi" w:hAnsiTheme="minorHAnsi" w:cs="Arial"/>
          <w:sz w:val="22"/>
          <w:szCs w:val="22"/>
        </w:rPr>
        <w:t>J</w:t>
      </w:r>
      <w:r>
        <w:rPr>
          <w:rFonts w:asciiTheme="minorHAnsi" w:hAnsiTheme="minorHAnsi" w:cs="Arial"/>
          <w:sz w:val="22"/>
          <w:szCs w:val="22"/>
        </w:rPr>
        <w:t xml:space="preserve">eżeli osoba ubiegająca się o najem spełnia warunki wskazane w zasadach naboru najemców, może wynająć mieszkanie </w:t>
      </w:r>
      <w:r w:rsidR="00112542">
        <w:rPr>
          <w:rFonts w:asciiTheme="minorHAnsi" w:hAnsiTheme="minorHAnsi" w:cs="Arial"/>
          <w:sz w:val="22"/>
          <w:szCs w:val="22"/>
        </w:rPr>
        <w:t xml:space="preserve">nawet wówczas, gdy nie posiada </w:t>
      </w:r>
      <w:r>
        <w:rPr>
          <w:rFonts w:asciiTheme="minorHAnsi" w:hAnsiTheme="minorHAnsi" w:cs="Arial"/>
          <w:sz w:val="22"/>
          <w:szCs w:val="22"/>
        </w:rPr>
        <w:t xml:space="preserve">prawa do dopłat (nie spełnia warunków dla beneficjentów dopłat) lub </w:t>
      </w:r>
      <w:r w:rsidR="00112542">
        <w:rPr>
          <w:rFonts w:asciiTheme="minorHAnsi" w:hAnsiTheme="minorHAnsi" w:cs="Arial"/>
          <w:sz w:val="22"/>
          <w:szCs w:val="22"/>
        </w:rPr>
        <w:t>z różnych względów nie zamierza ubiegać się o dopłaty (mimo że</w:t>
      </w:r>
      <w:r>
        <w:rPr>
          <w:rFonts w:asciiTheme="minorHAnsi" w:hAnsiTheme="minorHAnsi" w:cs="Arial"/>
          <w:sz w:val="22"/>
          <w:szCs w:val="22"/>
        </w:rPr>
        <w:t xml:space="preserve"> </w:t>
      </w:r>
      <w:r w:rsidR="00112542">
        <w:rPr>
          <w:rFonts w:asciiTheme="minorHAnsi" w:hAnsiTheme="minorHAnsi" w:cs="Arial"/>
          <w:sz w:val="22"/>
          <w:szCs w:val="22"/>
        </w:rPr>
        <w:t>spełnia warunki dla beneficjentów dopłat</w:t>
      </w:r>
      <w:r>
        <w:rPr>
          <w:rFonts w:asciiTheme="minorHAnsi" w:hAnsiTheme="minorHAnsi" w:cs="Arial"/>
          <w:sz w:val="22"/>
          <w:szCs w:val="22"/>
        </w:rPr>
        <w:t>).</w:t>
      </w:r>
      <w:r w:rsidR="00B53B21">
        <w:rPr>
          <w:rFonts w:asciiTheme="minorHAnsi" w:hAnsiTheme="minorHAnsi" w:cs="Arial"/>
          <w:sz w:val="22"/>
          <w:szCs w:val="22"/>
        </w:rPr>
        <w:t xml:space="preserve"> </w:t>
      </w:r>
      <w:r w:rsidR="00607155">
        <w:rPr>
          <w:rFonts w:asciiTheme="minorHAnsi" w:hAnsiTheme="minorHAnsi" w:cs="Arial"/>
          <w:sz w:val="22"/>
          <w:szCs w:val="22"/>
        </w:rPr>
        <w:t>Z drugiej jednak strony, osoba, która w okresie ubiegania się o najem nie spełnia warunków do zawa</w:t>
      </w:r>
      <w:r w:rsidR="00607155">
        <w:rPr>
          <w:rFonts w:asciiTheme="minorHAnsi" w:hAnsiTheme="minorHAnsi" w:cs="Arial"/>
          <w:sz w:val="22"/>
          <w:szCs w:val="22"/>
        </w:rPr>
        <w:t>r</w:t>
      </w:r>
      <w:r w:rsidR="00607155">
        <w:rPr>
          <w:rFonts w:asciiTheme="minorHAnsi" w:hAnsiTheme="minorHAnsi" w:cs="Arial"/>
          <w:sz w:val="22"/>
          <w:szCs w:val="22"/>
        </w:rPr>
        <w:t xml:space="preserve">cia umowy najmu, </w:t>
      </w:r>
      <w:r w:rsidR="00607155" w:rsidRPr="00607155">
        <w:rPr>
          <w:rFonts w:asciiTheme="minorHAnsi" w:hAnsiTheme="minorHAnsi" w:cs="Arial"/>
          <w:i/>
          <w:sz w:val="22"/>
          <w:szCs w:val="22"/>
        </w:rPr>
        <w:t>de facto</w:t>
      </w:r>
      <w:r w:rsidR="00607155">
        <w:rPr>
          <w:rFonts w:asciiTheme="minorHAnsi" w:hAnsiTheme="minorHAnsi" w:cs="Arial"/>
          <w:sz w:val="22"/>
          <w:szCs w:val="22"/>
        </w:rPr>
        <w:t xml:space="preserve"> nie będzie beneficjentem dopłat, gdyż nie wynajmie mieszkania</w:t>
      </w:r>
      <w:r w:rsidR="00006918">
        <w:rPr>
          <w:rFonts w:asciiTheme="minorHAnsi" w:hAnsiTheme="minorHAnsi" w:cs="Arial"/>
          <w:sz w:val="22"/>
          <w:szCs w:val="22"/>
        </w:rPr>
        <w:t xml:space="preserve"> objętego </w:t>
      </w:r>
      <w:r w:rsidR="00D12A35">
        <w:rPr>
          <w:rFonts w:asciiTheme="minorHAnsi" w:hAnsiTheme="minorHAnsi" w:cs="Arial"/>
          <w:sz w:val="22"/>
          <w:szCs w:val="22"/>
        </w:rPr>
        <w:t xml:space="preserve">możliwością stosowania </w:t>
      </w:r>
      <w:r w:rsidR="00006918">
        <w:rPr>
          <w:rFonts w:asciiTheme="minorHAnsi" w:hAnsiTheme="minorHAnsi" w:cs="Arial"/>
          <w:sz w:val="22"/>
          <w:szCs w:val="22"/>
        </w:rPr>
        <w:t>dopłat</w:t>
      </w:r>
      <w:r w:rsidR="00607155">
        <w:rPr>
          <w:rFonts w:asciiTheme="minorHAnsi" w:hAnsiTheme="minorHAnsi" w:cs="Arial"/>
          <w:sz w:val="22"/>
          <w:szCs w:val="22"/>
        </w:rPr>
        <w:t>. Warunki najmu mają zatem pośredni wpływ na prawo do dopłat. Ponadto z</w:t>
      </w:r>
      <w:r w:rsidR="00B53B21">
        <w:rPr>
          <w:rFonts w:asciiTheme="minorHAnsi" w:hAnsiTheme="minorHAnsi" w:cs="Arial"/>
          <w:sz w:val="22"/>
          <w:szCs w:val="22"/>
        </w:rPr>
        <w:t xml:space="preserve"> uwagi na to, że projektodawca nie limituje okresu, w którym wniosek o dopłaty może być złożony, najemca</w:t>
      </w:r>
      <w:r w:rsidR="00607155">
        <w:rPr>
          <w:rFonts w:asciiTheme="minorHAnsi" w:hAnsiTheme="minorHAnsi" w:cs="Arial"/>
          <w:sz w:val="22"/>
          <w:szCs w:val="22"/>
        </w:rPr>
        <w:t>, który</w:t>
      </w:r>
      <w:r w:rsidR="00B53B21">
        <w:rPr>
          <w:rFonts w:asciiTheme="minorHAnsi" w:hAnsiTheme="minorHAnsi" w:cs="Arial"/>
          <w:sz w:val="22"/>
          <w:szCs w:val="22"/>
        </w:rPr>
        <w:t xml:space="preserve"> </w:t>
      </w:r>
      <w:r w:rsidR="00607155" w:rsidRPr="00607155">
        <w:rPr>
          <w:rFonts w:asciiTheme="minorHAnsi" w:hAnsiTheme="minorHAnsi" w:cs="Arial"/>
          <w:sz w:val="22"/>
          <w:szCs w:val="22"/>
        </w:rPr>
        <w:t>nie posiada prawa do dopłat lub z ró</w:t>
      </w:r>
      <w:r w:rsidR="00607155">
        <w:rPr>
          <w:rFonts w:asciiTheme="minorHAnsi" w:hAnsiTheme="minorHAnsi" w:cs="Arial"/>
          <w:sz w:val="22"/>
          <w:szCs w:val="22"/>
        </w:rPr>
        <w:t>żnych wzglę</w:t>
      </w:r>
      <w:r w:rsidR="00607155" w:rsidRPr="00607155">
        <w:rPr>
          <w:rFonts w:asciiTheme="minorHAnsi" w:hAnsiTheme="minorHAnsi" w:cs="Arial"/>
          <w:sz w:val="22"/>
          <w:szCs w:val="22"/>
        </w:rPr>
        <w:t xml:space="preserve">dów nie </w:t>
      </w:r>
      <w:r w:rsidR="00607155">
        <w:rPr>
          <w:rFonts w:asciiTheme="minorHAnsi" w:hAnsiTheme="minorHAnsi" w:cs="Arial"/>
          <w:sz w:val="22"/>
          <w:szCs w:val="22"/>
        </w:rPr>
        <w:t>ubiega się</w:t>
      </w:r>
      <w:r w:rsidR="00607155" w:rsidRPr="00607155">
        <w:rPr>
          <w:rFonts w:asciiTheme="minorHAnsi" w:hAnsiTheme="minorHAnsi" w:cs="Arial"/>
          <w:sz w:val="22"/>
          <w:szCs w:val="22"/>
        </w:rPr>
        <w:t xml:space="preserve"> o dopłaty </w:t>
      </w:r>
      <w:r w:rsidR="00607155">
        <w:rPr>
          <w:rFonts w:asciiTheme="minorHAnsi" w:hAnsiTheme="minorHAnsi" w:cs="Arial"/>
          <w:sz w:val="22"/>
          <w:szCs w:val="22"/>
        </w:rPr>
        <w:t xml:space="preserve">w okresie tuż po zawarciu umowy najmu, </w:t>
      </w:r>
      <w:r w:rsidR="00B53B21">
        <w:rPr>
          <w:rFonts w:asciiTheme="minorHAnsi" w:hAnsiTheme="minorHAnsi" w:cs="Arial"/>
          <w:sz w:val="22"/>
          <w:szCs w:val="22"/>
        </w:rPr>
        <w:t>będzie mógł złożyć wniosek w przyszłości, np.</w:t>
      </w:r>
      <w:r w:rsidR="00C60E6A">
        <w:rPr>
          <w:rFonts w:asciiTheme="minorHAnsi" w:hAnsiTheme="minorHAnsi" w:cs="Arial"/>
          <w:sz w:val="22"/>
          <w:szCs w:val="22"/>
        </w:rPr>
        <w:t xml:space="preserve"> </w:t>
      </w:r>
      <w:r w:rsidR="00B53B21">
        <w:rPr>
          <w:rFonts w:asciiTheme="minorHAnsi" w:hAnsiTheme="minorHAnsi" w:cs="Arial"/>
          <w:sz w:val="22"/>
          <w:szCs w:val="22"/>
        </w:rPr>
        <w:t>w sytuacji, gdy zacznie spełniać warunki dla beneficjentów dopłat (ograniczeniu podlega jedynie okres</w:t>
      </w:r>
      <w:r w:rsidR="00D12A35">
        <w:rPr>
          <w:rFonts w:asciiTheme="minorHAnsi" w:hAnsiTheme="minorHAnsi" w:cs="Arial"/>
          <w:sz w:val="22"/>
          <w:szCs w:val="22"/>
        </w:rPr>
        <w:t>, jaki upłynął</w:t>
      </w:r>
      <w:r w:rsidR="00B53B21">
        <w:rPr>
          <w:rFonts w:asciiTheme="minorHAnsi" w:hAnsiTheme="minorHAnsi" w:cs="Arial"/>
          <w:sz w:val="22"/>
          <w:szCs w:val="22"/>
        </w:rPr>
        <w:t xml:space="preserve"> od </w:t>
      </w:r>
      <w:r w:rsidR="00D12A35">
        <w:rPr>
          <w:rFonts w:asciiTheme="minorHAnsi" w:hAnsiTheme="minorHAnsi" w:cs="Arial"/>
          <w:sz w:val="22"/>
          <w:szCs w:val="22"/>
        </w:rPr>
        <w:t>zakończenia inwestycji mieszkaniowej do pierwszego zasiedlenia</w:t>
      </w:r>
      <w:r w:rsidR="00B53B21">
        <w:rPr>
          <w:rFonts w:asciiTheme="minorHAnsi" w:hAnsiTheme="minorHAnsi" w:cs="Arial"/>
          <w:sz w:val="22"/>
          <w:szCs w:val="22"/>
        </w:rPr>
        <w:t>, co zostanie omówione w dalszej części niniejszego uzasadnienia).</w:t>
      </w:r>
    </w:p>
    <w:p w:rsidR="003F4D65" w:rsidRDefault="00EB69E7" w:rsidP="0087110A">
      <w:pPr>
        <w:tabs>
          <w:tab w:val="left" w:pos="540"/>
        </w:tabs>
        <w:spacing w:after="240" w:line="240" w:lineRule="exact"/>
        <w:rPr>
          <w:rFonts w:asciiTheme="minorHAnsi" w:hAnsiTheme="minorHAnsi" w:cs="Arial"/>
          <w:sz w:val="22"/>
          <w:szCs w:val="22"/>
        </w:rPr>
      </w:pPr>
      <w:r>
        <w:rPr>
          <w:rFonts w:asciiTheme="minorHAnsi" w:hAnsiTheme="minorHAnsi" w:cs="Arial"/>
          <w:sz w:val="22"/>
          <w:szCs w:val="22"/>
        </w:rPr>
        <w:t>Dopłaty mogą zostać udzielone, jeżeli najemca jest osobą fizyczną</w:t>
      </w:r>
      <w:r w:rsidR="003F4D65">
        <w:rPr>
          <w:rFonts w:asciiTheme="minorHAnsi" w:hAnsiTheme="minorHAnsi" w:cs="Arial"/>
          <w:sz w:val="22"/>
          <w:szCs w:val="22"/>
        </w:rPr>
        <w:t>. P</w:t>
      </w:r>
      <w:r>
        <w:rPr>
          <w:rFonts w:asciiTheme="minorHAnsi" w:hAnsiTheme="minorHAnsi" w:cs="Arial"/>
          <w:sz w:val="22"/>
          <w:szCs w:val="22"/>
        </w:rPr>
        <w:t xml:space="preserve">rojektowana ustawa wprowadza </w:t>
      </w:r>
      <w:r w:rsidR="003F4D65">
        <w:rPr>
          <w:rFonts w:asciiTheme="minorHAnsi" w:hAnsiTheme="minorHAnsi" w:cs="Arial"/>
          <w:sz w:val="22"/>
          <w:szCs w:val="22"/>
        </w:rPr>
        <w:t xml:space="preserve">jednak </w:t>
      </w:r>
      <w:r>
        <w:rPr>
          <w:rFonts w:asciiTheme="minorHAnsi" w:hAnsiTheme="minorHAnsi" w:cs="Arial"/>
          <w:sz w:val="22"/>
          <w:szCs w:val="22"/>
        </w:rPr>
        <w:t>w tym względzie ogranicze</w:t>
      </w:r>
      <w:r w:rsidR="003F4D65">
        <w:rPr>
          <w:rFonts w:asciiTheme="minorHAnsi" w:hAnsiTheme="minorHAnsi" w:cs="Arial"/>
          <w:sz w:val="22"/>
          <w:szCs w:val="22"/>
        </w:rPr>
        <w:t>nia</w:t>
      </w:r>
      <w:r>
        <w:rPr>
          <w:rFonts w:asciiTheme="minorHAnsi" w:hAnsiTheme="minorHAnsi" w:cs="Arial"/>
          <w:sz w:val="22"/>
          <w:szCs w:val="22"/>
        </w:rPr>
        <w:t xml:space="preserve"> dotycząc</w:t>
      </w:r>
      <w:r w:rsidR="003F4D65">
        <w:rPr>
          <w:rFonts w:asciiTheme="minorHAnsi" w:hAnsiTheme="minorHAnsi" w:cs="Arial"/>
          <w:sz w:val="22"/>
          <w:szCs w:val="22"/>
        </w:rPr>
        <w:t xml:space="preserve">e </w:t>
      </w:r>
      <w:r>
        <w:rPr>
          <w:rFonts w:asciiTheme="minorHAnsi" w:hAnsiTheme="minorHAnsi" w:cs="Arial"/>
          <w:sz w:val="22"/>
          <w:szCs w:val="22"/>
        </w:rPr>
        <w:t>obywatelstwa.</w:t>
      </w:r>
      <w:r w:rsidR="00565B62">
        <w:rPr>
          <w:rFonts w:asciiTheme="minorHAnsi" w:hAnsiTheme="minorHAnsi" w:cs="Arial"/>
          <w:sz w:val="22"/>
          <w:szCs w:val="22"/>
        </w:rPr>
        <w:t xml:space="preserve"> </w:t>
      </w:r>
      <w:r w:rsidR="00D2467E">
        <w:rPr>
          <w:rFonts w:asciiTheme="minorHAnsi" w:hAnsiTheme="minorHAnsi" w:cs="Arial"/>
          <w:sz w:val="22"/>
          <w:szCs w:val="22"/>
        </w:rPr>
        <w:t>Beneficjent dopłat powinien być obywatelem Polski i zamieszkiwać na terytorium Rzeczypospolitej Polskiej albo cudzoziemcem prz</w:t>
      </w:r>
      <w:r w:rsidR="00D2467E">
        <w:rPr>
          <w:rFonts w:asciiTheme="minorHAnsi" w:hAnsiTheme="minorHAnsi" w:cs="Arial"/>
          <w:sz w:val="22"/>
          <w:szCs w:val="22"/>
        </w:rPr>
        <w:t>e</w:t>
      </w:r>
      <w:r w:rsidR="00D2467E">
        <w:rPr>
          <w:rFonts w:asciiTheme="minorHAnsi" w:hAnsiTheme="minorHAnsi" w:cs="Arial"/>
          <w:sz w:val="22"/>
          <w:szCs w:val="22"/>
        </w:rPr>
        <w:t>bywającym na terytorium Polski na podstawie jednego z określonych w projektowanej ustawie d</w:t>
      </w:r>
      <w:r w:rsidR="00D2467E">
        <w:rPr>
          <w:rFonts w:asciiTheme="minorHAnsi" w:hAnsiTheme="minorHAnsi" w:cs="Arial"/>
          <w:sz w:val="22"/>
          <w:szCs w:val="22"/>
        </w:rPr>
        <w:t>o</w:t>
      </w:r>
      <w:r w:rsidR="00D2467E">
        <w:rPr>
          <w:rFonts w:asciiTheme="minorHAnsi" w:hAnsiTheme="minorHAnsi" w:cs="Arial"/>
          <w:sz w:val="22"/>
          <w:szCs w:val="22"/>
        </w:rPr>
        <w:t xml:space="preserve">kumentów. Cel takiego ograniczenia wyznacza cel </w:t>
      </w:r>
      <w:r w:rsidR="00242B6C">
        <w:rPr>
          <w:rFonts w:asciiTheme="minorHAnsi" w:hAnsiTheme="minorHAnsi" w:cs="Arial"/>
          <w:sz w:val="22"/>
          <w:szCs w:val="22"/>
        </w:rPr>
        <w:t xml:space="preserve">projektowanej </w:t>
      </w:r>
      <w:r w:rsidR="00D2467E">
        <w:rPr>
          <w:rFonts w:asciiTheme="minorHAnsi" w:hAnsiTheme="minorHAnsi" w:cs="Arial"/>
          <w:sz w:val="22"/>
          <w:szCs w:val="22"/>
        </w:rPr>
        <w:t xml:space="preserve">ustawy </w:t>
      </w:r>
      <w:r w:rsidR="00242B6C">
        <w:rPr>
          <w:rFonts w:asciiTheme="minorHAnsi" w:hAnsiTheme="minorHAnsi" w:cs="Arial"/>
          <w:sz w:val="22"/>
          <w:szCs w:val="22"/>
        </w:rPr>
        <w:t>stanowiącej odpowiedź</w:t>
      </w:r>
      <w:r w:rsidR="00D2467E">
        <w:rPr>
          <w:rFonts w:asciiTheme="minorHAnsi" w:hAnsiTheme="minorHAnsi" w:cs="Arial"/>
          <w:sz w:val="22"/>
          <w:szCs w:val="22"/>
        </w:rPr>
        <w:t xml:space="preserve"> na zdiagnozowane potrzeby mieszkaniowe Polaków</w:t>
      </w:r>
      <w:r w:rsidR="0087110A" w:rsidRPr="0087110A">
        <w:rPr>
          <w:rFonts w:asciiTheme="minorHAnsi" w:hAnsiTheme="minorHAnsi" w:cs="Arial"/>
          <w:sz w:val="22"/>
          <w:szCs w:val="22"/>
        </w:rPr>
        <w:t xml:space="preserve">. </w:t>
      </w:r>
      <w:r w:rsidR="00D07A5B">
        <w:rPr>
          <w:rFonts w:asciiTheme="minorHAnsi" w:hAnsiTheme="minorHAnsi" w:cs="Arial"/>
          <w:sz w:val="22"/>
          <w:szCs w:val="22"/>
        </w:rPr>
        <w:t>Instrument</w:t>
      </w:r>
      <w:r w:rsidR="0087110A" w:rsidRPr="0087110A">
        <w:rPr>
          <w:rFonts w:asciiTheme="minorHAnsi" w:hAnsiTheme="minorHAnsi" w:cs="Arial"/>
          <w:sz w:val="22"/>
          <w:szCs w:val="22"/>
        </w:rPr>
        <w:t xml:space="preserve"> dopłat do czynszu to bowiem przede wszystkim program poprawy dostępności mieszkań dla polskich rodzin. W kontekście cudzoziemców szczególnie istotne staje się to, by pomoc była kierowana do</w:t>
      </w:r>
      <w:r w:rsidR="0087110A">
        <w:rPr>
          <w:rFonts w:asciiTheme="minorHAnsi" w:hAnsiTheme="minorHAnsi" w:cs="Arial"/>
          <w:sz w:val="22"/>
          <w:szCs w:val="22"/>
        </w:rPr>
        <w:t xml:space="preserve"> tych osób, które wiążą </w:t>
      </w:r>
      <w:r w:rsidR="0087110A" w:rsidRPr="0087110A">
        <w:rPr>
          <w:rFonts w:asciiTheme="minorHAnsi" w:hAnsiTheme="minorHAnsi" w:cs="Arial"/>
          <w:sz w:val="22"/>
          <w:szCs w:val="22"/>
        </w:rPr>
        <w:t xml:space="preserve">z Polską ścieżkę </w:t>
      </w:r>
      <w:r w:rsidR="0087110A">
        <w:rPr>
          <w:rFonts w:asciiTheme="minorHAnsi" w:hAnsiTheme="minorHAnsi" w:cs="Arial"/>
          <w:sz w:val="22"/>
          <w:szCs w:val="22"/>
        </w:rPr>
        <w:t xml:space="preserve">zawodową. Osoby ubiegające się </w:t>
      </w:r>
      <w:r w:rsidR="0087110A" w:rsidRPr="0087110A">
        <w:rPr>
          <w:rFonts w:asciiTheme="minorHAnsi" w:hAnsiTheme="minorHAnsi" w:cs="Arial"/>
          <w:sz w:val="22"/>
          <w:szCs w:val="22"/>
        </w:rPr>
        <w:t>o dopłaty powinny być w stanie sprostać obciążeniom wynikającym z umowy najmu w zakresie nieobjętym dopłatą. Z uwagi na to, że w przypadku cudzoziemców będą to osoby, których życie jest przez pewien czas związane z Polską, np. osoby tu pracujące, ryzyko w</w:t>
      </w:r>
      <w:r w:rsidR="0087110A" w:rsidRPr="0087110A">
        <w:rPr>
          <w:rFonts w:asciiTheme="minorHAnsi" w:hAnsiTheme="minorHAnsi" w:cs="Arial"/>
          <w:sz w:val="22"/>
          <w:szCs w:val="22"/>
        </w:rPr>
        <w:t>y</w:t>
      </w:r>
      <w:r w:rsidR="0087110A" w:rsidRPr="0087110A">
        <w:rPr>
          <w:rFonts w:asciiTheme="minorHAnsi" w:hAnsiTheme="minorHAnsi" w:cs="Arial"/>
          <w:sz w:val="22"/>
          <w:szCs w:val="22"/>
        </w:rPr>
        <w:t xml:space="preserve">nikające </w:t>
      </w:r>
      <w:r w:rsidR="00092D2C">
        <w:rPr>
          <w:rFonts w:asciiTheme="minorHAnsi" w:hAnsiTheme="minorHAnsi" w:cs="Arial"/>
          <w:sz w:val="22"/>
          <w:szCs w:val="22"/>
        </w:rPr>
        <w:br/>
      </w:r>
      <w:r w:rsidR="0087110A" w:rsidRPr="0087110A">
        <w:rPr>
          <w:rFonts w:asciiTheme="minorHAnsi" w:hAnsiTheme="minorHAnsi" w:cs="Arial"/>
          <w:sz w:val="22"/>
          <w:szCs w:val="22"/>
        </w:rPr>
        <w:t xml:space="preserve">z niewypłacalności najemcy maleje. </w:t>
      </w:r>
      <w:r w:rsidR="00920B85">
        <w:rPr>
          <w:rFonts w:asciiTheme="minorHAnsi" w:hAnsiTheme="minorHAnsi" w:cs="Arial"/>
          <w:sz w:val="22"/>
          <w:szCs w:val="22"/>
        </w:rPr>
        <w:t>T</w:t>
      </w:r>
      <w:r w:rsidR="0087110A" w:rsidRPr="0087110A">
        <w:rPr>
          <w:rFonts w:asciiTheme="minorHAnsi" w:hAnsiTheme="minorHAnsi" w:cs="Arial"/>
          <w:sz w:val="22"/>
          <w:szCs w:val="22"/>
        </w:rPr>
        <w:t xml:space="preserve">akie przesądzenie </w:t>
      </w:r>
      <w:r w:rsidR="00B13825">
        <w:rPr>
          <w:rFonts w:asciiTheme="minorHAnsi" w:hAnsiTheme="minorHAnsi" w:cs="Arial"/>
          <w:sz w:val="22"/>
          <w:szCs w:val="22"/>
        </w:rPr>
        <w:t>rodzi</w:t>
      </w:r>
      <w:r w:rsidR="00920B85">
        <w:rPr>
          <w:rFonts w:asciiTheme="minorHAnsi" w:hAnsiTheme="minorHAnsi" w:cs="Arial"/>
          <w:sz w:val="22"/>
          <w:szCs w:val="22"/>
        </w:rPr>
        <w:t xml:space="preserve"> </w:t>
      </w:r>
      <w:r w:rsidR="00B13825">
        <w:rPr>
          <w:rFonts w:asciiTheme="minorHAnsi" w:hAnsiTheme="minorHAnsi" w:cs="Arial"/>
          <w:sz w:val="22"/>
          <w:szCs w:val="22"/>
        </w:rPr>
        <w:t>ponadto</w:t>
      </w:r>
      <w:r w:rsidR="0087110A" w:rsidRPr="0087110A">
        <w:rPr>
          <w:rFonts w:asciiTheme="minorHAnsi" w:hAnsiTheme="minorHAnsi" w:cs="Arial"/>
          <w:sz w:val="22"/>
          <w:szCs w:val="22"/>
        </w:rPr>
        <w:t xml:space="preserve"> korzyści motywowane potrz</w:t>
      </w:r>
      <w:r w:rsidR="0087110A" w:rsidRPr="0087110A">
        <w:rPr>
          <w:rFonts w:asciiTheme="minorHAnsi" w:hAnsiTheme="minorHAnsi" w:cs="Arial"/>
          <w:sz w:val="22"/>
          <w:szCs w:val="22"/>
        </w:rPr>
        <w:t>e</w:t>
      </w:r>
      <w:r w:rsidR="0087110A" w:rsidRPr="0087110A">
        <w:rPr>
          <w:rFonts w:asciiTheme="minorHAnsi" w:hAnsiTheme="minorHAnsi" w:cs="Arial"/>
          <w:sz w:val="22"/>
          <w:szCs w:val="22"/>
        </w:rPr>
        <w:t>bami rynku pracy</w:t>
      </w:r>
      <w:r w:rsidR="00732E43">
        <w:rPr>
          <w:rFonts w:asciiTheme="minorHAnsi" w:hAnsiTheme="minorHAnsi" w:cs="Arial"/>
          <w:sz w:val="22"/>
          <w:szCs w:val="22"/>
        </w:rPr>
        <w:t xml:space="preserve">, który w niektórych branżach (np. w budownictwie) cierpi na brak pracowników. </w:t>
      </w:r>
    </w:p>
    <w:p w:rsidR="00C03903" w:rsidRPr="00C03903" w:rsidRDefault="00B13825" w:rsidP="00092D2C">
      <w:pPr>
        <w:tabs>
          <w:tab w:val="left" w:pos="540"/>
        </w:tabs>
        <w:spacing w:after="240" w:line="240" w:lineRule="exact"/>
        <w:rPr>
          <w:rFonts w:asciiTheme="minorHAnsi" w:hAnsiTheme="minorHAnsi" w:cs="Arial"/>
          <w:sz w:val="22"/>
          <w:szCs w:val="22"/>
        </w:rPr>
      </w:pPr>
      <w:r>
        <w:rPr>
          <w:rFonts w:asciiTheme="minorHAnsi" w:hAnsiTheme="minorHAnsi" w:cs="Arial"/>
          <w:sz w:val="22"/>
          <w:szCs w:val="22"/>
        </w:rPr>
        <w:t>W</w:t>
      </w:r>
      <w:r w:rsidR="00EB69E7">
        <w:rPr>
          <w:rFonts w:asciiTheme="minorHAnsi" w:hAnsiTheme="minorHAnsi" w:cs="Arial"/>
          <w:sz w:val="22"/>
          <w:szCs w:val="22"/>
        </w:rPr>
        <w:t xml:space="preserve"> dniu złożenia wniosku o dopłaty </w:t>
      </w:r>
      <w:r w:rsidR="00DF2C8C">
        <w:rPr>
          <w:rFonts w:asciiTheme="minorHAnsi" w:hAnsiTheme="minorHAnsi" w:cs="Arial"/>
          <w:sz w:val="22"/>
          <w:szCs w:val="22"/>
        </w:rPr>
        <w:t xml:space="preserve">najemca </w:t>
      </w:r>
      <w:r w:rsidR="00EB69E7">
        <w:rPr>
          <w:rFonts w:asciiTheme="minorHAnsi" w:hAnsiTheme="minorHAnsi" w:cs="Arial"/>
          <w:sz w:val="22"/>
          <w:szCs w:val="22"/>
        </w:rPr>
        <w:t xml:space="preserve">nie może być </w:t>
      </w:r>
      <w:r w:rsidR="00EB69E7" w:rsidRPr="00EB69E7">
        <w:rPr>
          <w:rFonts w:asciiTheme="minorHAnsi" w:hAnsiTheme="minorHAnsi" w:cs="Arial"/>
          <w:sz w:val="22"/>
          <w:szCs w:val="22"/>
        </w:rPr>
        <w:t>właścicielem lub współwłaścicielem b</w:t>
      </w:r>
      <w:r w:rsidR="00EB69E7" w:rsidRPr="00EB69E7">
        <w:rPr>
          <w:rFonts w:asciiTheme="minorHAnsi" w:hAnsiTheme="minorHAnsi" w:cs="Arial"/>
          <w:sz w:val="22"/>
          <w:szCs w:val="22"/>
        </w:rPr>
        <w:t>u</w:t>
      </w:r>
      <w:r w:rsidR="00EB69E7" w:rsidRPr="00EB69E7">
        <w:rPr>
          <w:rFonts w:asciiTheme="minorHAnsi" w:hAnsiTheme="minorHAnsi" w:cs="Arial"/>
          <w:sz w:val="22"/>
          <w:szCs w:val="22"/>
        </w:rPr>
        <w:t>dynku mieszkalnego</w:t>
      </w:r>
      <w:r w:rsidR="004714BA">
        <w:rPr>
          <w:rFonts w:asciiTheme="minorHAnsi" w:hAnsiTheme="minorHAnsi" w:cs="Arial"/>
          <w:sz w:val="22"/>
          <w:szCs w:val="22"/>
        </w:rPr>
        <w:t xml:space="preserve"> jednorodzinnego</w:t>
      </w:r>
      <w:r w:rsidR="00EB69E7" w:rsidRPr="00EB69E7">
        <w:rPr>
          <w:rFonts w:asciiTheme="minorHAnsi" w:hAnsiTheme="minorHAnsi" w:cs="Arial"/>
          <w:sz w:val="22"/>
          <w:szCs w:val="22"/>
        </w:rPr>
        <w:t xml:space="preserve"> lub lokalu mieszkalnego</w:t>
      </w:r>
      <w:r w:rsidR="00EB69E7">
        <w:rPr>
          <w:rFonts w:asciiTheme="minorHAnsi" w:hAnsiTheme="minorHAnsi" w:cs="Arial"/>
          <w:sz w:val="22"/>
          <w:szCs w:val="22"/>
        </w:rPr>
        <w:t>,</w:t>
      </w:r>
      <w:r w:rsidR="004714BA" w:rsidRPr="004714BA">
        <w:rPr>
          <w:rFonts w:asciiTheme="minorHAnsi" w:eastAsia="Times New Roman" w:hAnsiTheme="minorHAnsi" w:cs="Arial"/>
          <w:sz w:val="22"/>
          <w:szCs w:val="22"/>
        </w:rPr>
        <w:t xml:space="preserve"> </w:t>
      </w:r>
      <w:r w:rsidR="004714BA">
        <w:rPr>
          <w:rFonts w:asciiTheme="minorHAnsi" w:eastAsia="Times New Roman" w:hAnsiTheme="minorHAnsi" w:cs="Arial"/>
          <w:sz w:val="22"/>
          <w:szCs w:val="22"/>
        </w:rPr>
        <w:t>lub</w:t>
      </w:r>
      <w:r w:rsidR="004714BA">
        <w:rPr>
          <w:rFonts w:eastAsia="Times New Roman" w:cs="Arial"/>
          <w:szCs w:val="20"/>
        </w:rPr>
        <w:t xml:space="preserve"> </w:t>
      </w:r>
      <w:r w:rsidR="00FB0657" w:rsidRPr="004714BA">
        <w:rPr>
          <w:rFonts w:asciiTheme="minorHAnsi" w:hAnsiTheme="minorHAnsi" w:cs="Arial"/>
          <w:sz w:val="22"/>
          <w:szCs w:val="22"/>
        </w:rPr>
        <w:t>budynku, jeżeli jego udział w przypadku zniesienia współwłasności obejmowałby co najmniej jeden lokal mieszkalny</w:t>
      </w:r>
      <w:r>
        <w:rPr>
          <w:rFonts w:asciiTheme="minorHAnsi" w:hAnsiTheme="minorHAnsi" w:cs="Arial"/>
          <w:sz w:val="22"/>
          <w:szCs w:val="22"/>
        </w:rPr>
        <w:t>.</w:t>
      </w:r>
      <w:r w:rsidR="00EB69E7" w:rsidRPr="00EB69E7">
        <w:rPr>
          <w:rFonts w:asciiTheme="minorHAnsi" w:hAnsiTheme="minorHAnsi" w:cs="Arial"/>
          <w:sz w:val="22"/>
          <w:szCs w:val="22"/>
        </w:rPr>
        <w:t xml:space="preserve"> </w:t>
      </w:r>
      <w:r>
        <w:rPr>
          <w:rFonts w:asciiTheme="minorHAnsi" w:hAnsiTheme="minorHAnsi" w:cs="Arial"/>
          <w:sz w:val="22"/>
          <w:szCs w:val="22"/>
        </w:rPr>
        <w:t>N</w:t>
      </w:r>
      <w:r w:rsidR="00EB69E7" w:rsidRPr="00EB69E7">
        <w:rPr>
          <w:rFonts w:asciiTheme="minorHAnsi" w:hAnsiTheme="minorHAnsi" w:cs="Arial"/>
          <w:sz w:val="22"/>
          <w:szCs w:val="22"/>
        </w:rPr>
        <w:t xml:space="preserve">ie </w:t>
      </w:r>
      <w:r w:rsidR="00EB69E7">
        <w:rPr>
          <w:rFonts w:asciiTheme="minorHAnsi" w:hAnsiTheme="minorHAnsi" w:cs="Arial"/>
          <w:sz w:val="22"/>
          <w:szCs w:val="22"/>
        </w:rPr>
        <w:t xml:space="preserve">może mu </w:t>
      </w:r>
      <w:r>
        <w:rPr>
          <w:rFonts w:asciiTheme="minorHAnsi" w:hAnsiTheme="minorHAnsi" w:cs="Arial"/>
          <w:sz w:val="22"/>
          <w:szCs w:val="22"/>
        </w:rPr>
        <w:t xml:space="preserve">również </w:t>
      </w:r>
      <w:r w:rsidR="00EB69E7" w:rsidRPr="00EB69E7">
        <w:rPr>
          <w:rFonts w:asciiTheme="minorHAnsi" w:hAnsiTheme="minorHAnsi" w:cs="Arial"/>
          <w:sz w:val="22"/>
          <w:szCs w:val="22"/>
        </w:rPr>
        <w:t>przysług</w:t>
      </w:r>
      <w:r w:rsidR="00EB69E7">
        <w:rPr>
          <w:rFonts w:asciiTheme="minorHAnsi" w:hAnsiTheme="minorHAnsi" w:cs="Arial"/>
          <w:sz w:val="22"/>
          <w:szCs w:val="22"/>
        </w:rPr>
        <w:t xml:space="preserve">iwać </w:t>
      </w:r>
      <w:r w:rsidR="00EB69E7" w:rsidRPr="00EB69E7">
        <w:rPr>
          <w:rFonts w:asciiTheme="minorHAnsi" w:hAnsiTheme="minorHAnsi" w:cs="Arial"/>
          <w:sz w:val="22"/>
          <w:szCs w:val="22"/>
        </w:rPr>
        <w:t>w całości lub w części spółdzielcze własnościowe prawo do lokalu, którego przedmiotem jest lokal mieszkalny lub dom jednorodzinny</w:t>
      </w:r>
      <w:r w:rsidR="00EB69E7">
        <w:rPr>
          <w:rFonts w:asciiTheme="minorHAnsi" w:hAnsiTheme="minorHAnsi" w:cs="Arial"/>
          <w:sz w:val="22"/>
          <w:szCs w:val="22"/>
        </w:rPr>
        <w:t>. Jest to motywowane charakterem i</w:t>
      </w:r>
      <w:r w:rsidR="00EB69E7">
        <w:rPr>
          <w:rFonts w:asciiTheme="minorHAnsi" w:hAnsiTheme="minorHAnsi" w:cs="Arial"/>
          <w:sz w:val="22"/>
          <w:szCs w:val="22"/>
        </w:rPr>
        <w:t>n</w:t>
      </w:r>
      <w:r w:rsidR="00EB69E7">
        <w:rPr>
          <w:rFonts w:asciiTheme="minorHAnsi" w:hAnsiTheme="minorHAnsi" w:cs="Arial"/>
          <w:sz w:val="22"/>
          <w:szCs w:val="22"/>
        </w:rPr>
        <w:t>strumentu, który ma za zadanie wspierać osoby mniej zamożne, napotykające trudności finansowe związane z utrzymaniem wynajmowanych mieszkań. Poza tytułami umożliwiającymi władanie nier</w:t>
      </w:r>
      <w:r w:rsidR="00EB69E7">
        <w:rPr>
          <w:rFonts w:asciiTheme="minorHAnsi" w:hAnsiTheme="minorHAnsi" w:cs="Arial"/>
          <w:sz w:val="22"/>
          <w:szCs w:val="22"/>
        </w:rPr>
        <w:t>u</w:t>
      </w:r>
      <w:r w:rsidR="00EB69E7">
        <w:rPr>
          <w:rFonts w:asciiTheme="minorHAnsi" w:hAnsiTheme="minorHAnsi" w:cs="Arial"/>
          <w:sz w:val="22"/>
          <w:szCs w:val="22"/>
        </w:rPr>
        <w:t>chomością jako właściciel ograniczono również prawo do ubiegania się o dopłaty</w:t>
      </w:r>
      <w:r w:rsidR="001A7DAF">
        <w:rPr>
          <w:rFonts w:asciiTheme="minorHAnsi" w:hAnsiTheme="minorHAnsi" w:cs="Arial"/>
          <w:sz w:val="22"/>
          <w:szCs w:val="22"/>
        </w:rPr>
        <w:t xml:space="preserve"> najemcom innych określonych rodzajowo lokali mieszkalnych</w:t>
      </w:r>
      <w:r w:rsidR="005049BB">
        <w:rPr>
          <w:rFonts w:asciiTheme="minorHAnsi" w:hAnsiTheme="minorHAnsi" w:cs="Arial"/>
          <w:sz w:val="22"/>
          <w:szCs w:val="22"/>
        </w:rPr>
        <w:t xml:space="preserve"> (innych niż </w:t>
      </w:r>
      <w:r w:rsidR="00541BC4">
        <w:rPr>
          <w:rFonts w:asciiTheme="minorHAnsi" w:hAnsiTheme="minorHAnsi" w:cs="Arial"/>
          <w:sz w:val="22"/>
          <w:szCs w:val="22"/>
        </w:rPr>
        <w:t xml:space="preserve">lokale </w:t>
      </w:r>
      <w:r w:rsidR="005049BB">
        <w:rPr>
          <w:rFonts w:asciiTheme="minorHAnsi" w:hAnsiTheme="minorHAnsi" w:cs="Arial"/>
          <w:sz w:val="22"/>
          <w:szCs w:val="22"/>
        </w:rPr>
        <w:t>objęte prawem do dopłat)</w:t>
      </w:r>
      <w:r w:rsidR="001A7DAF">
        <w:rPr>
          <w:rFonts w:asciiTheme="minorHAnsi" w:hAnsiTheme="minorHAnsi" w:cs="Arial"/>
          <w:sz w:val="22"/>
          <w:szCs w:val="22"/>
        </w:rPr>
        <w:t>, a także os</w:t>
      </w:r>
      <w:r w:rsidR="001A7DAF">
        <w:rPr>
          <w:rFonts w:asciiTheme="minorHAnsi" w:hAnsiTheme="minorHAnsi" w:cs="Arial"/>
          <w:sz w:val="22"/>
          <w:szCs w:val="22"/>
        </w:rPr>
        <w:t>o</w:t>
      </w:r>
      <w:r w:rsidR="001A7DAF">
        <w:rPr>
          <w:rFonts w:asciiTheme="minorHAnsi" w:hAnsiTheme="minorHAnsi" w:cs="Arial"/>
          <w:sz w:val="22"/>
          <w:szCs w:val="22"/>
        </w:rPr>
        <w:t>bom, którym przysługuje spółdzielcze lokatorskie prawo do lokalu. W pierwszym wskazanym prz</w:t>
      </w:r>
      <w:r w:rsidR="001A7DAF">
        <w:rPr>
          <w:rFonts w:asciiTheme="minorHAnsi" w:hAnsiTheme="minorHAnsi" w:cs="Arial"/>
          <w:sz w:val="22"/>
          <w:szCs w:val="22"/>
        </w:rPr>
        <w:t>y</w:t>
      </w:r>
      <w:r w:rsidR="001A7DAF">
        <w:rPr>
          <w:rFonts w:asciiTheme="minorHAnsi" w:hAnsiTheme="minorHAnsi" w:cs="Arial"/>
          <w:sz w:val="22"/>
          <w:szCs w:val="22"/>
        </w:rPr>
        <w:t xml:space="preserve">padku </w:t>
      </w:r>
      <w:r w:rsidR="00C03903">
        <w:rPr>
          <w:rFonts w:asciiTheme="minorHAnsi" w:hAnsiTheme="minorHAnsi" w:cs="Arial"/>
          <w:sz w:val="22"/>
          <w:szCs w:val="22"/>
        </w:rPr>
        <w:t xml:space="preserve">ograniczenie w postaci zobowiązania do rozwiązania umowy najmu </w:t>
      </w:r>
      <w:r w:rsidR="001A7DAF">
        <w:rPr>
          <w:rFonts w:asciiTheme="minorHAnsi" w:hAnsiTheme="minorHAnsi" w:cs="Arial"/>
          <w:sz w:val="22"/>
          <w:szCs w:val="22"/>
        </w:rPr>
        <w:t xml:space="preserve">odnosi się do najemców </w:t>
      </w:r>
      <w:r w:rsidR="00FE7D89">
        <w:rPr>
          <w:rFonts w:asciiTheme="minorHAnsi" w:hAnsiTheme="minorHAnsi" w:cs="Arial"/>
          <w:sz w:val="22"/>
          <w:szCs w:val="22"/>
        </w:rPr>
        <w:t xml:space="preserve">innych niż </w:t>
      </w:r>
      <w:r>
        <w:rPr>
          <w:rFonts w:asciiTheme="minorHAnsi" w:hAnsiTheme="minorHAnsi" w:cs="Arial"/>
          <w:sz w:val="22"/>
          <w:szCs w:val="22"/>
        </w:rPr>
        <w:t>lokal</w:t>
      </w:r>
      <w:r w:rsidR="0091458B">
        <w:rPr>
          <w:rFonts w:asciiTheme="minorHAnsi" w:hAnsiTheme="minorHAnsi" w:cs="Arial"/>
          <w:sz w:val="22"/>
          <w:szCs w:val="22"/>
        </w:rPr>
        <w:t>,</w:t>
      </w:r>
      <w:r w:rsidR="00BE1AAA">
        <w:rPr>
          <w:rFonts w:asciiTheme="minorHAnsi" w:hAnsiTheme="minorHAnsi" w:cs="Arial"/>
          <w:sz w:val="22"/>
          <w:szCs w:val="22"/>
        </w:rPr>
        <w:t xml:space="preserve"> </w:t>
      </w:r>
      <w:r w:rsidR="0091458B">
        <w:rPr>
          <w:rFonts w:asciiTheme="minorHAnsi" w:hAnsiTheme="minorHAnsi" w:cs="Arial"/>
          <w:sz w:val="22"/>
          <w:szCs w:val="22"/>
        </w:rPr>
        <w:t xml:space="preserve">w związku z najmem którego </w:t>
      </w:r>
      <w:r>
        <w:rPr>
          <w:rFonts w:asciiTheme="minorHAnsi" w:hAnsiTheme="minorHAnsi" w:cs="Arial"/>
          <w:sz w:val="22"/>
          <w:szCs w:val="22"/>
        </w:rPr>
        <w:t xml:space="preserve">mają być </w:t>
      </w:r>
      <w:r w:rsidR="0091458B">
        <w:rPr>
          <w:rFonts w:asciiTheme="minorHAnsi" w:hAnsiTheme="minorHAnsi" w:cs="Arial"/>
          <w:sz w:val="22"/>
          <w:szCs w:val="22"/>
        </w:rPr>
        <w:t xml:space="preserve">stosowane dopłaty, </w:t>
      </w:r>
      <w:r w:rsidR="00FE7D89">
        <w:rPr>
          <w:rFonts w:asciiTheme="minorHAnsi" w:hAnsiTheme="minorHAnsi" w:cs="Arial"/>
          <w:sz w:val="22"/>
          <w:szCs w:val="22"/>
        </w:rPr>
        <w:t>lokali mieszkalnych</w:t>
      </w:r>
      <w:r w:rsidR="001A7DAF">
        <w:rPr>
          <w:rFonts w:asciiTheme="minorHAnsi" w:hAnsiTheme="minorHAnsi" w:cs="Arial"/>
          <w:sz w:val="22"/>
          <w:szCs w:val="22"/>
        </w:rPr>
        <w:t xml:space="preserve"> p</w:t>
      </w:r>
      <w:r w:rsidR="001A7DAF">
        <w:rPr>
          <w:rFonts w:asciiTheme="minorHAnsi" w:hAnsiTheme="minorHAnsi" w:cs="Arial"/>
          <w:sz w:val="22"/>
          <w:szCs w:val="22"/>
        </w:rPr>
        <w:t>o</w:t>
      </w:r>
      <w:r w:rsidR="001A7DAF">
        <w:rPr>
          <w:rFonts w:asciiTheme="minorHAnsi" w:hAnsiTheme="minorHAnsi" w:cs="Arial"/>
          <w:sz w:val="22"/>
          <w:szCs w:val="22"/>
        </w:rPr>
        <w:t xml:space="preserve">wstałych z wykorzystaniem preferencyjnego finansowego wsparcia udzielanego na mocy </w:t>
      </w:r>
      <w:r w:rsidR="001A7DAF" w:rsidRPr="001A7DAF">
        <w:rPr>
          <w:rFonts w:asciiTheme="minorHAnsi" w:hAnsiTheme="minorHAnsi" w:cs="Arial"/>
          <w:i/>
          <w:sz w:val="22"/>
          <w:szCs w:val="22"/>
        </w:rPr>
        <w:t>ustawy z dnia 26 października 1995 r.</w:t>
      </w:r>
      <w:r w:rsidR="00BE1AAA">
        <w:rPr>
          <w:rFonts w:asciiTheme="minorHAnsi" w:hAnsiTheme="minorHAnsi" w:cs="Arial"/>
          <w:i/>
          <w:sz w:val="22"/>
          <w:szCs w:val="22"/>
        </w:rPr>
        <w:t xml:space="preserve"> </w:t>
      </w:r>
      <w:r w:rsidR="001A7DAF" w:rsidRPr="001A7DAF">
        <w:rPr>
          <w:rFonts w:asciiTheme="minorHAnsi" w:hAnsiTheme="minorHAnsi" w:cs="Arial"/>
          <w:i/>
          <w:sz w:val="22"/>
          <w:szCs w:val="22"/>
        </w:rPr>
        <w:t>o niektórych formach popierania budownictwa mieszkaniowego</w:t>
      </w:r>
      <w:r w:rsidR="001A7DAF" w:rsidRPr="001A7DAF">
        <w:rPr>
          <w:rFonts w:asciiTheme="minorHAnsi" w:hAnsiTheme="minorHAnsi" w:cs="Arial"/>
          <w:sz w:val="22"/>
          <w:szCs w:val="22"/>
        </w:rPr>
        <w:t xml:space="preserve"> (Dz. U. z 2017 r. poz. 79 i 1442)</w:t>
      </w:r>
      <w:r w:rsidR="001A7DAF">
        <w:rPr>
          <w:rFonts w:asciiTheme="minorHAnsi" w:hAnsiTheme="minorHAnsi" w:cs="Arial"/>
          <w:sz w:val="22"/>
          <w:szCs w:val="22"/>
        </w:rPr>
        <w:t xml:space="preserve">, a także najemców </w:t>
      </w:r>
      <w:r w:rsidR="00074E08">
        <w:rPr>
          <w:rFonts w:asciiTheme="minorHAnsi" w:hAnsiTheme="minorHAnsi" w:cs="Arial"/>
          <w:sz w:val="22"/>
          <w:szCs w:val="22"/>
        </w:rPr>
        <w:t xml:space="preserve">innych niż wcześniej wymienione </w:t>
      </w:r>
      <w:r w:rsidR="001A7DAF">
        <w:rPr>
          <w:rFonts w:asciiTheme="minorHAnsi" w:hAnsiTheme="minorHAnsi" w:cs="Arial"/>
          <w:sz w:val="22"/>
          <w:szCs w:val="22"/>
        </w:rPr>
        <w:t xml:space="preserve">lokali wchodzących w skład mieszkaniowego zasobu gminy. </w:t>
      </w:r>
      <w:r w:rsidR="00C03903">
        <w:rPr>
          <w:rFonts w:asciiTheme="minorHAnsi" w:hAnsiTheme="minorHAnsi" w:cs="Arial"/>
          <w:sz w:val="22"/>
          <w:szCs w:val="22"/>
        </w:rPr>
        <w:t xml:space="preserve">Innymi słowy, zgodnie z intencją ustawodawcy </w:t>
      </w:r>
      <w:r w:rsidR="004F1A52">
        <w:rPr>
          <w:rFonts w:asciiTheme="minorHAnsi" w:hAnsiTheme="minorHAnsi" w:cs="Arial"/>
          <w:sz w:val="22"/>
          <w:szCs w:val="22"/>
        </w:rPr>
        <w:t xml:space="preserve">zobowiązanie do rozwiązania umowy najmu </w:t>
      </w:r>
      <w:r w:rsidR="00092D2C">
        <w:rPr>
          <w:rFonts w:asciiTheme="minorHAnsi" w:hAnsiTheme="minorHAnsi" w:cs="Arial"/>
          <w:sz w:val="22"/>
          <w:szCs w:val="22"/>
        </w:rPr>
        <w:br/>
      </w:r>
      <w:r w:rsidR="004F1A52">
        <w:rPr>
          <w:rFonts w:asciiTheme="minorHAnsi" w:hAnsiTheme="minorHAnsi" w:cs="Arial"/>
          <w:sz w:val="22"/>
          <w:szCs w:val="22"/>
        </w:rPr>
        <w:t>i opróżnienia lokalu musi złożyć najemca, który</w:t>
      </w:r>
      <w:r w:rsidR="00C03903" w:rsidRPr="00C03903">
        <w:rPr>
          <w:rFonts w:asciiTheme="minorHAnsi" w:hAnsiTheme="minorHAnsi" w:cs="Arial"/>
          <w:sz w:val="22"/>
          <w:szCs w:val="22"/>
        </w:rPr>
        <w:t xml:space="preserve"> </w:t>
      </w:r>
      <w:r w:rsidR="004F1A52">
        <w:rPr>
          <w:rFonts w:asciiTheme="minorHAnsi" w:hAnsiTheme="minorHAnsi" w:cs="Arial"/>
          <w:sz w:val="22"/>
          <w:szCs w:val="22"/>
        </w:rPr>
        <w:t>jest</w:t>
      </w:r>
      <w:r w:rsidR="00C03903" w:rsidRPr="00C03903">
        <w:rPr>
          <w:rFonts w:asciiTheme="minorHAnsi" w:hAnsiTheme="minorHAnsi" w:cs="Arial"/>
          <w:sz w:val="22"/>
          <w:szCs w:val="22"/>
        </w:rPr>
        <w:t>:</w:t>
      </w:r>
    </w:p>
    <w:p w:rsidR="005F7DE1" w:rsidRPr="005F7DE1" w:rsidRDefault="005F7DE1" w:rsidP="00092D2C">
      <w:pPr>
        <w:pStyle w:val="Akapitzlist"/>
        <w:numPr>
          <w:ilvl w:val="0"/>
          <w:numId w:val="52"/>
        </w:numPr>
        <w:tabs>
          <w:tab w:val="left" w:pos="540"/>
        </w:tabs>
        <w:spacing w:after="240" w:line="240" w:lineRule="exact"/>
        <w:contextualSpacing w:val="0"/>
        <w:rPr>
          <w:rFonts w:asciiTheme="minorHAnsi" w:hAnsiTheme="minorHAnsi" w:cs="Arial"/>
          <w:sz w:val="22"/>
          <w:szCs w:val="22"/>
        </w:rPr>
      </w:pPr>
      <w:r w:rsidRPr="005F7DE1">
        <w:rPr>
          <w:rFonts w:asciiTheme="minorHAnsi" w:hAnsiTheme="minorHAnsi" w:cs="Arial"/>
          <w:sz w:val="22"/>
          <w:szCs w:val="22"/>
        </w:rPr>
        <w:lastRenderedPageBreak/>
        <w:t>najemcą innego niż wchodzący w skład mieszkaniowego zasobu gminy lokalu mieszkalnego utw</w:t>
      </w:r>
      <w:r w:rsidRPr="005F7DE1">
        <w:rPr>
          <w:rFonts w:asciiTheme="minorHAnsi" w:hAnsiTheme="minorHAnsi" w:cs="Arial"/>
          <w:sz w:val="22"/>
          <w:szCs w:val="22"/>
        </w:rPr>
        <w:t>o</w:t>
      </w:r>
      <w:r w:rsidRPr="005F7DE1">
        <w:rPr>
          <w:rFonts w:asciiTheme="minorHAnsi" w:hAnsiTheme="minorHAnsi" w:cs="Arial"/>
          <w:sz w:val="22"/>
          <w:szCs w:val="22"/>
        </w:rPr>
        <w:t>rzonego przy wykorzystaniu finansowania zwrotnego lub kredytu udzielonego przez Bank Gosp</w:t>
      </w:r>
      <w:r w:rsidRPr="005F7DE1">
        <w:rPr>
          <w:rFonts w:asciiTheme="minorHAnsi" w:hAnsiTheme="minorHAnsi" w:cs="Arial"/>
          <w:sz w:val="22"/>
          <w:szCs w:val="22"/>
        </w:rPr>
        <w:t>o</w:t>
      </w:r>
      <w:r w:rsidRPr="005F7DE1">
        <w:rPr>
          <w:rFonts w:asciiTheme="minorHAnsi" w:hAnsiTheme="minorHAnsi" w:cs="Arial"/>
          <w:sz w:val="22"/>
          <w:szCs w:val="22"/>
        </w:rPr>
        <w:t>darstwa Krajowego na podstawie wniosków o kredyt złożonych do dnia 30 września 2009 r. (za wyjątkiem lokalu, w związku z najmem którego ubiega się o dopłaty),</w:t>
      </w:r>
    </w:p>
    <w:p w:rsidR="00C03903" w:rsidRPr="005F7DE1" w:rsidRDefault="00C03903" w:rsidP="00092D2C">
      <w:pPr>
        <w:pStyle w:val="Akapitzlist"/>
        <w:numPr>
          <w:ilvl w:val="0"/>
          <w:numId w:val="52"/>
        </w:numPr>
        <w:tabs>
          <w:tab w:val="left" w:pos="540"/>
        </w:tabs>
        <w:spacing w:after="240" w:line="240" w:lineRule="exact"/>
        <w:contextualSpacing w:val="0"/>
        <w:rPr>
          <w:rFonts w:asciiTheme="minorHAnsi" w:hAnsiTheme="minorHAnsi" w:cs="Arial"/>
          <w:sz w:val="22"/>
          <w:szCs w:val="22"/>
        </w:rPr>
      </w:pPr>
      <w:r w:rsidRPr="005F7DE1">
        <w:rPr>
          <w:rFonts w:asciiTheme="minorHAnsi" w:hAnsiTheme="minorHAnsi" w:cs="Arial"/>
          <w:sz w:val="22"/>
          <w:szCs w:val="22"/>
        </w:rPr>
        <w:t xml:space="preserve">najemcą lokalu mieszkalnego wchodzącego w skład mieszkaniowego zasobu gminy (za wyjątkiem lokalu wybudowanego przez spółkę gminną z udziałem finansowania zwrotnego, w związku </w:t>
      </w:r>
      <w:r w:rsidR="005F7DE1">
        <w:rPr>
          <w:rFonts w:asciiTheme="minorHAnsi" w:hAnsiTheme="minorHAnsi" w:cs="Arial"/>
          <w:sz w:val="22"/>
          <w:szCs w:val="22"/>
        </w:rPr>
        <w:br/>
      </w:r>
      <w:r w:rsidRPr="005F7DE1">
        <w:rPr>
          <w:rFonts w:asciiTheme="minorHAnsi" w:hAnsiTheme="minorHAnsi" w:cs="Arial"/>
          <w:sz w:val="22"/>
          <w:szCs w:val="22"/>
        </w:rPr>
        <w:t xml:space="preserve">z najmem którego </w:t>
      </w:r>
      <w:r w:rsidR="004F1A52" w:rsidRPr="005F7DE1">
        <w:rPr>
          <w:rFonts w:asciiTheme="minorHAnsi" w:hAnsiTheme="minorHAnsi" w:cs="Arial"/>
          <w:sz w:val="22"/>
          <w:szCs w:val="22"/>
        </w:rPr>
        <w:t>ubiega się o</w:t>
      </w:r>
      <w:r w:rsidR="005F7DE1" w:rsidRPr="005F7DE1">
        <w:rPr>
          <w:rFonts w:asciiTheme="minorHAnsi" w:hAnsiTheme="minorHAnsi" w:cs="Arial"/>
          <w:sz w:val="22"/>
          <w:szCs w:val="22"/>
        </w:rPr>
        <w:t xml:space="preserve"> dopłaty).</w:t>
      </w:r>
    </w:p>
    <w:p w:rsidR="002378FF" w:rsidRDefault="00BE5E9F" w:rsidP="00BE5E9F">
      <w:pPr>
        <w:tabs>
          <w:tab w:val="left" w:pos="540"/>
        </w:tabs>
        <w:spacing w:after="240" w:line="240" w:lineRule="exact"/>
        <w:rPr>
          <w:rFonts w:asciiTheme="minorHAnsi" w:hAnsiTheme="minorHAnsi" w:cs="Arial"/>
          <w:sz w:val="22"/>
          <w:szCs w:val="22"/>
        </w:rPr>
      </w:pPr>
      <w:r>
        <w:rPr>
          <w:rFonts w:asciiTheme="minorHAnsi" w:hAnsiTheme="minorHAnsi" w:cs="Arial"/>
          <w:sz w:val="22"/>
          <w:szCs w:val="22"/>
        </w:rPr>
        <w:t xml:space="preserve">Pierwsze </w:t>
      </w:r>
      <w:r w:rsidR="00056BA9">
        <w:rPr>
          <w:rFonts w:asciiTheme="minorHAnsi" w:hAnsiTheme="minorHAnsi" w:cs="Arial"/>
          <w:sz w:val="22"/>
          <w:szCs w:val="22"/>
        </w:rPr>
        <w:t xml:space="preserve">ograniczenie </w:t>
      </w:r>
      <w:r>
        <w:rPr>
          <w:rFonts w:asciiTheme="minorHAnsi" w:hAnsiTheme="minorHAnsi" w:cs="Arial"/>
          <w:sz w:val="22"/>
          <w:szCs w:val="22"/>
        </w:rPr>
        <w:t>wynika</w:t>
      </w:r>
      <w:r w:rsidR="00BE1AAA">
        <w:rPr>
          <w:rFonts w:asciiTheme="minorHAnsi" w:hAnsiTheme="minorHAnsi" w:cs="Arial"/>
          <w:sz w:val="22"/>
          <w:szCs w:val="22"/>
        </w:rPr>
        <w:t xml:space="preserve"> </w:t>
      </w:r>
      <w:r>
        <w:rPr>
          <w:rFonts w:asciiTheme="minorHAnsi" w:hAnsiTheme="minorHAnsi" w:cs="Arial"/>
          <w:sz w:val="22"/>
          <w:szCs w:val="22"/>
        </w:rPr>
        <w:t>z faktu, że najemca</w:t>
      </w:r>
      <w:r w:rsidR="00C73903">
        <w:rPr>
          <w:rFonts w:asciiTheme="minorHAnsi" w:hAnsiTheme="minorHAnsi" w:cs="Arial"/>
          <w:sz w:val="22"/>
          <w:szCs w:val="22"/>
        </w:rPr>
        <w:t>, pragnąc otrzymywać dopłaty,</w:t>
      </w:r>
      <w:r>
        <w:rPr>
          <w:rFonts w:asciiTheme="minorHAnsi" w:hAnsiTheme="minorHAnsi" w:cs="Arial"/>
          <w:sz w:val="22"/>
          <w:szCs w:val="22"/>
        </w:rPr>
        <w:t xml:space="preserve"> nie </w:t>
      </w:r>
      <w:r w:rsidR="00C73903">
        <w:rPr>
          <w:rFonts w:asciiTheme="minorHAnsi" w:hAnsiTheme="minorHAnsi" w:cs="Arial"/>
          <w:sz w:val="22"/>
          <w:szCs w:val="22"/>
        </w:rPr>
        <w:t xml:space="preserve">powinien </w:t>
      </w:r>
      <w:r>
        <w:rPr>
          <w:rFonts w:asciiTheme="minorHAnsi" w:hAnsiTheme="minorHAnsi" w:cs="Arial"/>
          <w:sz w:val="22"/>
          <w:szCs w:val="22"/>
        </w:rPr>
        <w:t>w</w:t>
      </w:r>
      <w:r>
        <w:rPr>
          <w:rFonts w:asciiTheme="minorHAnsi" w:hAnsiTheme="minorHAnsi" w:cs="Arial"/>
          <w:sz w:val="22"/>
          <w:szCs w:val="22"/>
        </w:rPr>
        <w:t>y</w:t>
      </w:r>
      <w:r>
        <w:rPr>
          <w:rFonts w:asciiTheme="minorHAnsi" w:hAnsiTheme="minorHAnsi" w:cs="Arial"/>
          <w:sz w:val="22"/>
          <w:szCs w:val="22"/>
        </w:rPr>
        <w:t xml:space="preserve">najmować </w:t>
      </w:r>
      <w:r w:rsidR="00056BA9">
        <w:rPr>
          <w:rFonts w:asciiTheme="minorHAnsi" w:hAnsiTheme="minorHAnsi" w:cs="Arial"/>
          <w:sz w:val="22"/>
          <w:szCs w:val="22"/>
        </w:rPr>
        <w:t xml:space="preserve">jednocześnie innego </w:t>
      </w:r>
      <w:r w:rsidR="00D60057">
        <w:rPr>
          <w:rFonts w:asciiTheme="minorHAnsi" w:hAnsiTheme="minorHAnsi" w:cs="Arial"/>
          <w:sz w:val="22"/>
          <w:szCs w:val="22"/>
        </w:rPr>
        <w:t>lokalu mieszkalnego</w:t>
      </w:r>
      <w:r w:rsidR="00056BA9">
        <w:rPr>
          <w:rFonts w:asciiTheme="minorHAnsi" w:hAnsiTheme="minorHAnsi" w:cs="Arial"/>
          <w:sz w:val="22"/>
          <w:szCs w:val="22"/>
        </w:rPr>
        <w:t xml:space="preserve">, </w:t>
      </w:r>
      <w:r w:rsidR="003833F0">
        <w:rPr>
          <w:rFonts w:asciiTheme="minorHAnsi" w:hAnsiTheme="minorHAnsi" w:cs="Arial"/>
          <w:sz w:val="22"/>
          <w:szCs w:val="22"/>
        </w:rPr>
        <w:t xml:space="preserve">z którym związana </w:t>
      </w:r>
      <w:r w:rsidR="00BD0683">
        <w:rPr>
          <w:rFonts w:asciiTheme="minorHAnsi" w:hAnsiTheme="minorHAnsi" w:cs="Arial"/>
          <w:sz w:val="22"/>
          <w:szCs w:val="22"/>
        </w:rPr>
        <w:t>była</w:t>
      </w:r>
      <w:r w:rsidR="003833F0">
        <w:rPr>
          <w:rFonts w:asciiTheme="minorHAnsi" w:hAnsiTheme="minorHAnsi" w:cs="Arial"/>
          <w:sz w:val="22"/>
          <w:szCs w:val="22"/>
        </w:rPr>
        <w:t xml:space="preserve"> pomoc </w:t>
      </w:r>
      <w:r w:rsidR="001D1BA0">
        <w:rPr>
          <w:rFonts w:asciiTheme="minorHAnsi" w:hAnsiTheme="minorHAnsi" w:cs="Arial"/>
          <w:sz w:val="22"/>
          <w:szCs w:val="22"/>
        </w:rPr>
        <w:t>ze środków p</w:t>
      </w:r>
      <w:r w:rsidR="001D1BA0">
        <w:rPr>
          <w:rFonts w:asciiTheme="minorHAnsi" w:hAnsiTheme="minorHAnsi" w:cs="Arial"/>
          <w:sz w:val="22"/>
          <w:szCs w:val="22"/>
        </w:rPr>
        <w:t>u</w:t>
      </w:r>
      <w:r w:rsidR="001D1BA0">
        <w:rPr>
          <w:rFonts w:asciiTheme="minorHAnsi" w:hAnsiTheme="minorHAnsi" w:cs="Arial"/>
          <w:sz w:val="22"/>
          <w:szCs w:val="22"/>
        </w:rPr>
        <w:t>blicznych</w:t>
      </w:r>
      <w:r w:rsidR="00D60057">
        <w:rPr>
          <w:rFonts w:asciiTheme="minorHAnsi" w:hAnsiTheme="minorHAnsi" w:cs="Arial"/>
          <w:sz w:val="22"/>
          <w:szCs w:val="22"/>
        </w:rPr>
        <w:t>. B</w:t>
      </w:r>
      <w:r w:rsidR="00C73903">
        <w:rPr>
          <w:rFonts w:asciiTheme="minorHAnsi" w:hAnsiTheme="minorHAnsi" w:cs="Arial"/>
          <w:sz w:val="22"/>
          <w:szCs w:val="22"/>
        </w:rPr>
        <w:t>lokowałby bowiem zasób, który mógłby służyć innym osobom wymagającym szczególn</w:t>
      </w:r>
      <w:r w:rsidR="00C73903">
        <w:rPr>
          <w:rFonts w:asciiTheme="minorHAnsi" w:hAnsiTheme="minorHAnsi" w:cs="Arial"/>
          <w:sz w:val="22"/>
          <w:szCs w:val="22"/>
        </w:rPr>
        <w:t>e</w:t>
      </w:r>
      <w:r w:rsidR="00C73903">
        <w:rPr>
          <w:rFonts w:asciiTheme="minorHAnsi" w:hAnsiTheme="minorHAnsi" w:cs="Arial"/>
          <w:sz w:val="22"/>
          <w:szCs w:val="22"/>
        </w:rPr>
        <w:t>go zainteresowania ze strony państwa</w:t>
      </w:r>
      <w:r w:rsidR="003833F0">
        <w:rPr>
          <w:rFonts w:asciiTheme="minorHAnsi" w:hAnsiTheme="minorHAnsi" w:cs="Arial"/>
          <w:sz w:val="22"/>
          <w:szCs w:val="22"/>
        </w:rPr>
        <w:t xml:space="preserve"> (warto w tym kontekście podkreślić, że zgodnie z projektow</w:t>
      </w:r>
      <w:r w:rsidR="003833F0">
        <w:rPr>
          <w:rFonts w:asciiTheme="minorHAnsi" w:hAnsiTheme="minorHAnsi" w:cs="Arial"/>
          <w:sz w:val="22"/>
          <w:szCs w:val="22"/>
        </w:rPr>
        <w:t>a</w:t>
      </w:r>
      <w:r w:rsidR="003833F0">
        <w:rPr>
          <w:rFonts w:asciiTheme="minorHAnsi" w:hAnsiTheme="minorHAnsi" w:cs="Arial"/>
          <w:sz w:val="22"/>
          <w:szCs w:val="22"/>
        </w:rPr>
        <w:t xml:space="preserve">nymi przepisami najemca nie może </w:t>
      </w:r>
      <w:r w:rsidR="007A650F">
        <w:rPr>
          <w:rFonts w:asciiTheme="minorHAnsi" w:hAnsiTheme="minorHAnsi" w:cs="Arial"/>
          <w:sz w:val="22"/>
          <w:szCs w:val="22"/>
        </w:rPr>
        <w:t>wynajmować</w:t>
      </w:r>
      <w:r w:rsidR="003833F0">
        <w:rPr>
          <w:rFonts w:asciiTheme="minorHAnsi" w:hAnsiTheme="minorHAnsi" w:cs="Arial"/>
          <w:sz w:val="22"/>
          <w:szCs w:val="22"/>
        </w:rPr>
        <w:t xml:space="preserve"> dwóch</w:t>
      </w:r>
      <w:r w:rsidR="00C73903">
        <w:rPr>
          <w:rFonts w:asciiTheme="minorHAnsi" w:hAnsiTheme="minorHAnsi" w:cs="Arial"/>
          <w:sz w:val="22"/>
          <w:szCs w:val="22"/>
        </w:rPr>
        <w:t xml:space="preserve"> lokali</w:t>
      </w:r>
      <w:r>
        <w:rPr>
          <w:rFonts w:asciiTheme="minorHAnsi" w:hAnsiTheme="minorHAnsi" w:cs="Arial"/>
          <w:sz w:val="22"/>
          <w:szCs w:val="22"/>
        </w:rPr>
        <w:t>, z najmem których są stosowane d</w:t>
      </w:r>
      <w:r>
        <w:rPr>
          <w:rFonts w:asciiTheme="minorHAnsi" w:hAnsiTheme="minorHAnsi" w:cs="Arial"/>
          <w:sz w:val="22"/>
          <w:szCs w:val="22"/>
        </w:rPr>
        <w:t>o</w:t>
      </w:r>
      <w:r>
        <w:rPr>
          <w:rFonts w:asciiTheme="minorHAnsi" w:hAnsiTheme="minorHAnsi" w:cs="Arial"/>
          <w:sz w:val="22"/>
          <w:szCs w:val="22"/>
        </w:rPr>
        <w:t>płaty</w:t>
      </w:r>
      <w:r w:rsidR="003833F0">
        <w:rPr>
          <w:rFonts w:asciiTheme="minorHAnsi" w:hAnsiTheme="minorHAnsi" w:cs="Arial"/>
          <w:sz w:val="22"/>
          <w:szCs w:val="22"/>
        </w:rPr>
        <w:t>)</w:t>
      </w:r>
      <w:r>
        <w:rPr>
          <w:rFonts w:asciiTheme="minorHAnsi" w:hAnsiTheme="minorHAnsi" w:cs="Arial"/>
          <w:sz w:val="22"/>
          <w:szCs w:val="22"/>
        </w:rPr>
        <w:t xml:space="preserve">. Rozstrzygnięcie w kontekście </w:t>
      </w:r>
      <w:r w:rsidRPr="00BE5E9F">
        <w:rPr>
          <w:rFonts w:asciiTheme="minorHAnsi" w:hAnsiTheme="minorHAnsi" w:cs="Arial"/>
          <w:sz w:val="22"/>
          <w:szCs w:val="22"/>
        </w:rPr>
        <w:t>osób uprawnionych</w:t>
      </w:r>
      <w:r>
        <w:rPr>
          <w:rFonts w:asciiTheme="minorHAnsi" w:hAnsiTheme="minorHAnsi" w:cs="Arial"/>
          <w:sz w:val="22"/>
          <w:szCs w:val="22"/>
        </w:rPr>
        <w:t xml:space="preserve"> do najmu lokali wchodzących </w:t>
      </w:r>
      <w:r w:rsidRPr="00BE5E9F">
        <w:rPr>
          <w:rFonts w:asciiTheme="minorHAnsi" w:hAnsiTheme="minorHAnsi" w:cs="Arial"/>
          <w:sz w:val="22"/>
          <w:szCs w:val="22"/>
        </w:rPr>
        <w:t>w skład mies</w:t>
      </w:r>
      <w:r w:rsidRPr="00BE5E9F">
        <w:rPr>
          <w:rFonts w:asciiTheme="minorHAnsi" w:hAnsiTheme="minorHAnsi" w:cs="Arial"/>
          <w:sz w:val="22"/>
          <w:szCs w:val="22"/>
        </w:rPr>
        <w:t>z</w:t>
      </w:r>
      <w:r w:rsidRPr="00BE5E9F">
        <w:rPr>
          <w:rFonts w:asciiTheme="minorHAnsi" w:hAnsiTheme="minorHAnsi" w:cs="Arial"/>
          <w:sz w:val="22"/>
          <w:szCs w:val="22"/>
        </w:rPr>
        <w:t xml:space="preserve">kaniowego zasobu gminy </w:t>
      </w:r>
      <w:r>
        <w:rPr>
          <w:rFonts w:asciiTheme="minorHAnsi" w:hAnsiTheme="minorHAnsi" w:cs="Arial"/>
          <w:sz w:val="22"/>
          <w:szCs w:val="22"/>
        </w:rPr>
        <w:t xml:space="preserve">jest natomiast konsekwencją tego, że do takich osób </w:t>
      </w:r>
      <w:r w:rsidRPr="00BE5E9F">
        <w:rPr>
          <w:rFonts w:asciiTheme="minorHAnsi" w:hAnsiTheme="minorHAnsi" w:cs="Arial"/>
          <w:sz w:val="22"/>
          <w:szCs w:val="22"/>
        </w:rPr>
        <w:t>skierowane są najba</w:t>
      </w:r>
      <w:r w:rsidRPr="00BE5E9F">
        <w:rPr>
          <w:rFonts w:asciiTheme="minorHAnsi" w:hAnsiTheme="minorHAnsi" w:cs="Arial"/>
          <w:sz w:val="22"/>
          <w:szCs w:val="22"/>
        </w:rPr>
        <w:t>r</w:t>
      </w:r>
      <w:r w:rsidRPr="00BE5E9F">
        <w:rPr>
          <w:rFonts w:asciiTheme="minorHAnsi" w:hAnsiTheme="minorHAnsi" w:cs="Arial"/>
          <w:sz w:val="22"/>
          <w:szCs w:val="22"/>
        </w:rPr>
        <w:t xml:space="preserve">dziej angażujące władze publiczne działania wspierające </w:t>
      </w:r>
      <w:r w:rsidR="00732E43">
        <w:rPr>
          <w:rFonts w:asciiTheme="minorHAnsi" w:hAnsiTheme="minorHAnsi" w:cs="Arial"/>
          <w:sz w:val="22"/>
          <w:szCs w:val="22"/>
        </w:rPr>
        <w:t xml:space="preserve">(również z udziałem środków budżetowych) </w:t>
      </w:r>
      <w:r w:rsidRPr="00BE5E9F">
        <w:rPr>
          <w:rFonts w:asciiTheme="minorHAnsi" w:hAnsiTheme="minorHAnsi" w:cs="Arial"/>
          <w:sz w:val="22"/>
          <w:szCs w:val="22"/>
        </w:rPr>
        <w:t>zaspo</w:t>
      </w:r>
      <w:r>
        <w:rPr>
          <w:rFonts w:asciiTheme="minorHAnsi" w:hAnsiTheme="minorHAnsi" w:cs="Arial"/>
          <w:sz w:val="22"/>
          <w:szCs w:val="22"/>
        </w:rPr>
        <w:t xml:space="preserve">kajanie potrzeb mieszkaniowych. </w:t>
      </w:r>
      <w:r w:rsidRPr="00BE5E9F">
        <w:rPr>
          <w:rFonts w:asciiTheme="minorHAnsi" w:hAnsiTheme="minorHAnsi" w:cs="Arial"/>
          <w:sz w:val="22"/>
          <w:szCs w:val="22"/>
        </w:rPr>
        <w:t xml:space="preserve">Celem instrumentu nie jest zastąpienie funkcji realizowanych przez zasób komunalny czy powielanie rozwiązań funkcjonujących w ramach innych instrumentów wsparcia mieszkalnictwa, np. dodatków mieszkaniowych. </w:t>
      </w:r>
      <w:r w:rsidR="00BD0683">
        <w:rPr>
          <w:rFonts w:asciiTheme="minorHAnsi" w:hAnsiTheme="minorHAnsi" w:cs="Arial"/>
          <w:sz w:val="22"/>
          <w:szCs w:val="22"/>
        </w:rPr>
        <w:t>Nie należy również zapominać, że n</w:t>
      </w:r>
      <w:r w:rsidRPr="00BE5E9F">
        <w:rPr>
          <w:rFonts w:asciiTheme="minorHAnsi" w:hAnsiTheme="minorHAnsi" w:cs="Arial"/>
          <w:sz w:val="22"/>
          <w:szCs w:val="22"/>
        </w:rPr>
        <w:t>ajemcy ww. lokali płacą znacznie niższy czynsz</w:t>
      </w:r>
      <w:r>
        <w:rPr>
          <w:rFonts w:asciiTheme="minorHAnsi" w:hAnsiTheme="minorHAnsi" w:cs="Arial"/>
          <w:sz w:val="22"/>
          <w:szCs w:val="22"/>
        </w:rPr>
        <w:t xml:space="preserve"> niż najemcy lokali na rynku komercyjnym. Zgodnie </w:t>
      </w:r>
      <w:r w:rsidRPr="00BE5E9F">
        <w:rPr>
          <w:rFonts w:asciiTheme="minorHAnsi" w:hAnsiTheme="minorHAnsi" w:cs="Arial"/>
          <w:sz w:val="22"/>
          <w:szCs w:val="22"/>
        </w:rPr>
        <w:t>z danymi Głównego Urzędu Statystycznego wynosi on przeciętnie 4,51 zł/m</w:t>
      </w:r>
      <w:r w:rsidRPr="00BE5E9F">
        <w:rPr>
          <w:rFonts w:asciiTheme="minorHAnsi" w:hAnsiTheme="minorHAnsi" w:cs="Arial"/>
          <w:sz w:val="22"/>
          <w:szCs w:val="22"/>
          <w:vertAlign w:val="superscript"/>
        </w:rPr>
        <w:t>2</w:t>
      </w:r>
      <w:r w:rsidR="00732E43">
        <w:rPr>
          <w:rFonts w:asciiTheme="minorHAnsi" w:hAnsiTheme="minorHAnsi" w:cs="Arial"/>
          <w:sz w:val="22"/>
          <w:szCs w:val="22"/>
        </w:rPr>
        <w:t xml:space="preserve"> (dane za 2016 r.)</w:t>
      </w:r>
      <w:r w:rsidRPr="00BE5E9F">
        <w:rPr>
          <w:rFonts w:asciiTheme="minorHAnsi" w:hAnsiTheme="minorHAnsi" w:cs="Arial"/>
          <w:sz w:val="22"/>
          <w:szCs w:val="22"/>
        </w:rPr>
        <w:t xml:space="preserve">. W przypadku lokali objętych możliwością stosowania dopłat czynsz, co do zasady, będzie natomiast ustalany na poziomie rynkowym. Z uwagi na to, że dopłata w pierwszych trzech latach użytkowania mieszkania wyniesie </w:t>
      </w:r>
      <w:r w:rsidR="00092D2C">
        <w:rPr>
          <w:rFonts w:asciiTheme="minorHAnsi" w:hAnsiTheme="minorHAnsi" w:cs="Arial"/>
          <w:sz w:val="22"/>
          <w:szCs w:val="22"/>
        </w:rPr>
        <w:br/>
      </w:r>
      <w:r w:rsidRPr="00BE5E9F">
        <w:rPr>
          <w:rFonts w:asciiTheme="minorHAnsi" w:hAnsiTheme="minorHAnsi" w:cs="Arial"/>
          <w:sz w:val="22"/>
          <w:szCs w:val="22"/>
        </w:rPr>
        <w:t>ok. 6 zł/m</w:t>
      </w:r>
      <w:r w:rsidRPr="00BE5E9F">
        <w:rPr>
          <w:rFonts w:asciiTheme="minorHAnsi" w:hAnsiTheme="minorHAnsi" w:cs="Arial"/>
          <w:sz w:val="22"/>
          <w:szCs w:val="22"/>
          <w:vertAlign w:val="superscript"/>
        </w:rPr>
        <w:t>2</w:t>
      </w:r>
      <w:r w:rsidRPr="00BE5E9F">
        <w:rPr>
          <w:rFonts w:asciiTheme="minorHAnsi" w:hAnsiTheme="minorHAnsi" w:cs="Arial"/>
          <w:sz w:val="22"/>
          <w:szCs w:val="22"/>
        </w:rPr>
        <w:t>, zaś przeciętny czynsz rynkowy to 25-40 zł/m</w:t>
      </w:r>
      <w:r w:rsidRPr="00BE5E9F">
        <w:rPr>
          <w:rFonts w:asciiTheme="minorHAnsi" w:hAnsiTheme="minorHAnsi" w:cs="Arial"/>
          <w:sz w:val="22"/>
          <w:szCs w:val="22"/>
          <w:vertAlign w:val="superscript"/>
        </w:rPr>
        <w:t>2</w:t>
      </w:r>
      <w:r w:rsidRPr="00BE5E9F">
        <w:rPr>
          <w:rFonts w:asciiTheme="minorHAnsi" w:hAnsiTheme="minorHAnsi" w:cs="Arial"/>
          <w:sz w:val="22"/>
          <w:szCs w:val="22"/>
        </w:rPr>
        <w:t xml:space="preserve">, najemcy lokali </w:t>
      </w:r>
      <w:r>
        <w:rPr>
          <w:rFonts w:asciiTheme="minorHAnsi" w:hAnsiTheme="minorHAnsi" w:cs="Arial"/>
          <w:sz w:val="22"/>
          <w:szCs w:val="22"/>
        </w:rPr>
        <w:t>komunalnych</w:t>
      </w:r>
      <w:r w:rsidRPr="00BE5E9F">
        <w:rPr>
          <w:rFonts w:asciiTheme="minorHAnsi" w:hAnsiTheme="minorHAnsi" w:cs="Arial"/>
          <w:sz w:val="22"/>
          <w:szCs w:val="22"/>
        </w:rPr>
        <w:t xml:space="preserve"> i tak będą ponosili mniejsze obciążenia z tytułu użytkowania mieszkania niż najemcy lokali o czynszu rynkowym. </w:t>
      </w:r>
      <w:r w:rsidR="00AC6376">
        <w:rPr>
          <w:rFonts w:asciiTheme="minorHAnsi" w:hAnsiTheme="minorHAnsi" w:cs="Arial"/>
          <w:sz w:val="22"/>
          <w:szCs w:val="22"/>
        </w:rPr>
        <w:t>N</w:t>
      </w:r>
      <w:r w:rsidRPr="00BE5E9F">
        <w:rPr>
          <w:rFonts w:asciiTheme="minorHAnsi" w:hAnsiTheme="minorHAnsi" w:cs="Arial"/>
          <w:sz w:val="22"/>
          <w:szCs w:val="22"/>
        </w:rPr>
        <w:t xml:space="preserve">ajemcy lokali wchodzących w skład mieszkaniowego zasobu gminy korzystają </w:t>
      </w:r>
      <w:r w:rsidR="00AC6376">
        <w:rPr>
          <w:rFonts w:asciiTheme="minorHAnsi" w:hAnsiTheme="minorHAnsi" w:cs="Arial"/>
          <w:sz w:val="22"/>
          <w:szCs w:val="22"/>
        </w:rPr>
        <w:t xml:space="preserve">ponadto </w:t>
      </w:r>
      <w:r w:rsidRPr="00BE5E9F">
        <w:rPr>
          <w:rFonts w:asciiTheme="minorHAnsi" w:hAnsiTheme="minorHAnsi" w:cs="Arial"/>
          <w:sz w:val="22"/>
          <w:szCs w:val="22"/>
        </w:rPr>
        <w:t xml:space="preserve">z preferencji polegającej na </w:t>
      </w:r>
      <w:r w:rsidR="00006918">
        <w:rPr>
          <w:rFonts w:asciiTheme="minorHAnsi" w:hAnsiTheme="minorHAnsi" w:cs="Arial"/>
          <w:sz w:val="22"/>
          <w:szCs w:val="22"/>
        </w:rPr>
        <w:t>pewności najmu (pod warunkiem regularnego opła</w:t>
      </w:r>
      <w:r w:rsidR="00541BC4">
        <w:rPr>
          <w:rFonts w:asciiTheme="minorHAnsi" w:hAnsiTheme="minorHAnsi" w:cs="Arial"/>
          <w:sz w:val="22"/>
          <w:szCs w:val="22"/>
        </w:rPr>
        <w:t xml:space="preserve">cania czynszu) i nie podlegają – </w:t>
      </w:r>
      <w:r w:rsidR="00006918">
        <w:rPr>
          <w:rFonts w:asciiTheme="minorHAnsi" w:hAnsiTheme="minorHAnsi" w:cs="Arial"/>
          <w:sz w:val="22"/>
          <w:szCs w:val="22"/>
        </w:rPr>
        <w:t xml:space="preserve">poza momentem ubiegania się o najem – okresowym badaniom dochodów. Dlatego pomimo ich wyłączenia z możliwości ubiegania się o dopłatę do czynszu najemcy mieszkań komunalnych </w:t>
      </w:r>
      <w:r w:rsidR="00541BC4">
        <w:rPr>
          <w:rFonts w:asciiTheme="minorHAnsi" w:hAnsiTheme="minorHAnsi" w:cs="Arial"/>
          <w:sz w:val="22"/>
          <w:szCs w:val="22"/>
        </w:rPr>
        <w:t xml:space="preserve">nadal </w:t>
      </w:r>
      <w:r w:rsidR="00006918">
        <w:rPr>
          <w:rFonts w:asciiTheme="minorHAnsi" w:hAnsiTheme="minorHAnsi" w:cs="Arial"/>
          <w:sz w:val="22"/>
          <w:szCs w:val="22"/>
        </w:rPr>
        <w:t xml:space="preserve">są objęci najbardziej intensywnym wsparciem mieszkaniowym. </w:t>
      </w:r>
    </w:p>
    <w:p w:rsidR="0091458B" w:rsidRDefault="00563EBD" w:rsidP="00BE5E9F">
      <w:pPr>
        <w:tabs>
          <w:tab w:val="left" w:pos="540"/>
        </w:tabs>
        <w:spacing w:after="240" w:line="240" w:lineRule="exact"/>
        <w:rPr>
          <w:rFonts w:asciiTheme="minorHAnsi" w:hAnsiTheme="minorHAnsi" w:cs="Arial"/>
          <w:sz w:val="22"/>
          <w:szCs w:val="22"/>
        </w:rPr>
      </w:pPr>
      <w:r>
        <w:rPr>
          <w:rFonts w:asciiTheme="minorHAnsi" w:hAnsiTheme="minorHAnsi" w:cs="Arial"/>
          <w:sz w:val="22"/>
          <w:szCs w:val="22"/>
        </w:rPr>
        <w:t xml:space="preserve">W kontekście omawianych ograniczeń warto pamiętać, że najemca zobowiązany jest na gruncie </w:t>
      </w:r>
      <w:r>
        <w:rPr>
          <w:rFonts w:asciiTheme="minorHAnsi" w:hAnsiTheme="minorHAnsi" w:cs="Arial"/>
          <w:sz w:val="22"/>
          <w:szCs w:val="22"/>
        </w:rPr>
        <w:br/>
        <w:t>art. 6 do faktycznego zamieszkiwania w lokalu objętym prawem do dopłat. Nieuzasadnione w zwią</w:t>
      </w:r>
      <w:r>
        <w:rPr>
          <w:rFonts w:asciiTheme="minorHAnsi" w:hAnsiTheme="minorHAnsi" w:cs="Arial"/>
          <w:sz w:val="22"/>
          <w:szCs w:val="22"/>
        </w:rPr>
        <w:t>z</w:t>
      </w:r>
      <w:r>
        <w:rPr>
          <w:rFonts w:asciiTheme="minorHAnsi" w:hAnsiTheme="minorHAnsi" w:cs="Arial"/>
          <w:sz w:val="22"/>
          <w:szCs w:val="22"/>
        </w:rPr>
        <w:t xml:space="preserve">ku z tym byłoby </w:t>
      </w:r>
      <w:r w:rsidR="00D60057">
        <w:rPr>
          <w:rFonts w:asciiTheme="minorHAnsi" w:hAnsiTheme="minorHAnsi" w:cs="Arial"/>
          <w:sz w:val="22"/>
          <w:szCs w:val="22"/>
        </w:rPr>
        <w:t xml:space="preserve">sztuczne </w:t>
      </w:r>
      <w:r>
        <w:rPr>
          <w:rFonts w:asciiTheme="minorHAnsi" w:hAnsiTheme="minorHAnsi" w:cs="Arial"/>
          <w:sz w:val="22"/>
          <w:szCs w:val="22"/>
        </w:rPr>
        <w:t xml:space="preserve">blokowanie przez niego zasobu spełniającego </w:t>
      </w:r>
      <w:r w:rsidR="00D60057">
        <w:rPr>
          <w:rFonts w:asciiTheme="minorHAnsi" w:hAnsiTheme="minorHAnsi" w:cs="Arial"/>
          <w:sz w:val="22"/>
          <w:szCs w:val="22"/>
        </w:rPr>
        <w:t xml:space="preserve">inne </w:t>
      </w:r>
      <w:r>
        <w:rPr>
          <w:rFonts w:asciiTheme="minorHAnsi" w:hAnsiTheme="minorHAnsi" w:cs="Arial"/>
          <w:sz w:val="22"/>
          <w:szCs w:val="22"/>
        </w:rPr>
        <w:t>istotne funkcje społec</w:t>
      </w:r>
      <w:r>
        <w:rPr>
          <w:rFonts w:asciiTheme="minorHAnsi" w:hAnsiTheme="minorHAnsi" w:cs="Arial"/>
          <w:sz w:val="22"/>
          <w:szCs w:val="22"/>
        </w:rPr>
        <w:t>z</w:t>
      </w:r>
      <w:r>
        <w:rPr>
          <w:rFonts w:asciiTheme="minorHAnsi" w:hAnsiTheme="minorHAnsi" w:cs="Arial"/>
          <w:sz w:val="22"/>
          <w:szCs w:val="22"/>
        </w:rPr>
        <w:t xml:space="preserve">ne </w:t>
      </w:r>
      <w:r w:rsidR="00DA7A22">
        <w:rPr>
          <w:rFonts w:asciiTheme="minorHAnsi" w:hAnsiTheme="minorHAnsi" w:cs="Arial"/>
          <w:sz w:val="22"/>
          <w:szCs w:val="22"/>
        </w:rPr>
        <w:br/>
      </w:r>
      <w:r>
        <w:rPr>
          <w:rFonts w:asciiTheme="minorHAnsi" w:hAnsiTheme="minorHAnsi" w:cs="Arial"/>
          <w:sz w:val="22"/>
          <w:szCs w:val="22"/>
        </w:rPr>
        <w:t xml:space="preserve">(z uwagi na wymagania projektowanej ustawy </w:t>
      </w:r>
      <w:r w:rsidR="00D60057" w:rsidRPr="00D60057">
        <w:rPr>
          <w:rFonts w:asciiTheme="minorHAnsi" w:hAnsiTheme="minorHAnsi" w:cs="Arial"/>
          <w:sz w:val="22"/>
          <w:szCs w:val="22"/>
        </w:rPr>
        <w:t xml:space="preserve">najemca nie mógłby bowiem </w:t>
      </w:r>
      <w:r>
        <w:rPr>
          <w:rFonts w:asciiTheme="minorHAnsi" w:hAnsiTheme="minorHAnsi" w:cs="Arial"/>
          <w:sz w:val="22"/>
          <w:szCs w:val="22"/>
        </w:rPr>
        <w:t xml:space="preserve">mieszkać w </w:t>
      </w:r>
      <w:r w:rsidR="00D60057">
        <w:rPr>
          <w:rFonts w:asciiTheme="minorHAnsi" w:hAnsiTheme="minorHAnsi" w:cs="Arial"/>
          <w:sz w:val="22"/>
          <w:szCs w:val="22"/>
        </w:rPr>
        <w:t>lokalu p</w:t>
      </w:r>
      <w:r w:rsidR="00D60057">
        <w:rPr>
          <w:rFonts w:asciiTheme="minorHAnsi" w:hAnsiTheme="minorHAnsi" w:cs="Arial"/>
          <w:sz w:val="22"/>
          <w:szCs w:val="22"/>
        </w:rPr>
        <w:t>o</w:t>
      </w:r>
      <w:r w:rsidR="00D60057">
        <w:rPr>
          <w:rFonts w:asciiTheme="minorHAnsi" w:hAnsiTheme="minorHAnsi" w:cs="Arial"/>
          <w:sz w:val="22"/>
          <w:szCs w:val="22"/>
        </w:rPr>
        <w:t>chodzącym z takiego zasobu</w:t>
      </w:r>
      <w:r>
        <w:rPr>
          <w:rFonts w:asciiTheme="minorHAnsi" w:hAnsiTheme="minorHAnsi" w:cs="Arial"/>
          <w:sz w:val="22"/>
          <w:szCs w:val="22"/>
        </w:rPr>
        <w:t>).</w:t>
      </w:r>
      <w:r w:rsidR="008A171B">
        <w:rPr>
          <w:rFonts w:asciiTheme="minorHAnsi" w:hAnsiTheme="minorHAnsi" w:cs="Arial"/>
          <w:sz w:val="22"/>
          <w:szCs w:val="22"/>
        </w:rPr>
        <w:t xml:space="preserve"> Niezależnie od powyższego, z uwagi na społeczny cel instrumentu p</w:t>
      </w:r>
      <w:r w:rsidR="008A171B">
        <w:rPr>
          <w:rFonts w:asciiTheme="minorHAnsi" w:hAnsiTheme="minorHAnsi" w:cs="Arial"/>
          <w:sz w:val="22"/>
          <w:szCs w:val="22"/>
        </w:rPr>
        <w:t>o</w:t>
      </w:r>
      <w:r w:rsidR="008A171B">
        <w:rPr>
          <w:rFonts w:asciiTheme="minorHAnsi" w:hAnsiTheme="minorHAnsi" w:cs="Arial"/>
          <w:sz w:val="22"/>
          <w:szCs w:val="22"/>
        </w:rPr>
        <w:t>moc powinna być ponadto kierowana do tych osób, które przeżywają trudności w zaspokajaniu p</w:t>
      </w:r>
      <w:r w:rsidR="008A171B">
        <w:rPr>
          <w:rFonts w:asciiTheme="minorHAnsi" w:hAnsiTheme="minorHAnsi" w:cs="Arial"/>
          <w:sz w:val="22"/>
          <w:szCs w:val="22"/>
        </w:rPr>
        <w:t>o</w:t>
      </w:r>
      <w:r w:rsidR="008A171B">
        <w:rPr>
          <w:rFonts w:asciiTheme="minorHAnsi" w:hAnsiTheme="minorHAnsi" w:cs="Arial"/>
          <w:sz w:val="22"/>
          <w:szCs w:val="22"/>
        </w:rPr>
        <w:t xml:space="preserve">trzeb mieszkaniowych. </w:t>
      </w:r>
    </w:p>
    <w:p w:rsidR="009A3FEC" w:rsidRPr="00BE1AAA" w:rsidRDefault="008A171B" w:rsidP="00BE5E9F">
      <w:pPr>
        <w:tabs>
          <w:tab w:val="left" w:pos="540"/>
        </w:tabs>
        <w:spacing w:after="240" w:line="240" w:lineRule="exact"/>
        <w:rPr>
          <w:rFonts w:asciiTheme="minorHAnsi" w:hAnsiTheme="minorHAnsi" w:cs="Arial"/>
          <w:sz w:val="22"/>
          <w:szCs w:val="22"/>
        </w:rPr>
      </w:pPr>
      <w:r>
        <w:rPr>
          <w:rFonts w:asciiTheme="minorHAnsi" w:hAnsiTheme="minorHAnsi" w:cs="Arial"/>
          <w:sz w:val="22"/>
          <w:szCs w:val="22"/>
        </w:rPr>
        <w:t>Posiadanie przez najemcę wyżej omawianego statusu wymaga zobowiązania się przez niego do ro</w:t>
      </w:r>
      <w:r>
        <w:rPr>
          <w:rFonts w:asciiTheme="minorHAnsi" w:hAnsiTheme="minorHAnsi" w:cs="Arial"/>
          <w:sz w:val="22"/>
          <w:szCs w:val="22"/>
        </w:rPr>
        <w:t>z</w:t>
      </w:r>
      <w:r>
        <w:rPr>
          <w:rFonts w:asciiTheme="minorHAnsi" w:hAnsiTheme="minorHAnsi" w:cs="Arial"/>
          <w:sz w:val="22"/>
          <w:szCs w:val="22"/>
        </w:rPr>
        <w:t xml:space="preserve">wiązania umowy najmu i opróżnienia lokalu (w przypadku najmu lokalu z mieszkaniowego zasobu gminy lub innego niż lokal z mieszkaniowego zasobu gminy lokalu powstałego z udziałem wsparcia, </w:t>
      </w:r>
      <w:r w:rsidR="00CA6870">
        <w:rPr>
          <w:rFonts w:asciiTheme="minorHAnsi" w:hAnsiTheme="minorHAnsi" w:cs="Arial"/>
          <w:sz w:val="22"/>
          <w:szCs w:val="22"/>
        </w:rPr>
        <w:br/>
      </w:r>
      <w:r>
        <w:rPr>
          <w:rFonts w:asciiTheme="minorHAnsi" w:hAnsiTheme="minorHAnsi" w:cs="Arial"/>
          <w:sz w:val="22"/>
          <w:szCs w:val="22"/>
        </w:rPr>
        <w:t xml:space="preserve">o którym mowa w </w:t>
      </w:r>
      <w:r w:rsidRPr="008A171B">
        <w:rPr>
          <w:rFonts w:asciiTheme="minorHAnsi" w:hAnsiTheme="minorHAnsi" w:cs="Arial"/>
          <w:sz w:val="22"/>
          <w:szCs w:val="22"/>
        </w:rPr>
        <w:t>ustawy z dnia 26 października 1995 r. o niektórych formach po</w:t>
      </w:r>
      <w:r>
        <w:rPr>
          <w:rFonts w:asciiTheme="minorHAnsi" w:hAnsiTheme="minorHAnsi" w:cs="Arial"/>
          <w:sz w:val="22"/>
          <w:szCs w:val="22"/>
        </w:rPr>
        <w:t>pierania budowni</w:t>
      </w:r>
      <w:r>
        <w:rPr>
          <w:rFonts w:asciiTheme="minorHAnsi" w:hAnsiTheme="minorHAnsi" w:cs="Arial"/>
          <w:sz w:val="22"/>
          <w:szCs w:val="22"/>
        </w:rPr>
        <w:t>c</w:t>
      </w:r>
      <w:r>
        <w:rPr>
          <w:rFonts w:asciiTheme="minorHAnsi" w:hAnsiTheme="minorHAnsi" w:cs="Arial"/>
          <w:sz w:val="22"/>
          <w:szCs w:val="22"/>
        </w:rPr>
        <w:t>twa mieszkanio</w:t>
      </w:r>
      <w:r w:rsidRPr="008A171B">
        <w:rPr>
          <w:rFonts w:asciiTheme="minorHAnsi" w:hAnsiTheme="minorHAnsi" w:cs="Arial"/>
          <w:sz w:val="22"/>
          <w:szCs w:val="22"/>
        </w:rPr>
        <w:t>wego</w:t>
      </w:r>
      <w:r>
        <w:rPr>
          <w:rFonts w:asciiTheme="minorHAnsi" w:hAnsiTheme="minorHAnsi" w:cs="Arial"/>
          <w:sz w:val="22"/>
          <w:szCs w:val="22"/>
        </w:rPr>
        <w:t xml:space="preserve">) lub do zrzeczenia się spółdzielczego lokatorskiego prawa do </w:t>
      </w:r>
      <w:r w:rsidR="00CA6870">
        <w:rPr>
          <w:rFonts w:asciiTheme="minorHAnsi" w:hAnsiTheme="minorHAnsi" w:cs="Arial"/>
          <w:sz w:val="22"/>
          <w:szCs w:val="22"/>
        </w:rPr>
        <w:t>lokalu i opróżni</w:t>
      </w:r>
      <w:r w:rsidR="00CA6870">
        <w:rPr>
          <w:rFonts w:asciiTheme="minorHAnsi" w:hAnsiTheme="minorHAnsi" w:cs="Arial"/>
          <w:sz w:val="22"/>
          <w:szCs w:val="22"/>
        </w:rPr>
        <w:t>e</w:t>
      </w:r>
      <w:r w:rsidR="00CA6870">
        <w:rPr>
          <w:rFonts w:asciiTheme="minorHAnsi" w:hAnsiTheme="minorHAnsi" w:cs="Arial"/>
          <w:sz w:val="22"/>
          <w:szCs w:val="22"/>
        </w:rPr>
        <w:t>nia go (w przypadku gdy najemcy przysługuje takie prawo) oraz poinformowania organu właściwego o dokonaniu wskazanych czynności w terminie do końca trzeciego miesiąca uzyskiwania dopłat na podstawie składanego wniosku o dopłaty</w:t>
      </w:r>
      <w:r w:rsidR="00216727">
        <w:rPr>
          <w:rFonts w:asciiTheme="minorHAnsi" w:hAnsiTheme="minorHAnsi" w:cs="Arial"/>
          <w:sz w:val="22"/>
          <w:szCs w:val="22"/>
        </w:rPr>
        <w:t xml:space="preserve"> (tak długi termin </w:t>
      </w:r>
      <w:r w:rsidR="00216727" w:rsidRPr="00216727">
        <w:rPr>
          <w:rFonts w:asciiTheme="minorHAnsi" w:hAnsiTheme="minorHAnsi" w:cs="Arial"/>
          <w:sz w:val="22"/>
          <w:szCs w:val="22"/>
        </w:rPr>
        <w:t>ma na celu ułatwienie najemcom dokon</w:t>
      </w:r>
      <w:r w:rsidR="00216727" w:rsidRPr="00216727">
        <w:rPr>
          <w:rFonts w:asciiTheme="minorHAnsi" w:hAnsiTheme="minorHAnsi" w:cs="Arial"/>
          <w:sz w:val="22"/>
          <w:szCs w:val="22"/>
        </w:rPr>
        <w:t>a</w:t>
      </w:r>
      <w:r w:rsidR="00216727" w:rsidRPr="00216727">
        <w:rPr>
          <w:rFonts w:asciiTheme="minorHAnsi" w:hAnsiTheme="minorHAnsi" w:cs="Arial"/>
          <w:sz w:val="22"/>
          <w:szCs w:val="22"/>
        </w:rPr>
        <w:t>nia zmian związanych z miejscem zamieszkania i dopełnieniem powstał</w:t>
      </w:r>
      <w:r w:rsidR="00216727">
        <w:rPr>
          <w:rFonts w:asciiTheme="minorHAnsi" w:hAnsiTheme="minorHAnsi" w:cs="Arial"/>
          <w:sz w:val="22"/>
          <w:szCs w:val="22"/>
        </w:rPr>
        <w:t>ych w związku z tym forma</w:t>
      </w:r>
      <w:r w:rsidR="00216727">
        <w:rPr>
          <w:rFonts w:asciiTheme="minorHAnsi" w:hAnsiTheme="minorHAnsi" w:cs="Arial"/>
          <w:sz w:val="22"/>
          <w:szCs w:val="22"/>
        </w:rPr>
        <w:t>l</w:t>
      </w:r>
      <w:r w:rsidR="00216727">
        <w:rPr>
          <w:rFonts w:asciiTheme="minorHAnsi" w:hAnsiTheme="minorHAnsi" w:cs="Arial"/>
          <w:sz w:val="22"/>
          <w:szCs w:val="22"/>
        </w:rPr>
        <w:t>ności)</w:t>
      </w:r>
      <w:r w:rsidR="00CA6870">
        <w:rPr>
          <w:rFonts w:asciiTheme="minorHAnsi" w:hAnsiTheme="minorHAnsi" w:cs="Arial"/>
          <w:sz w:val="22"/>
          <w:szCs w:val="22"/>
        </w:rPr>
        <w:t>. Jeżeli najemca nie dopełni tego zobowiązania w terminie, wypłata dopłat ulegnie wstrzymaniu do czasu spełnienia ciążącego na najemcy obowiązku (z dodatkowym negatywnym skutkiem, gdyż okres wstrzymania wypłaty dopłat pomniejszy 9-letni okres stosowania dopłat wobec tego najemcy). W tym przypadku wypłata dopłat zostanie wznowiona dopiero od miesiąca następującego po miesi</w:t>
      </w:r>
      <w:r w:rsidR="00CA6870">
        <w:rPr>
          <w:rFonts w:asciiTheme="minorHAnsi" w:hAnsiTheme="minorHAnsi" w:cs="Arial"/>
          <w:sz w:val="22"/>
          <w:szCs w:val="22"/>
        </w:rPr>
        <w:t>ą</w:t>
      </w:r>
      <w:r w:rsidR="00CA6870">
        <w:rPr>
          <w:rFonts w:asciiTheme="minorHAnsi" w:hAnsiTheme="minorHAnsi" w:cs="Arial"/>
          <w:sz w:val="22"/>
          <w:szCs w:val="22"/>
        </w:rPr>
        <w:t>cu, w którym najemca dopełnił obowiązku poinformowania o dokonaniu opróżnienia objętego zob</w:t>
      </w:r>
      <w:r w:rsidR="00CA6870">
        <w:rPr>
          <w:rFonts w:asciiTheme="minorHAnsi" w:hAnsiTheme="minorHAnsi" w:cs="Arial"/>
          <w:sz w:val="22"/>
          <w:szCs w:val="22"/>
        </w:rPr>
        <w:t>o</w:t>
      </w:r>
      <w:r w:rsidR="00CA6870">
        <w:rPr>
          <w:rFonts w:asciiTheme="minorHAnsi" w:hAnsiTheme="minorHAnsi" w:cs="Arial"/>
          <w:sz w:val="22"/>
          <w:szCs w:val="22"/>
        </w:rPr>
        <w:t xml:space="preserve">wiązaniem lokalu. </w:t>
      </w:r>
      <w:r w:rsidR="00B637D9">
        <w:rPr>
          <w:rFonts w:asciiTheme="minorHAnsi" w:hAnsiTheme="minorHAnsi" w:cs="Arial"/>
          <w:sz w:val="22"/>
          <w:szCs w:val="22"/>
        </w:rPr>
        <w:t xml:space="preserve">Z uwagi na to, że informacja o wstrzymaniu i wznowieniu dopłat jest szczególnie istotna z punktu widzenia wynajmującego z uwagi na konieczność dokonywania korekt wysokości </w:t>
      </w:r>
      <w:r w:rsidR="00B637D9">
        <w:rPr>
          <w:rFonts w:asciiTheme="minorHAnsi" w:hAnsiTheme="minorHAnsi" w:cs="Arial"/>
          <w:sz w:val="22"/>
          <w:szCs w:val="22"/>
        </w:rPr>
        <w:lastRenderedPageBreak/>
        <w:t>obciążeń czynszowych podlegających zapłacie bezpośrednio przez najemcę, każda taka sytuacja b</w:t>
      </w:r>
      <w:r w:rsidR="00B637D9">
        <w:rPr>
          <w:rFonts w:asciiTheme="minorHAnsi" w:hAnsiTheme="minorHAnsi" w:cs="Arial"/>
          <w:sz w:val="22"/>
          <w:szCs w:val="22"/>
        </w:rPr>
        <w:t>ę</w:t>
      </w:r>
      <w:r w:rsidR="00B637D9">
        <w:rPr>
          <w:rFonts w:asciiTheme="minorHAnsi" w:hAnsiTheme="minorHAnsi" w:cs="Arial"/>
          <w:sz w:val="22"/>
          <w:szCs w:val="22"/>
        </w:rPr>
        <w:t>dzie rodziła po stronie organu właściwego obowiązek poinformowania wynajmującego o omawianym fakcie.</w:t>
      </w:r>
    </w:p>
    <w:p w:rsidR="00D44DDB" w:rsidRDefault="005049BB" w:rsidP="00AE1163">
      <w:pPr>
        <w:tabs>
          <w:tab w:val="left" w:pos="540"/>
        </w:tabs>
        <w:spacing w:after="240" w:line="240" w:lineRule="exact"/>
        <w:rPr>
          <w:rFonts w:asciiTheme="minorHAnsi" w:hAnsiTheme="minorHAnsi" w:cs="Arial"/>
          <w:sz w:val="22"/>
          <w:szCs w:val="22"/>
        </w:rPr>
      </w:pPr>
      <w:r w:rsidRPr="005049BB">
        <w:rPr>
          <w:rFonts w:asciiTheme="minorHAnsi" w:hAnsiTheme="minorHAnsi" w:cs="Arial"/>
          <w:sz w:val="22"/>
          <w:szCs w:val="22"/>
        </w:rPr>
        <w:t xml:space="preserve">Ograniczenia </w:t>
      </w:r>
      <w:r w:rsidR="004746F1">
        <w:rPr>
          <w:rFonts w:asciiTheme="minorHAnsi" w:hAnsiTheme="minorHAnsi" w:cs="Arial"/>
          <w:sz w:val="22"/>
          <w:szCs w:val="22"/>
        </w:rPr>
        <w:t xml:space="preserve">majątkowe </w:t>
      </w:r>
      <w:r>
        <w:rPr>
          <w:rFonts w:asciiTheme="minorHAnsi" w:hAnsiTheme="minorHAnsi" w:cs="Arial"/>
          <w:sz w:val="22"/>
          <w:szCs w:val="22"/>
        </w:rPr>
        <w:t xml:space="preserve">dla beneficjentów dopłat zostały również wprowadzone w toku </w:t>
      </w:r>
      <w:r w:rsidR="004F1079">
        <w:rPr>
          <w:rFonts w:asciiTheme="minorHAnsi" w:hAnsiTheme="minorHAnsi" w:cs="Arial"/>
          <w:sz w:val="22"/>
          <w:szCs w:val="22"/>
        </w:rPr>
        <w:t xml:space="preserve">stosowania </w:t>
      </w:r>
      <w:r w:rsidR="00BE5E9F">
        <w:rPr>
          <w:rFonts w:asciiTheme="minorHAnsi" w:hAnsiTheme="minorHAnsi" w:cs="Arial"/>
          <w:sz w:val="22"/>
          <w:szCs w:val="22"/>
        </w:rPr>
        <w:t>dopłat</w:t>
      </w:r>
      <w:r>
        <w:rPr>
          <w:rFonts w:asciiTheme="minorHAnsi" w:hAnsiTheme="minorHAnsi" w:cs="Arial"/>
          <w:sz w:val="22"/>
          <w:szCs w:val="22"/>
        </w:rPr>
        <w:t xml:space="preserve">. W okresie </w:t>
      </w:r>
      <w:r w:rsidR="004F1079">
        <w:rPr>
          <w:rFonts w:asciiTheme="minorHAnsi" w:hAnsiTheme="minorHAnsi" w:cs="Arial"/>
          <w:sz w:val="22"/>
          <w:szCs w:val="22"/>
        </w:rPr>
        <w:t>tym</w:t>
      </w:r>
      <w:r>
        <w:rPr>
          <w:rFonts w:asciiTheme="minorHAnsi" w:hAnsiTheme="minorHAnsi" w:cs="Arial"/>
          <w:sz w:val="22"/>
          <w:szCs w:val="22"/>
        </w:rPr>
        <w:t xml:space="preserve"> najemca nie może być:</w:t>
      </w:r>
    </w:p>
    <w:p w:rsidR="005049BB" w:rsidRPr="005049BB" w:rsidRDefault="005049BB" w:rsidP="00AE1163">
      <w:pPr>
        <w:pStyle w:val="Bezodstpw"/>
        <w:numPr>
          <w:ilvl w:val="0"/>
          <w:numId w:val="36"/>
        </w:numPr>
        <w:spacing w:after="240" w:line="240" w:lineRule="exact"/>
        <w:rPr>
          <w:rFonts w:asciiTheme="minorHAnsi" w:hAnsiTheme="minorHAnsi" w:cs="Arial"/>
          <w:sz w:val="22"/>
          <w:szCs w:val="22"/>
        </w:rPr>
      </w:pPr>
      <w:r w:rsidRPr="005049BB">
        <w:rPr>
          <w:rFonts w:asciiTheme="minorHAnsi" w:hAnsiTheme="minorHAnsi" w:cs="Arial"/>
          <w:sz w:val="22"/>
          <w:szCs w:val="22"/>
        </w:rPr>
        <w:t xml:space="preserve">właścicielem </w:t>
      </w:r>
      <w:r w:rsidR="00541BC4">
        <w:rPr>
          <w:rFonts w:asciiTheme="minorHAnsi" w:hAnsiTheme="minorHAnsi" w:cs="Arial"/>
          <w:sz w:val="22"/>
          <w:szCs w:val="22"/>
        </w:rPr>
        <w:t xml:space="preserve">lub współwłaścicielem </w:t>
      </w:r>
      <w:r w:rsidRPr="005049BB">
        <w:rPr>
          <w:rFonts w:asciiTheme="minorHAnsi" w:hAnsiTheme="minorHAnsi" w:cs="Arial"/>
          <w:sz w:val="22"/>
          <w:szCs w:val="22"/>
        </w:rPr>
        <w:t>budynku mieszkalnego jednorodzinnego lub lokalu mieszkalnego,</w:t>
      </w:r>
    </w:p>
    <w:p w:rsidR="005049BB" w:rsidRPr="005049BB" w:rsidRDefault="005049BB" w:rsidP="00541BC4">
      <w:pPr>
        <w:pStyle w:val="Bezodstpw"/>
        <w:numPr>
          <w:ilvl w:val="0"/>
          <w:numId w:val="36"/>
        </w:numPr>
        <w:spacing w:after="240" w:line="240" w:lineRule="exact"/>
        <w:rPr>
          <w:rFonts w:asciiTheme="minorHAnsi" w:hAnsiTheme="minorHAnsi" w:cs="Arial"/>
          <w:sz w:val="22"/>
          <w:szCs w:val="22"/>
        </w:rPr>
      </w:pPr>
      <w:r w:rsidRPr="005049BB">
        <w:rPr>
          <w:rFonts w:asciiTheme="minorHAnsi" w:hAnsiTheme="minorHAnsi" w:cs="Arial"/>
          <w:sz w:val="22"/>
          <w:szCs w:val="22"/>
        </w:rPr>
        <w:t>osobą, której przysługuje spółdzielcze własnościowe prawo do lokalu</w:t>
      </w:r>
      <w:r w:rsidR="0017316D">
        <w:rPr>
          <w:rFonts w:asciiTheme="minorHAnsi" w:hAnsiTheme="minorHAnsi" w:cs="Arial"/>
          <w:sz w:val="22"/>
          <w:szCs w:val="22"/>
        </w:rPr>
        <w:t xml:space="preserve"> </w:t>
      </w:r>
      <w:r w:rsidR="00541BC4">
        <w:rPr>
          <w:rFonts w:asciiTheme="minorHAnsi" w:hAnsiTheme="minorHAnsi" w:cs="Arial"/>
          <w:sz w:val="22"/>
          <w:szCs w:val="22"/>
        </w:rPr>
        <w:t>(w całości lub w części)</w:t>
      </w:r>
      <w:r w:rsidR="00541BC4" w:rsidRPr="00541BC4">
        <w:rPr>
          <w:rFonts w:asciiTheme="minorHAnsi" w:hAnsiTheme="minorHAnsi" w:cs="Arial"/>
          <w:sz w:val="22"/>
          <w:szCs w:val="22"/>
        </w:rPr>
        <w:t xml:space="preserve"> </w:t>
      </w:r>
      <w:r w:rsidR="0017316D">
        <w:rPr>
          <w:rFonts w:asciiTheme="minorHAnsi" w:hAnsiTheme="minorHAnsi" w:cs="Arial"/>
          <w:sz w:val="22"/>
          <w:szCs w:val="22"/>
        </w:rPr>
        <w:t>lub spółdzielcze lokatorskie prawo do lokalu</w:t>
      </w:r>
      <w:r w:rsidRPr="005049BB">
        <w:rPr>
          <w:rFonts w:asciiTheme="minorHAnsi" w:hAnsiTheme="minorHAnsi" w:cs="Arial"/>
          <w:sz w:val="22"/>
          <w:szCs w:val="22"/>
        </w:rPr>
        <w:t>, którego przedmiotem jest lokal mieszkalny lub dom jednorodzinny,</w:t>
      </w:r>
    </w:p>
    <w:p w:rsidR="005049BB" w:rsidRPr="005049BB" w:rsidRDefault="005049BB" w:rsidP="00AE1163">
      <w:pPr>
        <w:pStyle w:val="Bezodstpw"/>
        <w:numPr>
          <w:ilvl w:val="0"/>
          <w:numId w:val="36"/>
        </w:numPr>
        <w:spacing w:after="240" w:line="240" w:lineRule="exact"/>
        <w:rPr>
          <w:rFonts w:asciiTheme="minorHAnsi" w:hAnsiTheme="minorHAnsi" w:cs="Arial"/>
          <w:sz w:val="22"/>
          <w:szCs w:val="22"/>
        </w:rPr>
      </w:pPr>
      <w:r w:rsidRPr="005049BB">
        <w:rPr>
          <w:rFonts w:asciiTheme="minorHAnsi" w:hAnsiTheme="minorHAnsi" w:cs="Arial"/>
          <w:sz w:val="22"/>
          <w:szCs w:val="22"/>
        </w:rPr>
        <w:t>właścicielem lub współwłaścicielem budynku, jeżeli jego udział w przypadku zniesienia współwłasności obejmowałby co najmniej jeden lokal mieszkalny,</w:t>
      </w:r>
    </w:p>
    <w:p w:rsidR="005049BB" w:rsidRPr="0017316D" w:rsidRDefault="00AF13EA" w:rsidP="00E93879">
      <w:pPr>
        <w:pStyle w:val="Bezodstpw"/>
        <w:numPr>
          <w:ilvl w:val="0"/>
          <w:numId w:val="36"/>
        </w:numPr>
        <w:spacing w:after="240" w:line="240" w:lineRule="exact"/>
        <w:rPr>
          <w:rFonts w:asciiTheme="minorHAnsi" w:hAnsiTheme="minorHAnsi" w:cs="Arial"/>
          <w:sz w:val="22"/>
          <w:szCs w:val="22"/>
        </w:rPr>
      </w:pPr>
      <w:r>
        <w:rPr>
          <w:rFonts w:asciiTheme="minorHAnsi" w:hAnsiTheme="minorHAnsi" w:cs="Arial"/>
          <w:sz w:val="22"/>
          <w:szCs w:val="22"/>
        </w:rPr>
        <w:t xml:space="preserve">wspomnianym już </w:t>
      </w:r>
      <w:r w:rsidR="005049BB" w:rsidRPr="005049BB">
        <w:rPr>
          <w:rFonts w:asciiTheme="minorHAnsi" w:hAnsiTheme="minorHAnsi" w:cs="Arial"/>
          <w:sz w:val="22"/>
          <w:szCs w:val="22"/>
        </w:rPr>
        <w:t>najemcą lokalu mieszkalnego wchodzącego w skład mieszkaniowego zas</w:t>
      </w:r>
      <w:r w:rsidR="005049BB" w:rsidRPr="005049BB">
        <w:rPr>
          <w:rFonts w:asciiTheme="minorHAnsi" w:hAnsiTheme="minorHAnsi" w:cs="Arial"/>
          <w:sz w:val="22"/>
          <w:szCs w:val="22"/>
        </w:rPr>
        <w:t>o</w:t>
      </w:r>
      <w:r w:rsidR="005049BB" w:rsidRPr="005049BB">
        <w:rPr>
          <w:rFonts w:asciiTheme="minorHAnsi" w:hAnsiTheme="minorHAnsi" w:cs="Arial"/>
          <w:sz w:val="22"/>
          <w:szCs w:val="22"/>
        </w:rPr>
        <w:t xml:space="preserve">bu gminy </w:t>
      </w:r>
      <w:r w:rsidR="00E93879">
        <w:rPr>
          <w:rFonts w:asciiTheme="minorHAnsi" w:hAnsiTheme="minorHAnsi" w:cs="Arial"/>
          <w:sz w:val="22"/>
          <w:szCs w:val="22"/>
        </w:rPr>
        <w:t>(</w:t>
      </w:r>
      <w:r w:rsidR="00E93879" w:rsidRPr="00E93879">
        <w:rPr>
          <w:rFonts w:asciiTheme="minorHAnsi" w:hAnsiTheme="minorHAnsi" w:cs="Arial"/>
          <w:sz w:val="22"/>
          <w:szCs w:val="22"/>
        </w:rPr>
        <w:t>za wyjątkiem lokalu mieszkalnego utworzonego przy wykorzystaniu finansowania zwrotnego</w:t>
      </w:r>
      <w:r w:rsidR="00E93879">
        <w:rPr>
          <w:rFonts w:asciiTheme="minorHAnsi" w:hAnsiTheme="minorHAnsi" w:cs="Arial"/>
          <w:sz w:val="22"/>
          <w:szCs w:val="22"/>
        </w:rPr>
        <w:t xml:space="preserve">, </w:t>
      </w:r>
      <w:r w:rsidR="00E93879" w:rsidRPr="00E93879">
        <w:rPr>
          <w:rFonts w:asciiTheme="minorHAnsi" w:hAnsiTheme="minorHAnsi" w:cs="Arial"/>
          <w:sz w:val="22"/>
          <w:szCs w:val="22"/>
        </w:rPr>
        <w:t>w związku z najmem którego są stosowane dopłaty</w:t>
      </w:r>
      <w:r w:rsidR="00E93879">
        <w:rPr>
          <w:rFonts w:asciiTheme="minorHAnsi" w:hAnsiTheme="minorHAnsi" w:cs="Arial"/>
          <w:sz w:val="22"/>
          <w:szCs w:val="22"/>
        </w:rPr>
        <w:t>)</w:t>
      </w:r>
      <w:r w:rsidR="00E93879" w:rsidRPr="00E93879">
        <w:rPr>
          <w:rFonts w:asciiTheme="minorHAnsi" w:hAnsiTheme="minorHAnsi" w:cs="Arial"/>
          <w:sz w:val="22"/>
          <w:szCs w:val="22"/>
        </w:rPr>
        <w:t xml:space="preserve"> </w:t>
      </w:r>
      <w:r w:rsidR="005049BB" w:rsidRPr="005049BB">
        <w:rPr>
          <w:rFonts w:asciiTheme="minorHAnsi" w:hAnsiTheme="minorHAnsi" w:cs="Arial"/>
          <w:sz w:val="22"/>
          <w:szCs w:val="22"/>
        </w:rPr>
        <w:t xml:space="preserve">lub </w:t>
      </w:r>
      <w:r w:rsidR="00E93879">
        <w:rPr>
          <w:rFonts w:asciiTheme="minorHAnsi" w:hAnsiTheme="minorHAnsi" w:cs="Arial"/>
          <w:sz w:val="22"/>
          <w:szCs w:val="22"/>
        </w:rPr>
        <w:t>innego niż lokal wch</w:t>
      </w:r>
      <w:r w:rsidR="00E93879">
        <w:rPr>
          <w:rFonts w:asciiTheme="minorHAnsi" w:hAnsiTheme="minorHAnsi" w:cs="Arial"/>
          <w:sz w:val="22"/>
          <w:szCs w:val="22"/>
        </w:rPr>
        <w:t>o</w:t>
      </w:r>
      <w:r w:rsidR="00E93879">
        <w:rPr>
          <w:rFonts w:asciiTheme="minorHAnsi" w:hAnsiTheme="minorHAnsi" w:cs="Arial"/>
          <w:sz w:val="22"/>
          <w:szCs w:val="22"/>
        </w:rPr>
        <w:t xml:space="preserve">dzący w skład mieszkaniowego zasobu gminy </w:t>
      </w:r>
      <w:r w:rsidR="005049BB" w:rsidRPr="005049BB">
        <w:rPr>
          <w:rFonts w:asciiTheme="minorHAnsi" w:hAnsiTheme="minorHAnsi" w:cs="Arial"/>
          <w:sz w:val="22"/>
          <w:szCs w:val="22"/>
        </w:rPr>
        <w:t>lokalu mieszkalnego utworzonego przy wyk</w:t>
      </w:r>
      <w:r w:rsidR="005049BB" w:rsidRPr="005049BB">
        <w:rPr>
          <w:rFonts w:asciiTheme="minorHAnsi" w:hAnsiTheme="minorHAnsi" w:cs="Arial"/>
          <w:sz w:val="22"/>
          <w:szCs w:val="22"/>
        </w:rPr>
        <w:t>o</w:t>
      </w:r>
      <w:r w:rsidR="005049BB" w:rsidRPr="005049BB">
        <w:rPr>
          <w:rFonts w:asciiTheme="minorHAnsi" w:hAnsiTheme="minorHAnsi" w:cs="Arial"/>
          <w:sz w:val="22"/>
          <w:szCs w:val="22"/>
        </w:rPr>
        <w:t xml:space="preserve">rzystaniu </w:t>
      </w:r>
      <w:r w:rsidR="005049BB">
        <w:rPr>
          <w:rFonts w:asciiTheme="minorHAnsi" w:hAnsiTheme="minorHAnsi" w:cs="Arial"/>
          <w:sz w:val="22"/>
          <w:szCs w:val="22"/>
        </w:rPr>
        <w:t>wsparcia, o którym</w:t>
      </w:r>
      <w:r w:rsidR="005049BB" w:rsidRPr="005049BB">
        <w:rPr>
          <w:rFonts w:asciiTheme="minorHAnsi" w:hAnsiTheme="minorHAnsi" w:cs="Arial"/>
          <w:sz w:val="22"/>
          <w:szCs w:val="22"/>
        </w:rPr>
        <w:t xml:space="preserve"> mowa w </w:t>
      </w:r>
      <w:r w:rsidR="005049BB" w:rsidRPr="005049BB">
        <w:rPr>
          <w:rFonts w:asciiTheme="minorHAnsi" w:hAnsiTheme="minorHAnsi" w:cs="Arial"/>
          <w:i/>
          <w:sz w:val="22"/>
          <w:szCs w:val="22"/>
        </w:rPr>
        <w:t>ustawie z dnia 26 października 1995 r. o niektórych formach popierania budownictwa mieszkaniowego</w:t>
      </w:r>
      <w:r w:rsidR="005049BB">
        <w:rPr>
          <w:rFonts w:asciiTheme="minorHAnsi" w:hAnsiTheme="minorHAnsi" w:cs="Arial"/>
          <w:sz w:val="22"/>
          <w:szCs w:val="22"/>
        </w:rPr>
        <w:t xml:space="preserve"> (</w:t>
      </w:r>
      <w:r w:rsidR="00E93879" w:rsidRPr="00E93879">
        <w:rPr>
          <w:rFonts w:asciiTheme="minorHAnsi" w:hAnsiTheme="minorHAnsi" w:cs="Arial"/>
          <w:sz w:val="22"/>
          <w:szCs w:val="22"/>
        </w:rPr>
        <w:t>za wyjątkiem lokalu mieszkalnego, w związku z najmem którego są stosowane dopłaty</w:t>
      </w:r>
      <w:r w:rsidR="005049BB">
        <w:rPr>
          <w:rFonts w:asciiTheme="minorHAnsi" w:hAnsiTheme="minorHAnsi" w:cs="Arial"/>
          <w:sz w:val="22"/>
          <w:szCs w:val="22"/>
        </w:rPr>
        <w:t>)</w:t>
      </w:r>
      <w:r w:rsidR="00AE1163" w:rsidRPr="0017316D">
        <w:rPr>
          <w:rFonts w:asciiTheme="minorHAnsi" w:hAnsiTheme="minorHAnsi" w:cs="Arial"/>
          <w:sz w:val="22"/>
          <w:szCs w:val="22"/>
        </w:rPr>
        <w:t>.</w:t>
      </w:r>
    </w:p>
    <w:p w:rsidR="00084423" w:rsidRDefault="00486126" w:rsidP="00AE1163">
      <w:pPr>
        <w:pStyle w:val="Bezodstpw"/>
        <w:spacing w:after="240" w:line="240" w:lineRule="exact"/>
        <w:rPr>
          <w:rFonts w:asciiTheme="minorHAnsi" w:hAnsiTheme="minorHAnsi" w:cs="Arial"/>
          <w:sz w:val="22"/>
          <w:szCs w:val="22"/>
        </w:rPr>
      </w:pPr>
      <w:r>
        <w:rPr>
          <w:rFonts w:asciiTheme="minorHAnsi" w:hAnsiTheme="minorHAnsi" w:cs="Arial"/>
          <w:sz w:val="22"/>
          <w:szCs w:val="22"/>
        </w:rPr>
        <w:t xml:space="preserve">Projektodawca wprowadza jednak </w:t>
      </w:r>
      <w:r w:rsidR="00084423">
        <w:rPr>
          <w:rFonts w:asciiTheme="minorHAnsi" w:hAnsiTheme="minorHAnsi" w:cs="Arial"/>
          <w:sz w:val="22"/>
          <w:szCs w:val="22"/>
        </w:rPr>
        <w:t>w zakresie warunku dotyczącego tytułu własności i spółdzielczego własnościowego prawa do lokalu w okresie uzyskiwania dopłat</w:t>
      </w:r>
      <w:r>
        <w:rPr>
          <w:rFonts w:asciiTheme="minorHAnsi" w:hAnsiTheme="minorHAnsi" w:cs="Arial"/>
          <w:sz w:val="22"/>
          <w:szCs w:val="22"/>
        </w:rPr>
        <w:t xml:space="preserve"> jedno kluczowe odstępstwo.</w:t>
      </w:r>
      <w:r w:rsidR="00084423">
        <w:rPr>
          <w:rFonts w:asciiTheme="minorHAnsi" w:hAnsiTheme="minorHAnsi" w:cs="Arial"/>
          <w:sz w:val="22"/>
          <w:szCs w:val="22"/>
        </w:rPr>
        <w:t xml:space="preserve"> </w:t>
      </w:r>
      <w:r>
        <w:rPr>
          <w:rFonts w:asciiTheme="minorHAnsi" w:hAnsiTheme="minorHAnsi" w:cs="Arial"/>
          <w:sz w:val="22"/>
          <w:szCs w:val="22"/>
        </w:rPr>
        <w:t>W</w:t>
      </w:r>
      <w:r w:rsidR="00084423">
        <w:rPr>
          <w:rFonts w:asciiTheme="minorHAnsi" w:hAnsiTheme="minorHAnsi" w:cs="Arial"/>
          <w:sz w:val="22"/>
          <w:szCs w:val="22"/>
        </w:rPr>
        <w:t xml:space="preserve"> oc</w:t>
      </w:r>
      <w:r w:rsidR="00084423">
        <w:rPr>
          <w:rFonts w:asciiTheme="minorHAnsi" w:hAnsiTheme="minorHAnsi" w:cs="Arial"/>
          <w:sz w:val="22"/>
          <w:szCs w:val="22"/>
        </w:rPr>
        <w:t>e</w:t>
      </w:r>
      <w:r w:rsidR="00084423">
        <w:rPr>
          <w:rFonts w:asciiTheme="minorHAnsi" w:hAnsiTheme="minorHAnsi" w:cs="Arial"/>
          <w:sz w:val="22"/>
          <w:szCs w:val="22"/>
        </w:rPr>
        <w:t xml:space="preserve">nie projektodawcy niezasadne jest </w:t>
      </w:r>
      <w:r>
        <w:rPr>
          <w:rFonts w:asciiTheme="minorHAnsi" w:hAnsiTheme="minorHAnsi" w:cs="Arial"/>
          <w:sz w:val="22"/>
          <w:szCs w:val="22"/>
        </w:rPr>
        <w:t xml:space="preserve">bowiem </w:t>
      </w:r>
      <w:r w:rsidR="00084423">
        <w:rPr>
          <w:rFonts w:asciiTheme="minorHAnsi" w:hAnsiTheme="minorHAnsi" w:cs="Arial"/>
          <w:sz w:val="22"/>
          <w:szCs w:val="22"/>
        </w:rPr>
        <w:t xml:space="preserve">pozbawianie dopłat </w:t>
      </w:r>
      <w:r w:rsidR="00425AB6">
        <w:rPr>
          <w:rFonts w:asciiTheme="minorHAnsi" w:hAnsiTheme="minorHAnsi" w:cs="Arial"/>
          <w:sz w:val="22"/>
          <w:szCs w:val="22"/>
        </w:rPr>
        <w:t>najemcy</w:t>
      </w:r>
      <w:r w:rsidR="00084423">
        <w:rPr>
          <w:rFonts w:asciiTheme="minorHAnsi" w:hAnsiTheme="minorHAnsi" w:cs="Arial"/>
          <w:sz w:val="22"/>
          <w:szCs w:val="22"/>
        </w:rPr>
        <w:t>, który w okresie ich stos</w:t>
      </w:r>
      <w:r w:rsidR="00084423">
        <w:rPr>
          <w:rFonts w:asciiTheme="minorHAnsi" w:hAnsiTheme="minorHAnsi" w:cs="Arial"/>
          <w:sz w:val="22"/>
          <w:szCs w:val="22"/>
        </w:rPr>
        <w:t>o</w:t>
      </w:r>
      <w:r w:rsidR="00084423">
        <w:rPr>
          <w:rFonts w:asciiTheme="minorHAnsi" w:hAnsiTheme="minorHAnsi" w:cs="Arial"/>
          <w:sz w:val="22"/>
          <w:szCs w:val="22"/>
        </w:rPr>
        <w:t xml:space="preserve">wania </w:t>
      </w:r>
      <w:r w:rsidR="00084423" w:rsidRPr="00084423">
        <w:rPr>
          <w:rFonts w:asciiTheme="minorHAnsi" w:hAnsiTheme="minorHAnsi" w:cs="Arial"/>
          <w:sz w:val="22"/>
          <w:szCs w:val="22"/>
        </w:rPr>
        <w:t>stanie się</w:t>
      </w:r>
      <w:r w:rsidR="00425AB6">
        <w:rPr>
          <w:rFonts w:asciiTheme="minorHAnsi" w:hAnsiTheme="minorHAnsi" w:cs="Arial"/>
          <w:sz w:val="22"/>
          <w:szCs w:val="22"/>
        </w:rPr>
        <w:t xml:space="preserve"> </w:t>
      </w:r>
      <w:r w:rsidR="00084423" w:rsidRPr="00084423">
        <w:rPr>
          <w:rFonts w:asciiTheme="minorHAnsi" w:hAnsiTheme="minorHAnsi" w:cs="Arial"/>
          <w:sz w:val="22"/>
          <w:szCs w:val="22"/>
        </w:rPr>
        <w:t xml:space="preserve">współwłaścicielem budynku w wyniku niezależnych od niego przyczyn, </w:t>
      </w:r>
      <w:r>
        <w:rPr>
          <w:rFonts w:asciiTheme="minorHAnsi" w:hAnsiTheme="minorHAnsi" w:cs="Arial"/>
          <w:sz w:val="22"/>
          <w:szCs w:val="22"/>
        </w:rPr>
        <w:t>tj.</w:t>
      </w:r>
      <w:r w:rsidR="00084423" w:rsidRPr="00084423">
        <w:rPr>
          <w:rFonts w:asciiTheme="minorHAnsi" w:hAnsiTheme="minorHAnsi" w:cs="Arial"/>
          <w:sz w:val="22"/>
          <w:szCs w:val="22"/>
        </w:rPr>
        <w:t xml:space="preserve"> w drodze postępowania spadkowego. </w:t>
      </w:r>
    </w:p>
    <w:p w:rsidR="00E175E0" w:rsidRDefault="00AE1163" w:rsidP="00AE1163">
      <w:pPr>
        <w:pStyle w:val="Bezodstpw"/>
        <w:spacing w:after="240" w:line="240" w:lineRule="exact"/>
        <w:rPr>
          <w:rFonts w:asciiTheme="minorHAnsi" w:hAnsiTheme="minorHAnsi" w:cs="Arial"/>
          <w:sz w:val="22"/>
          <w:szCs w:val="22"/>
        </w:rPr>
      </w:pPr>
      <w:r>
        <w:rPr>
          <w:rFonts w:asciiTheme="minorHAnsi" w:hAnsiTheme="minorHAnsi" w:cs="Arial"/>
          <w:sz w:val="22"/>
          <w:szCs w:val="22"/>
        </w:rPr>
        <w:t xml:space="preserve">Powyższe ograniczenia w dniu złożenia wniosku o dopłaty przez najemcę oraz w okresie stosowania dopłat wobec tego najemcy dotyczą również pozostałych osób wchodzących w skład gospodarstwa domowego najemcy. </w:t>
      </w:r>
      <w:r w:rsidR="004024F1" w:rsidRPr="004024F1">
        <w:rPr>
          <w:rFonts w:asciiTheme="minorHAnsi" w:hAnsiTheme="minorHAnsi" w:cs="Arial"/>
          <w:sz w:val="22"/>
          <w:szCs w:val="22"/>
        </w:rPr>
        <w:t xml:space="preserve">Przesądzenie to umożliwia zniwelowanie ryzyka, że pomoc będzie trafiała do osób, które jej </w:t>
      </w:r>
      <w:r w:rsidR="004024F1" w:rsidRPr="004024F1">
        <w:rPr>
          <w:rFonts w:asciiTheme="minorHAnsi" w:hAnsiTheme="minorHAnsi" w:cs="Arial"/>
          <w:i/>
          <w:sz w:val="22"/>
          <w:szCs w:val="22"/>
        </w:rPr>
        <w:t>de facto</w:t>
      </w:r>
      <w:r w:rsidR="004024F1" w:rsidRPr="004024F1">
        <w:rPr>
          <w:rFonts w:asciiTheme="minorHAnsi" w:hAnsiTheme="minorHAnsi" w:cs="Arial"/>
          <w:sz w:val="22"/>
          <w:szCs w:val="22"/>
        </w:rPr>
        <w:t xml:space="preserve"> nie potrzebują. Nie należy zapominać, że mieszkanie objęte dopłatami ma służyć faktycznemu zaspokajaniu potrzeb gospodarstwa domowego. Nieuzasadnione byłoby zatem np. przyznawanie dopłat w przypadku, gdy członek rodziny  zamieszkujący lokal objęty dopłatami ma własne mieszkanie, które może zaspokajać potrzeby mieszkaniowe ro</w:t>
      </w:r>
      <w:r w:rsidR="004024F1">
        <w:rPr>
          <w:rFonts w:asciiTheme="minorHAnsi" w:hAnsiTheme="minorHAnsi" w:cs="Arial"/>
          <w:sz w:val="22"/>
          <w:szCs w:val="22"/>
        </w:rPr>
        <w:t xml:space="preserve">dziny, lub które można wynająć </w:t>
      </w:r>
      <w:r w:rsidR="00DA7A22">
        <w:rPr>
          <w:rFonts w:asciiTheme="minorHAnsi" w:hAnsiTheme="minorHAnsi" w:cs="Arial"/>
          <w:sz w:val="22"/>
          <w:szCs w:val="22"/>
        </w:rPr>
        <w:br/>
      </w:r>
      <w:r w:rsidR="004024F1" w:rsidRPr="004024F1">
        <w:rPr>
          <w:rFonts w:asciiTheme="minorHAnsi" w:hAnsiTheme="minorHAnsi" w:cs="Arial"/>
          <w:sz w:val="22"/>
          <w:szCs w:val="22"/>
        </w:rPr>
        <w:t xml:space="preserve">i czerpać z tego </w:t>
      </w:r>
      <w:r w:rsidR="004024F1">
        <w:rPr>
          <w:rFonts w:asciiTheme="minorHAnsi" w:hAnsiTheme="minorHAnsi" w:cs="Arial"/>
          <w:sz w:val="22"/>
          <w:szCs w:val="22"/>
        </w:rPr>
        <w:t xml:space="preserve">tytułu </w:t>
      </w:r>
      <w:r w:rsidR="004024F1" w:rsidRPr="004024F1">
        <w:rPr>
          <w:rFonts w:asciiTheme="minorHAnsi" w:hAnsiTheme="minorHAnsi" w:cs="Arial"/>
          <w:sz w:val="22"/>
          <w:szCs w:val="22"/>
        </w:rPr>
        <w:t>dochody</w:t>
      </w:r>
      <w:r w:rsidR="004024F1">
        <w:rPr>
          <w:rFonts w:asciiTheme="minorHAnsi" w:hAnsiTheme="minorHAnsi" w:cs="Arial"/>
          <w:sz w:val="22"/>
          <w:szCs w:val="22"/>
        </w:rPr>
        <w:t xml:space="preserve">. </w:t>
      </w:r>
      <w:r w:rsidR="009A7F79">
        <w:rPr>
          <w:rFonts w:asciiTheme="minorHAnsi" w:hAnsiTheme="minorHAnsi" w:cs="Arial"/>
          <w:sz w:val="22"/>
          <w:szCs w:val="22"/>
        </w:rPr>
        <w:t xml:space="preserve">Odnosząc się w </w:t>
      </w:r>
      <w:r w:rsidR="004024F1">
        <w:rPr>
          <w:rFonts w:asciiTheme="minorHAnsi" w:hAnsiTheme="minorHAnsi" w:cs="Arial"/>
          <w:sz w:val="22"/>
          <w:szCs w:val="22"/>
        </w:rPr>
        <w:t>omawianym</w:t>
      </w:r>
      <w:r w:rsidR="009A7F79">
        <w:rPr>
          <w:rFonts w:asciiTheme="minorHAnsi" w:hAnsiTheme="minorHAnsi" w:cs="Arial"/>
          <w:sz w:val="22"/>
          <w:szCs w:val="22"/>
        </w:rPr>
        <w:t xml:space="preserve"> kontekście do zobowiązania czynionego przez najemcę w związku ze składaniem wniosku o dopłaty, należy zauważyć, że </w:t>
      </w:r>
      <w:r w:rsidR="003E41FF">
        <w:rPr>
          <w:rFonts w:asciiTheme="minorHAnsi" w:hAnsiTheme="minorHAnsi" w:cs="Arial"/>
          <w:sz w:val="22"/>
          <w:szCs w:val="22"/>
        </w:rPr>
        <w:t>o dokonaniu czynn</w:t>
      </w:r>
      <w:r w:rsidR="003E41FF">
        <w:rPr>
          <w:rFonts w:asciiTheme="minorHAnsi" w:hAnsiTheme="minorHAnsi" w:cs="Arial"/>
          <w:sz w:val="22"/>
          <w:szCs w:val="22"/>
        </w:rPr>
        <w:t>o</w:t>
      </w:r>
      <w:r w:rsidR="003E41FF">
        <w:rPr>
          <w:rFonts w:asciiTheme="minorHAnsi" w:hAnsiTheme="minorHAnsi" w:cs="Arial"/>
          <w:sz w:val="22"/>
          <w:szCs w:val="22"/>
        </w:rPr>
        <w:t xml:space="preserve">ści rozwiązania umowy najmu </w:t>
      </w:r>
      <w:r w:rsidR="00DE7011">
        <w:rPr>
          <w:rFonts w:asciiTheme="minorHAnsi" w:hAnsiTheme="minorHAnsi" w:cs="Arial"/>
          <w:sz w:val="22"/>
          <w:szCs w:val="22"/>
        </w:rPr>
        <w:t xml:space="preserve">i </w:t>
      </w:r>
      <w:r w:rsidR="003E41FF">
        <w:rPr>
          <w:rFonts w:asciiTheme="minorHAnsi" w:hAnsiTheme="minorHAnsi" w:cs="Arial"/>
          <w:sz w:val="22"/>
          <w:szCs w:val="22"/>
        </w:rPr>
        <w:t>opróżnienia lokalu (lub zrzeczenia się spółdzielczego lokatorskiego prawa do lokalu</w:t>
      </w:r>
      <w:r w:rsidR="00DE7011">
        <w:rPr>
          <w:rFonts w:asciiTheme="minorHAnsi" w:hAnsiTheme="minorHAnsi" w:cs="Arial"/>
          <w:sz w:val="22"/>
          <w:szCs w:val="22"/>
        </w:rPr>
        <w:t xml:space="preserve"> i opróżnienia tego lokalu</w:t>
      </w:r>
      <w:r w:rsidR="003E41FF">
        <w:rPr>
          <w:rFonts w:asciiTheme="minorHAnsi" w:hAnsiTheme="minorHAnsi" w:cs="Arial"/>
          <w:sz w:val="22"/>
          <w:szCs w:val="22"/>
        </w:rPr>
        <w:t>) przez inną osobę wchodzącą w skład gospodarstwa d</w:t>
      </w:r>
      <w:r w:rsidR="003E41FF">
        <w:rPr>
          <w:rFonts w:asciiTheme="minorHAnsi" w:hAnsiTheme="minorHAnsi" w:cs="Arial"/>
          <w:sz w:val="22"/>
          <w:szCs w:val="22"/>
        </w:rPr>
        <w:t>o</w:t>
      </w:r>
      <w:r w:rsidR="003E41FF">
        <w:rPr>
          <w:rFonts w:asciiTheme="minorHAnsi" w:hAnsiTheme="minorHAnsi" w:cs="Arial"/>
          <w:sz w:val="22"/>
          <w:szCs w:val="22"/>
        </w:rPr>
        <w:t xml:space="preserve">mowego organ właściwy </w:t>
      </w:r>
      <w:r w:rsidR="0059730E">
        <w:rPr>
          <w:rFonts w:asciiTheme="minorHAnsi" w:hAnsiTheme="minorHAnsi" w:cs="Arial"/>
          <w:sz w:val="22"/>
          <w:szCs w:val="22"/>
        </w:rPr>
        <w:t xml:space="preserve">(tj. </w:t>
      </w:r>
      <w:r w:rsidR="0059730E" w:rsidRPr="0059730E">
        <w:rPr>
          <w:rFonts w:asciiTheme="minorHAnsi" w:hAnsiTheme="minorHAnsi" w:cs="Arial"/>
          <w:sz w:val="22"/>
          <w:szCs w:val="22"/>
        </w:rPr>
        <w:t>wójt</w:t>
      </w:r>
      <w:r w:rsidR="00416512">
        <w:rPr>
          <w:rFonts w:asciiTheme="minorHAnsi" w:hAnsiTheme="minorHAnsi" w:cs="Arial"/>
          <w:sz w:val="22"/>
          <w:szCs w:val="22"/>
        </w:rPr>
        <w:t>a</w:t>
      </w:r>
      <w:r w:rsidR="0059730E" w:rsidRPr="0059730E">
        <w:rPr>
          <w:rFonts w:asciiTheme="minorHAnsi" w:hAnsiTheme="minorHAnsi" w:cs="Arial"/>
          <w:sz w:val="22"/>
          <w:szCs w:val="22"/>
        </w:rPr>
        <w:t>, burmistrz</w:t>
      </w:r>
      <w:r w:rsidR="00416512">
        <w:rPr>
          <w:rFonts w:asciiTheme="minorHAnsi" w:hAnsiTheme="minorHAnsi" w:cs="Arial"/>
          <w:sz w:val="22"/>
          <w:szCs w:val="22"/>
        </w:rPr>
        <w:t>a</w:t>
      </w:r>
      <w:r w:rsidR="0059730E" w:rsidRPr="0059730E">
        <w:rPr>
          <w:rFonts w:asciiTheme="minorHAnsi" w:hAnsiTheme="minorHAnsi" w:cs="Arial"/>
          <w:sz w:val="22"/>
          <w:szCs w:val="22"/>
        </w:rPr>
        <w:t xml:space="preserve"> lub prezydent</w:t>
      </w:r>
      <w:r w:rsidR="00416512">
        <w:rPr>
          <w:rFonts w:asciiTheme="minorHAnsi" w:hAnsiTheme="minorHAnsi" w:cs="Arial"/>
          <w:sz w:val="22"/>
          <w:szCs w:val="22"/>
        </w:rPr>
        <w:t>a</w:t>
      </w:r>
      <w:r w:rsidR="0059730E" w:rsidRPr="0059730E">
        <w:rPr>
          <w:rFonts w:asciiTheme="minorHAnsi" w:hAnsiTheme="minorHAnsi" w:cs="Arial"/>
          <w:sz w:val="22"/>
          <w:szCs w:val="22"/>
        </w:rPr>
        <w:t xml:space="preserve"> miasta właściw</w:t>
      </w:r>
      <w:r w:rsidR="00416512">
        <w:rPr>
          <w:rFonts w:asciiTheme="minorHAnsi" w:hAnsiTheme="minorHAnsi" w:cs="Arial"/>
          <w:sz w:val="22"/>
          <w:szCs w:val="22"/>
        </w:rPr>
        <w:t>ego</w:t>
      </w:r>
      <w:r w:rsidR="0059730E" w:rsidRPr="0059730E">
        <w:rPr>
          <w:rFonts w:asciiTheme="minorHAnsi" w:hAnsiTheme="minorHAnsi" w:cs="Arial"/>
          <w:sz w:val="22"/>
          <w:szCs w:val="22"/>
        </w:rPr>
        <w:t xml:space="preserve"> ze względu na mie</w:t>
      </w:r>
      <w:r w:rsidR="0059730E" w:rsidRPr="0059730E">
        <w:rPr>
          <w:rFonts w:asciiTheme="minorHAnsi" w:hAnsiTheme="minorHAnsi" w:cs="Arial"/>
          <w:sz w:val="22"/>
          <w:szCs w:val="22"/>
        </w:rPr>
        <w:t>j</w:t>
      </w:r>
      <w:r w:rsidR="0059730E" w:rsidRPr="0059730E">
        <w:rPr>
          <w:rFonts w:asciiTheme="minorHAnsi" w:hAnsiTheme="minorHAnsi" w:cs="Arial"/>
          <w:sz w:val="22"/>
          <w:szCs w:val="22"/>
        </w:rPr>
        <w:t>sce położenia mieszkania</w:t>
      </w:r>
      <w:r w:rsidR="0059730E">
        <w:rPr>
          <w:rFonts w:asciiTheme="minorHAnsi" w:hAnsiTheme="minorHAnsi" w:cs="Arial"/>
          <w:sz w:val="22"/>
          <w:szCs w:val="22"/>
        </w:rPr>
        <w:t>)</w:t>
      </w:r>
      <w:r w:rsidR="0059730E" w:rsidRPr="0059730E">
        <w:rPr>
          <w:rFonts w:asciiTheme="minorHAnsi" w:hAnsiTheme="minorHAnsi" w:cs="Arial"/>
          <w:sz w:val="22"/>
          <w:szCs w:val="22"/>
        </w:rPr>
        <w:t xml:space="preserve"> </w:t>
      </w:r>
      <w:r w:rsidR="00DE7011">
        <w:rPr>
          <w:rFonts w:asciiTheme="minorHAnsi" w:hAnsiTheme="minorHAnsi" w:cs="Arial"/>
          <w:sz w:val="22"/>
          <w:szCs w:val="22"/>
        </w:rPr>
        <w:t>informuje najemca</w:t>
      </w:r>
      <w:r w:rsidR="003E41FF">
        <w:rPr>
          <w:rFonts w:asciiTheme="minorHAnsi" w:hAnsiTheme="minorHAnsi" w:cs="Arial"/>
          <w:sz w:val="22"/>
          <w:szCs w:val="22"/>
        </w:rPr>
        <w:t xml:space="preserve"> (w przypadku gdy najemcą są oboje małżonkowie, b</w:t>
      </w:r>
      <w:r w:rsidR="003E41FF">
        <w:rPr>
          <w:rFonts w:asciiTheme="minorHAnsi" w:hAnsiTheme="minorHAnsi" w:cs="Arial"/>
          <w:sz w:val="22"/>
          <w:szCs w:val="22"/>
        </w:rPr>
        <w:t>ę</w:t>
      </w:r>
      <w:r w:rsidR="003E41FF">
        <w:rPr>
          <w:rFonts w:asciiTheme="minorHAnsi" w:hAnsiTheme="minorHAnsi" w:cs="Arial"/>
          <w:sz w:val="22"/>
          <w:szCs w:val="22"/>
        </w:rPr>
        <w:t xml:space="preserve">dzie to osoba, która złożyła wniosek o dopłaty). </w:t>
      </w:r>
    </w:p>
    <w:p w:rsidR="00AE1163" w:rsidRPr="00D8660E" w:rsidRDefault="00AE1163" w:rsidP="00D8660E">
      <w:pPr>
        <w:pStyle w:val="Bezodstpw"/>
        <w:spacing w:after="240" w:line="240" w:lineRule="exact"/>
        <w:rPr>
          <w:rFonts w:asciiTheme="minorHAnsi" w:hAnsiTheme="minorHAnsi" w:cs="Arial"/>
          <w:sz w:val="22"/>
          <w:szCs w:val="22"/>
        </w:rPr>
      </w:pPr>
      <w:r w:rsidRPr="00AE1163">
        <w:rPr>
          <w:rFonts w:asciiTheme="minorHAnsi" w:hAnsiTheme="minorHAnsi" w:cs="Arial"/>
          <w:sz w:val="22"/>
          <w:szCs w:val="22"/>
        </w:rPr>
        <w:t xml:space="preserve">Najemca uzyskujący dopłaty nie może ponadto podnajmować </w:t>
      </w:r>
      <w:r w:rsidR="00934DEA">
        <w:rPr>
          <w:rFonts w:asciiTheme="minorHAnsi" w:hAnsiTheme="minorHAnsi" w:cs="Arial"/>
          <w:sz w:val="22"/>
          <w:szCs w:val="22"/>
        </w:rPr>
        <w:t>lokalu mieszkalnego</w:t>
      </w:r>
      <w:r w:rsidRPr="00AE1163">
        <w:rPr>
          <w:rFonts w:asciiTheme="minorHAnsi" w:hAnsiTheme="minorHAnsi" w:cs="Arial"/>
          <w:sz w:val="22"/>
          <w:szCs w:val="22"/>
        </w:rPr>
        <w:t xml:space="preserve"> lub części </w:t>
      </w:r>
      <w:r w:rsidR="00934DEA">
        <w:rPr>
          <w:rFonts w:asciiTheme="minorHAnsi" w:hAnsiTheme="minorHAnsi" w:cs="Arial"/>
          <w:sz w:val="22"/>
          <w:szCs w:val="22"/>
        </w:rPr>
        <w:t>lokalu mieszkalnego</w:t>
      </w:r>
      <w:r w:rsidRPr="00AE1163">
        <w:rPr>
          <w:rFonts w:asciiTheme="minorHAnsi" w:hAnsiTheme="minorHAnsi" w:cs="Arial"/>
          <w:sz w:val="22"/>
          <w:szCs w:val="22"/>
        </w:rPr>
        <w:t>, w związku z najmem którego są stosowane dopłaty</w:t>
      </w:r>
      <w:r w:rsidR="00006918">
        <w:rPr>
          <w:rFonts w:asciiTheme="minorHAnsi" w:hAnsiTheme="minorHAnsi" w:cs="Arial"/>
          <w:sz w:val="22"/>
          <w:szCs w:val="22"/>
        </w:rPr>
        <w:t xml:space="preserve">, co </w:t>
      </w:r>
      <w:r w:rsidR="00486126">
        <w:rPr>
          <w:rFonts w:asciiTheme="minorHAnsi" w:hAnsiTheme="minorHAnsi" w:cs="Arial"/>
          <w:sz w:val="22"/>
          <w:szCs w:val="22"/>
        </w:rPr>
        <w:t>wynika</w:t>
      </w:r>
      <w:r w:rsidR="00006918">
        <w:rPr>
          <w:rFonts w:asciiTheme="minorHAnsi" w:hAnsiTheme="minorHAnsi" w:cs="Arial"/>
          <w:sz w:val="22"/>
          <w:szCs w:val="22"/>
        </w:rPr>
        <w:t xml:space="preserve"> z </w:t>
      </w:r>
      <w:r w:rsidR="00486126">
        <w:rPr>
          <w:rFonts w:asciiTheme="minorHAnsi" w:hAnsiTheme="minorHAnsi" w:cs="Arial"/>
          <w:sz w:val="22"/>
          <w:szCs w:val="22"/>
        </w:rPr>
        <w:t>podstawowego zał</w:t>
      </w:r>
      <w:r w:rsidR="00486126">
        <w:rPr>
          <w:rFonts w:asciiTheme="minorHAnsi" w:hAnsiTheme="minorHAnsi" w:cs="Arial"/>
          <w:sz w:val="22"/>
          <w:szCs w:val="22"/>
        </w:rPr>
        <w:t>o</w:t>
      </w:r>
      <w:r w:rsidR="00486126">
        <w:rPr>
          <w:rFonts w:asciiTheme="minorHAnsi" w:hAnsiTheme="minorHAnsi" w:cs="Arial"/>
          <w:sz w:val="22"/>
          <w:szCs w:val="22"/>
        </w:rPr>
        <w:t xml:space="preserve">żenia </w:t>
      </w:r>
      <w:r w:rsidR="00006918">
        <w:rPr>
          <w:rFonts w:asciiTheme="minorHAnsi" w:hAnsiTheme="minorHAnsi" w:cs="Arial"/>
          <w:sz w:val="22"/>
          <w:szCs w:val="22"/>
        </w:rPr>
        <w:t xml:space="preserve">systemu, </w:t>
      </w:r>
      <w:r w:rsidR="00486126">
        <w:rPr>
          <w:rFonts w:asciiTheme="minorHAnsi" w:hAnsiTheme="minorHAnsi" w:cs="Arial"/>
          <w:sz w:val="22"/>
          <w:szCs w:val="22"/>
        </w:rPr>
        <w:t xml:space="preserve">zgodnie z którym </w:t>
      </w:r>
      <w:r w:rsidR="00006918">
        <w:rPr>
          <w:rFonts w:asciiTheme="minorHAnsi" w:hAnsiTheme="minorHAnsi" w:cs="Arial"/>
          <w:sz w:val="22"/>
          <w:szCs w:val="22"/>
        </w:rPr>
        <w:t xml:space="preserve">mieszkanie powinno zaspokajać własne potrzeby mieszkaniowe najemcy oraz </w:t>
      </w:r>
      <w:r w:rsidR="00AA4214">
        <w:rPr>
          <w:rFonts w:asciiTheme="minorHAnsi" w:hAnsiTheme="minorHAnsi" w:cs="Arial"/>
          <w:sz w:val="22"/>
          <w:szCs w:val="22"/>
        </w:rPr>
        <w:t xml:space="preserve">innych </w:t>
      </w:r>
      <w:r w:rsidR="00006918">
        <w:rPr>
          <w:rFonts w:asciiTheme="minorHAnsi" w:hAnsiTheme="minorHAnsi" w:cs="Arial"/>
          <w:sz w:val="22"/>
          <w:szCs w:val="22"/>
        </w:rPr>
        <w:t xml:space="preserve">osób wchodzących w skład jego gospodarstwa domowego. </w:t>
      </w:r>
      <w:r w:rsidR="00D8660E">
        <w:rPr>
          <w:rFonts w:asciiTheme="minorHAnsi" w:hAnsiTheme="minorHAnsi" w:cs="Arial"/>
          <w:sz w:val="22"/>
          <w:szCs w:val="22"/>
        </w:rPr>
        <w:t>W ocenie projekt</w:t>
      </w:r>
      <w:r w:rsidR="00D8660E">
        <w:rPr>
          <w:rFonts w:asciiTheme="minorHAnsi" w:hAnsiTheme="minorHAnsi" w:cs="Arial"/>
          <w:sz w:val="22"/>
          <w:szCs w:val="22"/>
        </w:rPr>
        <w:t>o</w:t>
      </w:r>
      <w:r w:rsidR="00D8660E">
        <w:rPr>
          <w:rFonts w:asciiTheme="minorHAnsi" w:hAnsiTheme="minorHAnsi" w:cs="Arial"/>
          <w:sz w:val="22"/>
          <w:szCs w:val="22"/>
        </w:rPr>
        <w:t>dawcy ś</w:t>
      </w:r>
      <w:r w:rsidR="00D8660E" w:rsidRPr="00D8660E">
        <w:rPr>
          <w:rFonts w:asciiTheme="minorHAnsi" w:hAnsiTheme="minorHAnsi" w:cs="Arial"/>
          <w:sz w:val="22"/>
          <w:szCs w:val="22"/>
        </w:rPr>
        <w:t>rodki budżetowe powinny być kierowane efektywnie, do osób faktyczni</w:t>
      </w:r>
      <w:r w:rsidR="00D8660E">
        <w:rPr>
          <w:rFonts w:asciiTheme="minorHAnsi" w:hAnsiTheme="minorHAnsi" w:cs="Arial"/>
          <w:sz w:val="22"/>
          <w:szCs w:val="22"/>
        </w:rPr>
        <w:t xml:space="preserve">e ich potrzebujących </w:t>
      </w:r>
      <w:r w:rsidR="00DA7A22">
        <w:rPr>
          <w:rFonts w:asciiTheme="minorHAnsi" w:hAnsiTheme="minorHAnsi" w:cs="Arial"/>
          <w:sz w:val="22"/>
          <w:szCs w:val="22"/>
        </w:rPr>
        <w:br/>
      </w:r>
      <w:r w:rsidR="00D8660E">
        <w:rPr>
          <w:rFonts w:asciiTheme="minorHAnsi" w:hAnsiTheme="minorHAnsi" w:cs="Arial"/>
          <w:sz w:val="22"/>
          <w:szCs w:val="22"/>
        </w:rPr>
        <w:t xml:space="preserve">w związku </w:t>
      </w:r>
      <w:r w:rsidR="00D8660E" w:rsidRPr="00D8660E">
        <w:rPr>
          <w:rFonts w:asciiTheme="minorHAnsi" w:hAnsiTheme="minorHAnsi" w:cs="Arial"/>
          <w:sz w:val="22"/>
          <w:szCs w:val="22"/>
        </w:rPr>
        <w:t xml:space="preserve">z wynajmem mieszkania. Jeżeli ktoś podnajmuje mieszkanie i osiąga z tego tytułu wpływy </w:t>
      </w:r>
      <w:r w:rsidR="00DA7A22">
        <w:rPr>
          <w:rFonts w:asciiTheme="minorHAnsi" w:hAnsiTheme="minorHAnsi" w:cs="Arial"/>
          <w:sz w:val="22"/>
          <w:szCs w:val="22"/>
        </w:rPr>
        <w:br/>
      </w:r>
      <w:r w:rsidR="00D8660E" w:rsidRPr="00D8660E">
        <w:rPr>
          <w:rFonts w:asciiTheme="minorHAnsi" w:hAnsiTheme="minorHAnsi" w:cs="Arial"/>
          <w:sz w:val="22"/>
          <w:szCs w:val="22"/>
        </w:rPr>
        <w:t>w wysokości rynkowych stawek czy</w:t>
      </w:r>
      <w:r w:rsidR="00D8660E">
        <w:rPr>
          <w:rFonts w:asciiTheme="minorHAnsi" w:hAnsiTheme="minorHAnsi" w:cs="Arial"/>
          <w:sz w:val="22"/>
          <w:szCs w:val="22"/>
        </w:rPr>
        <w:t xml:space="preserve">nszu, nie powinien korzystać </w:t>
      </w:r>
      <w:r w:rsidR="00D8660E" w:rsidRPr="00D8660E">
        <w:rPr>
          <w:rFonts w:asciiTheme="minorHAnsi" w:hAnsiTheme="minorHAnsi" w:cs="Arial"/>
          <w:sz w:val="22"/>
          <w:szCs w:val="22"/>
        </w:rPr>
        <w:t>z pomocy państwa, któ</w:t>
      </w:r>
      <w:r w:rsidR="00D8660E">
        <w:rPr>
          <w:rFonts w:asciiTheme="minorHAnsi" w:hAnsiTheme="minorHAnsi" w:cs="Arial"/>
          <w:sz w:val="22"/>
          <w:szCs w:val="22"/>
        </w:rPr>
        <w:t>ra jest prz</w:t>
      </w:r>
      <w:r w:rsidR="00D8660E">
        <w:rPr>
          <w:rFonts w:asciiTheme="minorHAnsi" w:hAnsiTheme="minorHAnsi" w:cs="Arial"/>
          <w:sz w:val="22"/>
          <w:szCs w:val="22"/>
        </w:rPr>
        <w:t>e</w:t>
      </w:r>
      <w:r w:rsidR="00D8660E">
        <w:rPr>
          <w:rFonts w:asciiTheme="minorHAnsi" w:hAnsiTheme="minorHAnsi" w:cs="Arial"/>
          <w:sz w:val="22"/>
          <w:szCs w:val="22"/>
        </w:rPr>
        <w:t xml:space="preserve">kazywana w związku </w:t>
      </w:r>
      <w:r w:rsidR="00D8660E" w:rsidRPr="00D8660E">
        <w:rPr>
          <w:rFonts w:asciiTheme="minorHAnsi" w:hAnsiTheme="minorHAnsi" w:cs="Arial"/>
          <w:sz w:val="22"/>
          <w:szCs w:val="22"/>
        </w:rPr>
        <w:t>z najmem mieszkania.</w:t>
      </w:r>
    </w:p>
    <w:p w:rsidR="00767445" w:rsidRDefault="00AE1163" w:rsidP="003F4682">
      <w:pPr>
        <w:pStyle w:val="Bezodstpw"/>
        <w:spacing w:after="240" w:line="240" w:lineRule="exact"/>
        <w:rPr>
          <w:rFonts w:asciiTheme="minorHAnsi" w:hAnsiTheme="minorHAnsi" w:cs="Arial"/>
          <w:sz w:val="22"/>
          <w:szCs w:val="22"/>
        </w:rPr>
      </w:pPr>
      <w:r w:rsidRPr="00AF4E88">
        <w:rPr>
          <w:rFonts w:asciiTheme="minorHAnsi" w:hAnsiTheme="minorHAnsi" w:cs="Arial"/>
          <w:sz w:val="22"/>
          <w:szCs w:val="22"/>
        </w:rPr>
        <w:t xml:space="preserve">W </w:t>
      </w:r>
      <w:r w:rsidRPr="00AF4E88">
        <w:rPr>
          <w:rFonts w:asciiTheme="minorHAnsi" w:hAnsiTheme="minorHAnsi" w:cs="Arial"/>
          <w:b/>
          <w:sz w:val="22"/>
          <w:szCs w:val="22"/>
        </w:rPr>
        <w:t>art. 5</w:t>
      </w:r>
      <w:r w:rsidRPr="00AF4E88">
        <w:rPr>
          <w:rFonts w:asciiTheme="minorHAnsi" w:hAnsiTheme="minorHAnsi" w:cs="Arial"/>
          <w:sz w:val="22"/>
          <w:szCs w:val="22"/>
        </w:rPr>
        <w:t xml:space="preserve"> określone </w:t>
      </w:r>
      <w:r w:rsidR="004B64D9">
        <w:rPr>
          <w:rFonts w:asciiTheme="minorHAnsi" w:hAnsiTheme="minorHAnsi" w:cs="Arial"/>
          <w:sz w:val="22"/>
          <w:szCs w:val="22"/>
        </w:rPr>
        <w:t>z</w:t>
      </w:r>
      <w:r w:rsidRPr="00AF4E88">
        <w:rPr>
          <w:rFonts w:asciiTheme="minorHAnsi" w:hAnsiTheme="minorHAnsi" w:cs="Arial"/>
          <w:sz w:val="22"/>
          <w:szCs w:val="22"/>
        </w:rPr>
        <w:t>ostały ograniczenia</w:t>
      </w:r>
      <w:r w:rsidR="00750E44" w:rsidRPr="00AF4E88">
        <w:rPr>
          <w:rFonts w:asciiTheme="minorHAnsi" w:hAnsiTheme="minorHAnsi" w:cs="Arial"/>
          <w:sz w:val="22"/>
          <w:szCs w:val="22"/>
        </w:rPr>
        <w:t xml:space="preserve"> dochodowe </w:t>
      </w:r>
      <w:r w:rsidR="003C1C6A">
        <w:rPr>
          <w:rFonts w:asciiTheme="minorHAnsi" w:hAnsiTheme="minorHAnsi" w:cs="Arial"/>
          <w:sz w:val="22"/>
          <w:szCs w:val="22"/>
        </w:rPr>
        <w:t xml:space="preserve">dla </w:t>
      </w:r>
      <w:r w:rsidR="00750E44" w:rsidRPr="00AF4E88">
        <w:rPr>
          <w:rFonts w:asciiTheme="minorHAnsi" w:hAnsiTheme="minorHAnsi" w:cs="Arial"/>
          <w:sz w:val="22"/>
          <w:szCs w:val="22"/>
        </w:rPr>
        <w:t>beneficjentów dopłat, zapewniające kier</w:t>
      </w:r>
      <w:r w:rsidR="00750E44" w:rsidRPr="00AF4E88">
        <w:rPr>
          <w:rFonts w:asciiTheme="minorHAnsi" w:hAnsiTheme="minorHAnsi" w:cs="Arial"/>
          <w:sz w:val="22"/>
          <w:szCs w:val="22"/>
        </w:rPr>
        <w:t>o</w:t>
      </w:r>
      <w:r w:rsidR="00750E44" w:rsidRPr="00AF4E88">
        <w:rPr>
          <w:rFonts w:asciiTheme="minorHAnsi" w:hAnsiTheme="minorHAnsi" w:cs="Arial"/>
          <w:sz w:val="22"/>
          <w:szCs w:val="22"/>
        </w:rPr>
        <w:t xml:space="preserve">wanie finansowego wsparcia do tych osób, które wymagają szczególnego zainteresowania ze strony państwa w kontekście zaspokajania potrzeb mieszkaniowych. </w:t>
      </w:r>
      <w:r w:rsidR="00AF4E88">
        <w:rPr>
          <w:rFonts w:asciiTheme="minorHAnsi" w:hAnsiTheme="minorHAnsi" w:cs="Arial"/>
          <w:sz w:val="22"/>
          <w:szCs w:val="22"/>
        </w:rPr>
        <w:t xml:space="preserve">W myśl tego przepisu dopłaty nie będą </w:t>
      </w:r>
      <w:r w:rsidR="00AF4E88">
        <w:rPr>
          <w:rFonts w:asciiTheme="minorHAnsi" w:hAnsiTheme="minorHAnsi" w:cs="Arial"/>
          <w:sz w:val="22"/>
          <w:szCs w:val="22"/>
        </w:rPr>
        <w:lastRenderedPageBreak/>
        <w:t xml:space="preserve">mogły być udzielane, jeżeli </w:t>
      </w:r>
      <w:r w:rsidR="00AF4E88" w:rsidRPr="00AF4E88">
        <w:rPr>
          <w:rFonts w:asciiTheme="minorHAnsi" w:hAnsiTheme="minorHAnsi" w:cs="Arial"/>
          <w:sz w:val="22"/>
          <w:szCs w:val="22"/>
        </w:rPr>
        <w:t xml:space="preserve">średni miesięczny dochód gospodarstwa domowego najemcy w </w:t>
      </w:r>
      <w:r w:rsidR="00554B04">
        <w:rPr>
          <w:rFonts w:asciiTheme="minorHAnsi" w:hAnsiTheme="minorHAnsi" w:cs="Arial"/>
          <w:sz w:val="22"/>
          <w:szCs w:val="22"/>
        </w:rPr>
        <w:t>okresie podlegającym analizie</w:t>
      </w:r>
      <w:r w:rsidR="00AF4E88" w:rsidRPr="00AF4E88">
        <w:rPr>
          <w:rFonts w:asciiTheme="minorHAnsi" w:hAnsiTheme="minorHAnsi" w:cs="Arial"/>
          <w:sz w:val="22"/>
          <w:szCs w:val="22"/>
        </w:rPr>
        <w:t xml:space="preserve"> przekracza</w:t>
      </w:r>
      <w:r w:rsidR="00AF4E88">
        <w:rPr>
          <w:rFonts w:asciiTheme="minorHAnsi" w:hAnsiTheme="minorHAnsi" w:cs="Arial"/>
          <w:sz w:val="22"/>
          <w:szCs w:val="22"/>
        </w:rPr>
        <w:t xml:space="preserve"> w przypadku gospodarstw jednoosobowych 60% </w:t>
      </w:r>
      <w:r w:rsidR="00AF4E88" w:rsidRPr="00AF4E88">
        <w:rPr>
          <w:rFonts w:asciiTheme="minorHAnsi" w:hAnsiTheme="minorHAnsi" w:cs="Arial"/>
          <w:sz w:val="22"/>
          <w:szCs w:val="22"/>
        </w:rPr>
        <w:t>ostatnio ogłosz</w:t>
      </w:r>
      <w:r w:rsidR="00AF4E88" w:rsidRPr="00AF4E88">
        <w:rPr>
          <w:rFonts w:asciiTheme="minorHAnsi" w:hAnsiTheme="minorHAnsi" w:cs="Arial"/>
          <w:sz w:val="22"/>
          <w:szCs w:val="22"/>
        </w:rPr>
        <w:t>o</w:t>
      </w:r>
      <w:r w:rsidR="00AF4E88" w:rsidRPr="00AF4E88">
        <w:rPr>
          <w:rFonts w:asciiTheme="minorHAnsi" w:hAnsiTheme="minorHAnsi" w:cs="Arial"/>
          <w:sz w:val="22"/>
          <w:szCs w:val="22"/>
        </w:rPr>
        <w:t>nego przez Prezesa Głównego Urzędu Statystycznego przeciętnego wynagrodzenia w gospodarce narodo</w:t>
      </w:r>
      <w:r w:rsidR="000A7EDD">
        <w:rPr>
          <w:rFonts w:asciiTheme="minorHAnsi" w:hAnsiTheme="minorHAnsi" w:cs="Arial"/>
          <w:sz w:val="22"/>
          <w:szCs w:val="22"/>
        </w:rPr>
        <w:t>wej, publikowanego na podstawie</w:t>
      </w:r>
      <w:r w:rsidR="00AF4E88" w:rsidRPr="00AF4E88">
        <w:rPr>
          <w:rFonts w:asciiTheme="minorHAnsi" w:hAnsiTheme="minorHAnsi" w:cs="Arial"/>
          <w:sz w:val="22"/>
          <w:szCs w:val="22"/>
        </w:rPr>
        <w:t xml:space="preserve"> art. 20 pkt 1 lit. a </w:t>
      </w:r>
      <w:r w:rsidR="00AF4E88" w:rsidRPr="00AF4E88">
        <w:rPr>
          <w:rFonts w:asciiTheme="minorHAnsi" w:hAnsiTheme="minorHAnsi" w:cs="Arial"/>
          <w:i/>
          <w:sz w:val="22"/>
          <w:szCs w:val="22"/>
        </w:rPr>
        <w:t>ustawy z dnia 17 grudnia 1998 r. o emer</w:t>
      </w:r>
      <w:r w:rsidR="00AF4E88" w:rsidRPr="00AF4E88">
        <w:rPr>
          <w:rFonts w:asciiTheme="minorHAnsi" w:hAnsiTheme="minorHAnsi" w:cs="Arial"/>
          <w:i/>
          <w:sz w:val="22"/>
          <w:szCs w:val="22"/>
        </w:rPr>
        <w:t>y</w:t>
      </w:r>
      <w:r w:rsidR="00AF4E88" w:rsidRPr="00AF4E88">
        <w:rPr>
          <w:rFonts w:asciiTheme="minorHAnsi" w:hAnsiTheme="minorHAnsi" w:cs="Arial"/>
          <w:i/>
          <w:sz w:val="22"/>
          <w:szCs w:val="22"/>
        </w:rPr>
        <w:t xml:space="preserve">turach </w:t>
      </w:r>
      <w:r w:rsidR="00DA7A22">
        <w:rPr>
          <w:rFonts w:asciiTheme="minorHAnsi" w:hAnsiTheme="minorHAnsi" w:cs="Arial"/>
          <w:i/>
          <w:sz w:val="22"/>
          <w:szCs w:val="22"/>
        </w:rPr>
        <w:br/>
      </w:r>
      <w:r w:rsidR="00AF4E88" w:rsidRPr="00AF4E88">
        <w:rPr>
          <w:rFonts w:asciiTheme="minorHAnsi" w:hAnsiTheme="minorHAnsi" w:cs="Arial"/>
          <w:i/>
          <w:sz w:val="22"/>
          <w:szCs w:val="22"/>
        </w:rPr>
        <w:t>i rentach z Funduszu Ubezpieczeń Społecznych</w:t>
      </w:r>
      <w:r w:rsidR="00AF4E88" w:rsidRPr="00AF4E88">
        <w:rPr>
          <w:rFonts w:asciiTheme="minorHAnsi" w:hAnsiTheme="minorHAnsi" w:cs="Arial"/>
          <w:sz w:val="22"/>
          <w:szCs w:val="22"/>
        </w:rPr>
        <w:t xml:space="preserve"> (Dz. U. z 2017 r. poz. 1383, 1386 i 2120 oraz </w:t>
      </w:r>
      <w:r w:rsidR="00C60E6A">
        <w:rPr>
          <w:rFonts w:asciiTheme="minorHAnsi" w:hAnsiTheme="minorHAnsi" w:cs="Arial"/>
          <w:sz w:val="22"/>
          <w:szCs w:val="22"/>
        </w:rPr>
        <w:t xml:space="preserve">    </w:t>
      </w:r>
      <w:r w:rsidR="00AF4E88" w:rsidRPr="00AF4E88">
        <w:rPr>
          <w:rFonts w:asciiTheme="minorHAnsi" w:hAnsiTheme="minorHAnsi" w:cs="Arial"/>
          <w:sz w:val="22"/>
          <w:szCs w:val="22"/>
        </w:rPr>
        <w:t>z 2018 r. poz. 138)</w:t>
      </w:r>
      <w:r w:rsidR="003F4682">
        <w:rPr>
          <w:rFonts w:asciiTheme="minorHAnsi" w:hAnsiTheme="minorHAnsi" w:cs="Arial"/>
          <w:sz w:val="22"/>
          <w:szCs w:val="22"/>
        </w:rPr>
        <w:t>.</w:t>
      </w:r>
      <w:r w:rsidR="00640F03">
        <w:rPr>
          <w:rFonts w:asciiTheme="minorHAnsi" w:hAnsiTheme="minorHAnsi" w:cs="Arial"/>
          <w:sz w:val="22"/>
          <w:szCs w:val="22"/>
        </w:rPr>
        <w:t xml:space="preserve"> </w:t>
      </w:r>
      <w:r w:rsidR="003F4682">
        <w:rPr>
          <w:rFonts w:asciiTheme="minorHAnsi" w:hAnsiTheme="minorHAnsi" w:cs="Arial"/>
          <w:sz w:val="22"/>
          <w:szCs w:val="22"/>
        </w:rPr>
        <w:t>P</w:t>
      </w:r>
      <w:r w:rsidR="00640F03">
        <w:rPr>
          <w:rFonts w:asciiTheme="minorHAnsi" w:hAnsiTheme="minorHAnsi" w:cs="Arial"/>
          <w:sz w:val="22"/>
          <w:szCs w:val="22"/>
        </w:rPr>
        <w:t>odstawą jest tu</w:t>
      </w:r>
      <w:r w:rsidR="00640F03" w:rsidRPr="00640F03">
        <w:rPr>
          <w:rFonts w:asciiTheme="minorHAnsi" w:hAnsiTheme="minorHAnsi" w:cs="Arial"/>
          <w:sz w:val="22"/>
          <w:szCs w:val="22"/>
        </w:rPr>
        <w:t xml:space="preserve"> ostatni w stosunku do dnia złożenia wniosku o dopłaty</w:t>
      </w:r>
      <w:r w:rsidR="00640F03">
        <w:rPr>
          <w:rFonts w:asciiTheme="minorHAnsi" w:hAnsiTheme="minorHAnsi" w:cs="Arial"/>
          <w:sz w:val="22"/>
          <w:szCs w:val="22"/>
        </w:rPr>
        <w:t xml:space="preserve"> komunikat Pr</w:t>
      </w:r>
      <w:r w:rsidR="00640F03">
        <w:rPr>
          <w:rFonts w:asciiTheme="minorHAnsi" w:hAnsiTheme="minorHAnsi" w:cs="Arial"/>
          <w:sz w:val="22"/>
          <w:szCs w:val="22"/>
        </w:rPr>
        <w:t>e</w:t>
      </w:r>
      <w:r w:rsidR="00640F03">
        <w:rPr>
          <w:rFonts w:asciiTheme="minorHAnsi" w:hAnsiTheme="minorHAnsi" w:cs="Arial"/>
          <w:sz w:val="22"/>
          <w:szCs w:val="22"/>
        </w:rPr>
        <w:t xml:space="preserve">zesa </w:t>
      </w:r>
      <w:r w:rsidR="00B14821">
        <w:rPr>
          <w:rFonts w:asciiTheme="minorHAnsi" w:hAnsiTheme="minorHAnsi" w:cs="Arial"/>
          <w:sz w:val="22"/>
          <w:szCs w:val="22"/>
        </w:rPr>
        <w:t>GUS</w:t>
      </w:r>
      <w:r w:rsidR="003F4682">
        <w:rPr>
          <w:rFonts w:asciiTheme="minorHAnsi" w:hAnsiTheme="minorHAnsi" w:cs="Arial"/>
          <w:sz w:val="22"/>
          <w:szCs w:val="22"/>
        </w:rPr>
        <w:t>.</w:t>
      </w:r>
      <w:r w:rsidR="00640F03" w:rsidRPr="00640F03">
        <w:rPr>
          <w:rFonts w:asciiTheme="minorHAnsi" w:hAnsiTheme="minorHAnsi" w:cs="Arial"/>
          <w:sz w:val="22"/>
          <w:szCs w:val="22"/>
        </w:rPr>
        <w:t xml:space="preserve"> </w:t>
      </w:r>
      <w:r w:rsidR="003F4682">
        <w:rPr>
          <w:rFonts w:asciiTheme="minorHAnsi" w:hAnsiTheme="minorHAnsi" w:cs="Arial"/>
          <w:sz w:val="22"/>
          <w:szCs w:val="22"/>
        </w:rPr>
        <w:t>P</w:t>
      </w:r>
      <w:r w:rsidR="00640F03">
        <w:rPr>
          <w:rFonts w:asciiTheme="minorHAnsi" w:hAnsiTheme="minorHAnsi" w:cs="Arial"/>
          <w:sz w:val="22"/>
          <w:szCs w:val="22"/>
        </w:rPr>
        <w:t xml:space="preserve">rzykładowo </w:t>
      </w:r>
      <w:r w:rsidR="00640F03" w:rsidRPr="00640F03">
        <w:rPr>
          <w:rFonts w:asciiTheme="minorHAnsi" w:hAnsiTheme="minorHAnsi" w:cs="Arial"/>
          <w:sz w:val="22"/>
          <w:szCs w:val="22"/>
        </w:rPr>
        <w:t>w przypadku wniosk</w:t>
      </w:r>
      <w:r w:rsidR="004B64D9">
        <w:rPr>
          <w:rFonts w:asciiTheme="minorHAnsi" w:hAnsiTheme="minorHAnsi" w:cs="Arial"/>
          <w:sz w:val="22"/>
          <w:szCs w:val="22"/>
        </w:rPr>
        <w:t>u złożonego w styczniu 2022</w:t>
      </w:r>
      <w:r w:rsidR="00640F03">
        <w:rPr>
          <w:rFonts w:asciiTheme="minorHAnsi" w:hAnsiTheme="minorHAnsi" w:cs="Arial"/>
          <w:sz w:val="22"/>
          <w:szCs w:val="22"/>
        </w:rPr>
        <w:t xml:space="preserve"> r.</w:t>
      </w:r>
      <w:r w:rsidR="00640F03" w:rsidRPr="00640F03">
        <w:rPr>
          <w:rFonts w:asciiTheme="minorHAnsi" w:hAnsiTheme="minorHAnsi" w:cs="Arial"/>
          <w:sz w:val="22"/>
          <w:szCs w:val="22"/>
        </w:rPr>
        <w:t xml:space="preserve"> będzie </w:t>
      </w:r>
      <w:r w:rsidR="004B64D9">
        <w:rPr>
          <w:rFonts w:asciiTheme="minorHAnsi" w:hAnsiTheme="minorHAnsi" w:cs="Arial"/>
          <w:sz w:val="22"/>
          <w:szCs w:val="22"/>
        </w:rPr>
        <w:t>to komunikat za 2020</w:t>
      </w:r>
      <w:r w:rsidR="00640F03">
        <w:rPr>
          <w:rFonts w:asciiTheme="minorHAnsi" w:hAnsiTheme="minorHAnsi" w:cs="Arial"/>
          <w:sz w:val="22"/>
          <w:szCs w:val="22"/>
        </w:rPr>
        <w:t xml:space="preserve"> r., </w:t>
      </w:r>
      <w:r w:rsidR="00640F03" w:rsidRPr="00640F03">
        <w:rPr>
          <w:rFonts w:asciiTheme="minorHAnsi" w:hAnsiTheme="minorHAnsi" w:cs="Arial"/>
          <w:sz w:val="22"/>
          <w:szCs w:val="22"/>
        </w:rPr>
        <w:t xml:space="preserve">w przypadku </w:t>
      </w:r>
      <w:r w:rsidR="00640F03">
        <w:rPr>
          <w:rFonts w:asciiTheme="minorHAnsi" w:hAnsiTheme="minorHAnsi" w:cs="Arial"/>
          <w:sz w:val="22"/>
          <w:szCs w:val="22"/>
        </w:rPr>
        <w:t xml:space="preserve">zaś </w:t>
      </w:r>
      <w:r w:rsidR="00640F03" w:rsidRPr="00640F03">
        <w:rPr>
          <w:rFonts w:asciiTheme="minorHAnsi" w:hAnsiTheme="minorHAnsi" w:cs="Arial"/>
          <w:sz w:val="22"/>
          <w:szCs w:val="22"/>
        </w:rPr>
        <w:t>wn</w:t>
      </w:r>
      <w:r w:rsidR="004B64D9">
        <w:rPr>
          <w:rFonts w:asciiTheme="minorHAnsi" w:hAnsiTheme="minorHAnsi" w:cs="Arial"/>
          <w:sz w:val="22"/>
          <w:szCs w:val="22"/>
        </w:rPr>
        <w:t>iosku złożonego w marcu 2022</w:t>
      </w:r>
      <w:r w:rsidR="00640F03">
        <w:rPr>
          <w:rFonts w:asciiTheme="minorHAnsi" w:hAnsiTheme="minorHAnsi" w:cs="Arial"/>
          <w:sz w:val="22"/>
          <w:szCs w:val="22"/>
        </w:rPr>
        <w:t xml:space="preserve"> r.</w:t>
      </w:r>
      <w:r w:rsidR="00340FBB">
        <w:rPr>
          <w:rFonts w:asciiTheme="minorHAnsi" w:hAnsiTheme="minorHAnsi" w:cs="Arial"/>
          <w:sz w:val="22"/>
          <w:szCs w:val="22"/>
        </w:rPr>
        <w:t xml:space="preserve"> lub sierpniu 2022 r.</w:t>
      </w:r>
      <w:r w:rsidR="00640F03">
        <w:rPr>
          <w:rFonts w:asciiTheme="minorHAnsi" w:hAnsiTheme="minorHAnsi" w:cs="Arial"/>
          <w:sz w:val="22"/>
          <w:szCs w:val="22"/>
        </w:rPr>
        <w:t xml:space="preserve"> –</w:t>
      </w:r>
      <w:r w:rsidR="00640F03" w:rsidRPr="00640F03">
        <w:rPr>
          <w:rFonts w:asciiTheme="minorHAnsi" w:hAnsiTheme="minorHAnsi" w:cs="Arial"/>
          <w:sz w:val="22"/>
          <w:szCs w:val="22"/>
        </w:rPr>
        <w:t xml:space="preserve"> komunikat</w:t>
      </w:r>
      <w:r w:rsidR="004B64D9">
        <w:rPr>
          <w:rFonts w:asciiTheme="minorHAnsi" w:hAnsiTheme="minorHAnsi" w:cs="Arial"/>
          <w:sz w:val="22"/>
          <w:szCs w:val="22"/>
        </w:rPr>
        <w:t xml:space="preserve"> za 2021</w:t>
      </w:r>
      <w:r w:rsidR="00640F03">
        <w:rPr>
          <w:rFonts w:asciiTheme="minorHAnsi" w:hAnsiTheme="minorHAnsi" w:cs="Arial"/>
          <w:sz w:val="22"/>
          <w:szCs w:val="22"/>
        </w:rPr>
        <w:t xml:space="preserve"> r., mimo że punktem</w:t>
      </w:r>
      <w:r w:rsidR="00640F03" w:rsidRPr="00640F03">
        <w:rPr>
          <w:rFonts w:asciiTheme="minorHAnsi" w:hAnsiTheme="minorHAnsi" w:cs="Arial"/>
          <w:sz w:val="22"/>
          <w:szCs w:val="22"/>
        </w:rPr>
        <w:t xml:space="preserve"> odniesienia w przypadku </w:t>
      </w:r>
      <w:r w:rsidR="00640F03">
        <w:rPr>
          <w:rFonts w:asciiTheme="minorHAnsi" w:hAnsiTheme="minorHAnsi" w:cs="Arial"/>
          <w:sz w:val="22"/>
          <w:szCs w:val="22"/>
        </w:rPr>
        <w:t xml:space="preserve">gospodarstwa domowego </w:t>
      </w:r>
      <w:r w:rsidR="004B64D9">
        <w:rPr>
          <w:rFonts w:asciiTheme="minorHAnsi" w:hAnsiTheme="minorHAnsi" w:cs="Arial"/>
          <w:sz w:val="22"/>
          <w:szCs w:val="22"/>
        </w:rPr>
        <w:t>najemcy są dochody</w:t>
      </w:r>
      <w:r w:rsidR="00340FBB">
        <w:rPr>
          <w:rFonts w:asciiTheme="minorHAnsi" w:hAnsiTheme="minorHAnsi" w:cs="Arial"/>
          <w:sz w:val="22"/>
          <w:szCs w:val="22"/>
        </w:rPr>
        <w:t>, odpowiednio,</w:t>
      </w:r>
      <w:r w:rsidR="004B64D9">
        <w:rPr>
          <w:rFonts w:asciiTheme="minorHAnsi" w:hAnsiTheme="minorHAnsi" w:cs="Arial"/>
          <w:sz w:val="22"/>
          <w:szCs w:val="22"/>
        </w:rPr>
        <w:t xml:space="preserve"> za 202</w:t>
      </w:r>
      <w:r w:rsidR="00340FBB">
        <w:rPr>
          <w:rFonts w:asciiTheme="minorHAnsi" w:hAnsiTheme="minorHAnsi" w:cs="Arial"/>
          <w:sz w:val="22"/>
          <w:szCs w:val="22"/>
        </w:rPr>
        <w:t>0</w:t>
      </w:r>
      <w:r w:rsidR="00640F03" w:rsidRPr="00640F03">
        <w:rPr>
          <w:rFonts w:asciiTheme="minorHAnsi" w:hAnsiTheme="minorHAnsi" w:cs="Arial"/>
          <w:sz w:val="22"/>
          <w:szCs w:val="22"/>
        </w:rPr>
        <w:t xml:space="preserve"> r.</w:t>
      </w:r>
      <w:r w:rsidR="00340FBB">
        <w:rPr>
          <w:rFonts w:asciiTheme="minorHAnsi" w:hAnsiTheme="minorHAnsi" w:cs="Arial"/>
          <w:sz w:val="22"/>
          <w:szCs w:val="22"/>
        </w:rPr>
        <w:t>, 2020 r. i 2021 r</w:t>
      </w:r>
      <w:r w:rsidR="00640F03">
        <w:rPr>
          <w:rFonts w:asciiTheme="minorHAnsi" w:hAnsiTheme="minorHAnsi" w:cs="Arial"/>
          <w:sz w:val="22"/>
          <w:szCs w:val="22"/>
        </w:rPr>
        <w:t>.</w:t>
      </w:r>
      <w:r w:rsidR="00AF4E88">
        <w:rPr>
          <w:rFonts w:asciiTheme="minorHAnsi" w:hAnsiTheme="minorHAnsi" w:cs="Arial"/>
          <w:sz w:val="22"/>
          <w:szCs w:val="22"/>
        </w:rPr>
        <w:t xml:space="preserve"> </w:t>
      </w:r>
      <w:r w:rsidR="003F4682">
        <w:rPr>
          <w:rFonts w:asciiTheme="minorHAnsi" w:hAnsiTheme="minorHAnsi" w:cs="Arial"/>
          <w:sz w:val="22"/>
          <w:szCs w:val="22"/>
        </w:rPr>
        <w:t>Takie przesądzenie stanowi konsekwencję czasowej inercji</w:t>
      </w:r>
      <w:r w:rsidR="003F4682" w:rsidRPr="003F4682">
        <w:rPr>
          <w:rFonts w:asciiTheme="minorHAnsi" w:hAnsiTheme="minorHAnsi" w:cs="Arial"/>
          <w:sz w:val="22"/>
          <w:szCs w:val="22"/>
        </w:rPr>
        <w:t xml:space="preserve"> w publikowaniu wskaźników statystyc</w:t>
      </w:r>
      <w:r w:rsidR="003F4682">
        <w:rPr>
          <w:rFonts w:asciiTheme="minorHAnsi" w:hAnsiTheme="minorHAnsi" w:cs="Arial"/>
          <w:sz w:val="22"/>
          <w:szCs w:val="22"/>
        </w:rPr>
        <w:t xml:space="preserve">znych (niezbędnej w celu zebrania </w:t>
      </w:r>
      <w:r w:rsidR="003F4682" w:rsidRPr="003F4682">
        <w:rPr>
          <w:rFonts w:asciiTheme="minorHAnsi" w:hAnsiTheme="minorHAnsi" w:cs="Arial"/>
          <w:sz w:val="22"/>
          <w:szCs w:val="22"/>
        </w:rPr>
        <w:t>i opracowania przez GUS danych niezbędnych do ogłoszenia danego wskaźnika). Ze względu na skalę wzrostu wynag</w:t>
      </w:r>
      <w:r w:rsidR="003F4682">
        <w:rPr>
          <w:rFonts w:asciiTheme="minorHAnsi" w:hAnsiTheme="minorHAnsi" w:cs="Arial"/>
          <w:sz w:val="22"/>
          <w:szCs w:val="22"/>
        </w:rPr>
        <w:t xml:space="preserve">rodzeń (kilkuprocentowe zmiany </w:t>
      </w:r>
      <w:r w:rsidR="003F4682" w:rsidRPr="003F4682">
        <w:rPr>
          <w:rFonts w:asciiTheme="minorHAnsi" w:hAnsiTheme="minorHAnsi" w:cs="Arial"/>
          <w:sz w:val="22"/>
          <w:szCs w:val="22"/>
        </w:rPr>
        <w:t xml:space="preserve">w ujęciu rocznym) nie </w:t>
      </w:r>
      <w:r w:rsidR="003F4682">
        <w:rPr>
          <w:rFonts w:asciiTheme="minorHAnsi" w:hAnsiTheme="minorHAnsi" w:cs="Arial"/>
          <w:sz w:val="22"/>
          <w:szCs w:val="22"/>
        </w:rPr>
        <w:t>s</w:t>
      </w:r>
      <w:r w:rsidR="003F4682" w:rsidRPr="003F4682">
        <w:rPr>
          <w:rFonts w:asciiTheme="minorHAnsi" w:hAnsiTheme="minorHAnsi" w:cs="Arial"/>
          <w:sz w:val="22"/>
          <w:szCs w:val="22"/>
        </w:rPr>
        <w:t xml:space="preserve">powoduje to </w:t>
      </w:r>
      <w:r w:rsidR="003F4682">
        <w:rPr>
          <w:rFonts w:asciiTheme="minorHAnsi" w:hAnsiTheme="minorHAnsi" w:cs="Arial"/>
          <w:sz w:val="22"/>
          <w:szCs w:val="22"/>
        </w:rPr>
        <w:t xml:space="preserve">jednak </w:t>
      </w:r>
      <w:r w:rsidR="003F4682" w:rsidRPr="003F4682">
        <w:rPr>
          <w:rFonts w:asciiTheme="minorHAnsi" w:hAnsiTheme="minorHAnsi" w:cs="Arial"/>
          <w:sz w:val="22"/>
          <w:szCs w:val="22"/>
        </w:rPr>
        <w:t>znacznego zniekształcenia i</w:t>
      </w:r>
      <w:r w:rsidR="003F4682" w:rsidRPr="003F4682">
        <w:rPr>
          <w:rFonts w:asciiTheme="minorHAnsi" w:hAnsiTheme="minorHAnsi" w:cs="Arial"/>
          <w:sz w:val="22"/>
          <w:szCs w:val="22"/>
        </w:rPr>
        <w:t>n</w:t>
      </w:r>
      <w:r w:rsidR="003F4682" w:rsidRPr="003F4682">
        <w:rPr>
          <w:rFonts w:asciiTheme="minorHAnsi" w:hAnsiTheme="minorHAnsi" w:cs="Arial"/>
          <w:sz w:val="22"/>
          <w:szCs w:val="22"/>
        </w:rPr>
        <w:t xml:space="preserve">formacji o faktycznym stanie dochodów potencjalnego beneficjenta oraz punktu odniesienia do ujawniania tych dochodów. </w:t>
      </w:r>
      <w:r w:rsidR="00AF4E88">
        <w:rPr>
          <w:rFonts w:asciiTheme="minorHAnsi" w:hAnsiTheme="minorHAnsi" w:cs="Arial"/>
          <w:sz w:val="22"/>
          <w:szCs w:val="22"/>
        </w:rPr>
        <w:t>W przypadku pozostałych gospodarstw domowych limit ten zwiększa się</w:t>
      </w:r>
      <w:r w:rsidR="00BE1AAA">
        <w:rPr>
          <w:rFonts w:asciiTheme="minorHAnsi" w:hAnsiTheme="minorHAnsi" w:cs="Arial"/>
          <w:sz w:val="22"/>
          <w:szCs w:val="22"/>
        </w:rPr>
        <w:t xml:space="preserve"> </w:t>
      </w:r>
      <w:r w:rsidR="00AF4E88">
        <w:rPr>
          <w:rFonts w:asciiTheme="minorHAnsi" w:hAnsiTheme="minorHAnsi" w:cs="Arial"/>
          <w:sz w:val="22"/>
          <w:szCs w:val="22"/>
        </w:rPr>
        <w:t xml:space="preserve">o 30% za każdą kolejną osobę </w:t>
      </w:r>
      <w:r w:rsidR="00DA7A22">
        <w:rPr>
          <w:rFonts w:asciiTheme="minorHAnsi" w:hAnsiTheme="minorHAnsi" w:cs="Arial"/>
          <w:sz w:val="22"/>
          <w:szCs w:val="22"/>
        </w:rPr>
        <w:br/>
      </w:r>
      <w:r w:rsidR="00AF4E88">
        <w:rPr>
          <w:rFonts w:asciiTheme="minorHAnsi" w:hAnsiTheme="minorHAnsi" w:cs="Arial"/>
          <w:sz w:val="22"/>
          <w:szCs w:val="22"/>
        </w:rPr>
        <w:t xml:space="preserve">w gospodarstwie (przykładowo w gospodarstwie trzyosobowym limit ten </w:t>
      </w:r>
      <w:r w:rsidR="004B64D9">
        <w:rPr>
          <w:rFonts w:asciiTheme="minorHAnsi" w:hAnsiTheme="minorHAnsi" w:cs="Arial"/>
          <w:sz w:val="22"/>
          <w:szCs w:val="22"/>
        </w:rPr>
        <w:t xml:space="preserve">będzie </w:t>
      </w:r>
      <w:r w:rsidR="00AF4E88">
        <w:rPr>
          <w:rFonts w:asciiTheme="minorHAnsi" w:hAnsiTheme="minorHAnsi" w:cs="Arial"/>
          <w:sz w:val="22"/>
          <w:szCs w:val="22"/>
        </w:rPr>
        <w:t>wynosi</w:t>
      </w:r>
      <w:r w:rsidR="004B64D9">
        <w:rPr>
          <w:rFonts w:asciiTheme="minorHAnsi" w:hAnsiTheme="minorHAnsi" w:cs="Arial"/>
          <w:sz w:val="22"/>
          <w:szCs w:val="22"/>
        </w:rPr>
        <w:t>ł</w:t>
      </w:r>
      <w:r w:rsidR="00AF4E88">
        <w:rPr>
          <w:rFonts w:asciiTheme="minorHAnsi" w:hAnsiTheme="minorHAnsi" w:cs="Arial"/>
          <w:sz w:val="22"/>
          <w:szCs w:val="22"/>
        </w:rPr>
        <w:t xml:space="preserve"> 120% </w:t>
      </w:r>
      <w:r w:rsidR="00AF4E88" w:rsidRPr="00AF4E88">
        <w:rPr>
          <w:rFonts w:asciiTheme="minorHAnsi" w:hAnsiTheme="minorHAnsi" w:cs="Arial"/>
          <w:sz w:val="22"/>
          <w:szCs w:val="22"/>
        </w:rPr>
        <w:t>prz</w:t>
      </w:r>
      <w:r w:rsidR="00AF4E88" w:rsidRPr="00AF4E88">
        <w:rPr>
          <w:rFonts w:asciiTheme="minorHAnsi" w:hAnsiTheme="minorHAnsi" w:cs="Arial"/>
          <w:sz w:val="22"/>
          <w:szCs w:val="22"/>
        </w:rPr>
        <w:t>e</w:t>
      </w:r>
      <w:r w:rsidR="00AF4E88" w:rsidRPr="00AF4E88">
        <w:rPr>
          <w:rFonts w:asciiTheme="minorHAnsi" w:hAnsiTheme="minorHAnsi" w:cs="Arial"/>
          <w:sz w:val="22"/>
          <w:szCs w:val="22"/>
        </w:rPr>
        <w:t>ciętnego wynagrodzenia w gospodarce narodowej</w:t>
      </w:r>
      <w:r w:rsidR="00AF4E88">
        <w:rPr>
          <w:rFonts w:asciiTheme="minorHAnsi" w:hAnsiTheme="minorHAnsi" w:cs="Arial"/>
          <w:sz w:val="22"/>
          <w:szCs w:val="22"/>
        </w:rPr>
        <w:t>).</w:t>
      </w:r>
    </w:p>
    <w:p w:rsidR="00C60E6A" w:rsidRPr="00732E43" w:rsidRDefault="00006918" w:rsidP="00732E43">
      <w:pPr>
        <w:pStyle w:val="Bezodstpw"/>
        <w:spacing w:after="240" w:line="240" w:lineRule="exact"/>
        <w:rPr>
          <w:rFonts w:asciiTheme="minorHAnsi" w:hAnsiTheme="minorHAnsi" w:cstheme="minorHAnsi"/>
          <w:sz w:val="22"/>
          <w:szCs w:val="22"/>
        </w:rPr>
      </w:pPr>
      <w:r>
        <w:rPr>
          <w:rFonts w:asciiTheme="minorHAnsi" w:hAnsiTheme="minorHAnsi" w:cs="Arial"/>
          <w:sz w:val="22"/>
          <w:szCs w:val="22"/>
        </w:rPr>
        <w:t xml:space="preserve">Ograniczenia dochodowe zostały określone po szczegółowej analizie obejmującej możliwość zakupu mieszkania o standardowej powierzchni (uzależnionej od </w:t>
      </w:r>
      <w:r w:rsidR="00A21E9D">
        <w:rPr>
          <w:rFonts w:asciiTheme="minorHAnsi" w:hAnsiTheme="minorHAnsi" w:cs="Arial"/>
          <w:sz w:val="22"/>
          <w:szCs w:val="22"/>
        </w:rPr>
        <w:t xml:space="preserve">cen </w:t>
      </w:r>
      <w:r>
        <w:rPr>
          <w:rFonts w:asciiTheme="minorHAnsi" w:hAnsiTheme="minorHAnsi" w:cs="Arial"/>
          <w:sz w:val="22"/>
          <w:szCs w:val="22"/>
        </w:rPr>
        <w:t>na rynku lub wynajmu mieszkania o czynszu rynkowym na poszczególnych rynkach mieszkaniowych, dla których istnieją oficjalne dane w tym zakresie</w:t>
      </w:r>
      <w:r w:rsidR="00A21E9D">
        <w:rPr>
          <w:rFonts w:asciiTheme="minorHAnsi" w:hAnsiTheme="minorHAnsi" w:cs="Arial"/>
          <w:sz w:val="22"/>
          <w:szCs w:val="22"/>
        </w:rPr>
        <w:t xml:space="preserve">, </w:t>
      </w:r>
      <w:r>
        <w:rPr>
          <w:rFonts w:asciiTheme="minorHAnsi" w:hAnsiTheme="minorHAnsi" w:cs="Arial"/>
          <w:sz w:val="22"/>
          <w:szCs w:val="22"/>
        </w:rPr>
        <w:t>gromadzone pr</w:t>
      </w:r>
      <w:r w:rsidR="000A7EDD">
        <w:rPr>
          <w:rFonts w:asciiTheme="minorHAnsi" w:hAnsiTheme="minorHAnsi" w:cs="Arial"/>
          <w:sz w:val="22"/>
          <w:szCs w:val="22"/>
        </w:rPr>
        <w:t>zez Narodowy B</w:t>
      </w:r>
      <w:r>
        <w:rPr>
          <w:rFonts w:asciiTheme="minorHAnsi" w:hAnsiTheme="minorHAnsi" w:cs="Arial"/>
          <w:sz w:val="22"/>
          <w:szCs w:val="22"/>
        </w:rPr>
        <w:t>ank Polski</w:t>
      </w:r>
      <w:r w:rsidR="000A7EDD">
        <w:rPr>
          <w:rFonts w:asciiTheme="minorHAnsi" w:hAnsiTheme="minorHAnsi" w:cs="Arial"/>
          <w:sz w:val="22"/>
          <w:szCs w:val="22"/>
        </w:rPr>
        <w:t>). W analizie przyjęto, że czynsz najmu lub rata kredytu nie powinna przekraczać 40% wydatków gospodarstwa domowego. Dodatkowo przyjęto, że każde gospodarstwo domowe musi pokryć inne wydatki, określone na poziomie minimum socjaln</w:t>
      </w:r>
      <w:r w:rsidR="000A7EDD">
        <w:rPr>
          <w:rFonts w:asciiTheme="minorHAnsi" w:hAnsiTheme="minorHAnsi" w:cs="Arial"/>
          <w:sz w:val="22"/>
          <w:szCs w:val="22"/>
        </w:rPr>
        <w:t>e</w:t>
      </w:r>
      <w:r w:rsidR="000A7EDD">
        <w:rPr>
          <w:rFonts w:asciiTheme="minorHAnsi" w:hAnsiTheme="minorHAnsi" w:cs="Arial"/>
          <w:sz w:val="22"/>
          <w:szCs w:val="22"/>
        </w:rPr>
        <w:t>go.</w:t>
      </w:r>
    </w:p>
    <w:p w:rsidR="00732E43" w:rsidRPr="00732E43" w:rsidRDefault="00732E43" w:rsidP="00732E43">
      <w:pPr>
        <w:spacing w:after="200" w:line="240" w:lineRule="exact"/>
        <w:rPr>
          <w:rFonts w:asciiTheme="minorHAnsi" w:hAnsiTheme="minorHAnsi" w:cstheme="minorHAnsi"/>
          <w:sz w:val="22"/>
          <w:szCs w:val="22"/>
          <w:lang w:eastAsia="en-US"/>
        </w:rPr>
      </w:pPr>
      <w:r w:rsidRPr="00732E43">
        <w:rPr>
          <w:rFonts w:asciiTheme="minorHAnsi" w:hAnsiTheme="minorHAnsi" w:cstheme="minorHAnsi"/>
          <w:sz w:val="22"/>
          <w:szCs w:val="22"/>
          <w:lang w:eastAsia="en-US"/>
        </w:rPr>
        <w:t>W celu określenia parametru dostępu do systemu dopłat dla poszczególnych typów gospodarstw domowych (S – singiel, M – małżeństwo, DM – dziecko młodsze, DS – dziecko starsze) oszacowano, jakie muszą być minimalne zarobki miesięczne, aby posiadać zdolność kredytową na zakup mieszk</w:t>
      </w:r>
      <w:r w:rsidRPr="00732E43">
        <w:rPr>
          <w:rFonts w:asciiTheme="minorHAnsi" w:hAnsiTheme="minorHAnsi" w:cstheme="minorHAnsi"/>
          <w:sz w:val="22"/>
          <w:szCs w:val="22"/>
          <w:lang w:eastAsia="en-US"/>
        </w:rPr>
        <w:t>a</w:t>
      </w:r>
      <w:r w:rsidRPr="00732E43">
        <w:rPr>
          <w:rFonts w:asciiTheme="minorHAnsi" w:hAnsiTheme="minorHAnsi" w:cstheme="minorHAnsi"/>
          <w:sz w:val="22"/>
          <w:szCs w:val="22"/>
          <w:lang w:eastAsia="en-US"/>
        </w:rPr>
        <w:t xml:space="preserve">nia </w:t>
      </w:r>
      <w:r w:rsidR="00DA7A22">
        <w:rPr>
          <w:rFonts w:asciiTheme="minorHAnsi" w:hAnsiTheme="minorHAnsi" w:cstheme="minorHAnsi"/>
          <w:sz w:val="22"/>
          <w:szCs w:val="22"/>
          <w:lang w:eastAsia="en-US"/>
        </w:rPr>
        <w:br/>
      </w:r>
      <w:r w:rsidRPr="00732E43">
        <w:rPr>
          <w:rFonts w:asciiTheme="minorHAnsi" w:hAnsiTheme="minorHAnsi" w:cstheme="minorHAnsi"/>
          <w:sz w:val="22"/>
          <w:szCs w:val="22"/>
          <w:lang w:eastAsia="en-US"/>
        </w:rPr>
        <w:t>o odpowiedniej powierzchni (S – 30 m</w:t>
      </w:r>
      <w:r w:rsidRPr="00732E43">
        <w:rPr>
          <w:rFonts w:asciiTheme="minorHAnsi" w:hAnsiTheme="minorHAnsi" w:cstheme="minorHAnsi"/>
          <w:sz w:val="22"/>
          <w:szCs w:val="22"/>
          <w:vertAlign w:val="superscript"/>
          <w:lang w:eastAsia="en-US"/>
        </w:rPr>
        <w:t>2</w:t>
      </w:r>
      <w:r w:rsidRPr="00732E43">
        <w:rPr>
          <w:rFonts w:asciiTheme="minorHAnsi" w:hAnsiTheme="minorHAnsi" w:cstheme="minorHAnsi"/>
          <w:sz w:val="22"/>
          <w:szCs w:val="22"/>
          <w:lang w:eastAsia="en-US"/>
        </w:rPr>
        <w:t>; M – 40 m</w:t>
      </w:r>
      <w:r w:rsidRPr="00732E43">
        <w:rPr>
          <w:rFonts w:asciiTheme="minorHAnsi" w:hAnsiTheme="minorHAnsi" w:cstheme="minorHAnsi"/>
          <w:sz w:val="22"/>
          <w:szCs w:val="22"/>
          <w:vertAlign w:val="superscript"/>
          <w:lang w:eastAsia="en-US"/>
        </w:rPr>
        <w:t>2</w:t>
      </w:r>
      <w:r w:rsidRPr="00732E43">
        <w:rPr>
          <w:rFonts w:asciiTheme="minorHAnsi" w:hAnsiTheme="minorHAnsi" w:cstheme="minorHAnsi"/>
          <w:sz w:val="22"/>
          <w:szCs w:val="22"/>
          <w:lang w:eastAsia="en-US"/>
        </w:rPr>
        <w:t xml:space="preserve"> + 10 m</w:t>
      </w:r>
      <w:r w:rsidRPr="00732E43">
        <w:rPr>
          <w:rFonts w:asciiTheme="minorHAnsi" w:hAnsiTheme="minorHAnsi" w:cstheme="minorHAnsi"/>
          <w:sz w:val="22"/>
          <w:szCs w:val="22"/>
          <w:vertAlign w:val="superscript"/>
          <w:lang w:eastAsia="en-US"/>
        </w:rPr>
        <w:t>2</w:t>
      </w:r>
      <w:r w:rsidRPr="00732E43">
        <w:rPr>
          <w:rFonts w:asciiTheme="minorHAnsi" w:hAnsiTheme="minorHAnsi" w:cstheme="minorHAnsi"/>
          <w:sz w:val="22"/>
          <w:szCs w:val="22"/>
          <w:lang w:eastAsia="en-US"/>
        </w:rPr>
        <w:t xml:space="preserve"> za każde dziecko).</w:t>
      </w:r>
    </w:p>
    <w:p w:rsidR="00732E43" w:rsidRPr="00732E43" w:rsidRDefault="00732E43" w:rsidP="00732E43">
      <w:pPr>
        <w:spacing w:after="200" w:line="240" w:lineRule="exact"/>
        <w:rPr>
          <w:rFonts w:asciiTheme="minorHAnsi" w:hAnsiTheme="minorHAnsi" w:cstheme="minorHAnsi"/>
          <w:sz w:val="22"/>
          <w:szCs w:val="22"/>
          <w:lang w:eastAsia="en-US"/>
        </w:rPr>
      </w:pPr>
      <w:r w:rsidRPr="00732E43">
        <w:rPr>
          <w:rFonts w:asciiTheme="minorHAnsi" w:hAnsiTheme="minorHAnsi" w:cstheme="minorHAnsi"/>
          <w:sz w:val="22"/>
          <w:szCs w:val="22"/>
          <w:lang w:eastAsia="en-US"/>
        </w:rPr>
        <w:t>Analizy dokonano dla 17 miast, dla których Narodowy Bank Polski publikuje dane dot. rynku nier</w:t>
      </w:r>
      <w:r w:rsidRPr="00732E43">
        <w:rPr>
          <w:rFonts w:asciiTheme="minorHAnsi" w:hAnsiTheme="minorHAnsi" w:cstheme="minorHAnsi"/>
          <w:sz w:val="22"/>
          <w:szCs w:val="22"/>
          <w:lang w:eastAsia="en-US"/>
        </w:rPr>
        <w:t>u</w:t>
      </w:r>
      <w:r w:rsidRPr="00732E43">
        <w:rPr>
          <w:rFonts w:asciiTheme="minorHAnsi" w:hAnsiTheme="minorHAnsi" w:cstheme="minorHAnsi"/>
          <w:sz w:val="22"/>
          <w:szCs w:val="22"/>
          <w:lang w:eastAsia="en-US"/>
        </w:rPr>
        <w:t>chomości (m.in. ceny transakcyjne 1 m</w:t>
      </w:r>
      <w:r w:rsidRPr="00732E43">
        <w:rPr>
          <w:rFonts w:asciiTheme="minorHAnsi" w:hAnsiTheme="minorHAnsi" w:cstheme="minorHAnsi"/>
          <w:sz w:val="22"/>
          <w:szCs w:val="22"/>
          <w:vertAlign w:val="superscript"/>
          <w:lang w:eastAsia="en-US"/>
        </w:rPr>
        <w:t>2</w:t>
      </w:r>
      <w:r w:rsidRPr="00732E43">
        <w:rPr>
          <w:rFonts w:asciiTheme="minorHAnsi" w:hAnsiTheme="minorHAnsi" w:cstheme="minorHAnsi"/>
          <w:sz w:val="22"/>
          <w:szCs w:val="22"/>
          <w:lang w:eastAsia="en-US"/>
        </w:rPr>
        <w:t xml:space="preserve"> mieszkania na rynku pierwotnym) oraz przykładowego „m</w:t>
      </w:r>
      <w:r w:rsidRPr="00732E43">
        <w:rPr>
          <w:rFonts w:asciiTheme="minorHAnsi" w:hAnsiTheme="minorHAnsi" w:cstheme="minorHAnsi"/>
          <w:sz w:val="22"/>
          <w:szCs w:val="22"/>
          <w:lang w:eastAsia="en-US"/>
        </w:rPr>
        <w:t>a</w:t>
      </w:r>
      <w:r w:rsidRPr="00732E43">
        <w:rPr>
          <w:rFonts w:asciiTheme="minorHAnsi" w:hAnsiTheme="minorHAnsi" w:cstheme="minorHAnsi"/>
          <w:sz w:val="22"/>
          <w:szCs w:val="22"/>
          <w:lang w:eastAsia="en-US"/>
        </w:rPr>
        <w:t>łego miasta”, dla którego założono cenę  1 m</w:t>
      </w:r>
      <w:r w:rsidRPr="00732E43">
        <w:rPr>
          <w:rFonts w:asciiTheme="minorHAnsi" w:hAnsiTheme="minorHAnsi" w:cstheme="minorHAnsi"/>
          <w:sz w:val="22"/>
          <w:szCs w:val="22"/>
          <w:vertAlign w:val="superscript"/>
          <w:lang w:eastAsia="en-US"/>
        </w:rPr>
        <w:t>2</w:t>
      </w:r>
      <w:r w:rsidRPr="00732E43">
        <w:rPr>
          <w:rFonts w:asciiTheme="minorHAnsi" w:hAnsiTheme="minorHAnsi" w:cstheme="minorHAnsi"/>
          <w:sz w:val="22"/>
          <w:szCs w:val="22"/>
          <w:lang w:eastAsia="en-US"/>
        </w:rPr>
        <w:t xml:space="preserve"> mieszkania na rynku pierwotnym</w:t>
      </w:r>
      <w:r w:rsidR="004927D7">
        <w:rPr>
          <w:rFonts w:asciiTheme="minorHAnsi" w:hAnsiTheme="minorHAnsi" w:cstheme="minorHAnsi"/>
          <w:sz w:val="22"/>
          <w:szCs w:val="22"/>
          <w:lang w:eastAsia="en-US"/>
        </w:rPr>
        <w:t xml:space="preserve"> (=4 tys. zł/m</w:t>
      </w:r>
      <w:r w:rsidR="004927D7" w:rsidRPr="004927D7">
        <w:rPr>
          <w:rFonts w:asciiTheme="minorHAnsi" w:hAnsiTheme="minorHAnsi" w:cstheme="minorHAnsi"/>
          <w:sz w:val="22"/>
          <w:szCs w:val="22"/>
          <w:vertAlign w:val="superscript"/>
          <w:lang w:eastAsia="en-US"/>
        </w:rPr>
        <w:t>2</w:t>
      </w:r>
      <w:r w:rsidR="004927D7">
        <w:rPr>
          <w:rFonts w:asciiTheme="minorHAnsi" w:hAnsiTheme="minorHAnsi" w:cstheme="minorHAnsi"/>
          <w:sz w:val="22"/>
          <w:szCs w:val="22"/>
          <w:lang w:eastAsia="en-US"/>
        </w:rPr>
        <w:t>)</w:t>
      </w:r>
      <w:r w:rsidRPr="00732E43">
        <w:rPr>
          <w:rFonts w:asciiTheme="minorHAnsi" w:hAnsiTheme="minorHAnsi" w:cstheme="minorHAnsi"/>
          <w:sz w:val="22"/>
          <w:szCs w:val="22"/>
          <w:lang w:eastAsia="en-US"/>
        </w:rPr>
        <w:t xml:space="preserve"> oraz przeciętne wynagrodzenie w gospodarce narodowej. Szacunkowy kredyt hipoteczny określały nast</w:t>
      </w:r>
      <w:r w:rsidRPr="00732E43">
        <w:rPr>
          <w:rFonts w:asciiTheme="minorHAnsi" w:hAnsiTheme="minorHAnsi" w:cstheme="minorHAnsi"/>
          <w:sz w:val="22"/>
          <w:szCs w:val="22"/>
          <w:lang w:eastAsia="en-US"/>
        </w:rPr>
        <w:t>ę</w:t>
      </w:r>
      <w:r w:rsidRPr="00732E43">
        <w:rPr>
          <w:rFonts w:asciiTheme="minorHAnsi" w:hAnsiTheme="minorHAnsi" w:cstheme="minorHAnsi"/>
          <w:sz w:val="22"/>
          <w:szCs w:val="22"/>
          <w:lang w:eastAsia="en-US"/>
        </w:rPr>
        <w:t>pujące parametry: okres spłaty – 25 lat, oprocentowanie – 4% (WIBOR 3M + 2,3% marży).</w:t>
      </w:r>
    </w:p>
    <w:p w:rsidR="00732E43" w:rsidRPr="00732E43" w:rsidRDefault="00732E43" w:rsidP="00732E43">
      <w:pPr>
        <w:spacing w:after="200" w:line="240" w:lineRule="exact"/>
        <w:rPr>
          <w:rFonts w:asciiTheme="minorHAnsi" w:hAnsiTheme="minorHAnsi" w:cstheme="minorHAnsi"/>
          <w:sz w:val="22"/>
          <w:szCs w:val="22"/>
          <w:lang w:eastAsia="en-US"/>
        </w:rPr>
      </w:pPr>
      <w:r w:rsidRPr="00732E43">
        <w:rPr>
          <w:rFonts w:asciiTheme="minorHAnsi" w:hAnsiTheme="minorHAnsi" w:cstheme="minorHAnsi"/>
          <w:sz w:val="22"/>
          <w:szCs w:val="22"/>
          <w:lang w:eastAsia="en-US"/>
        </w:rPr>
        <w:t>Bazując na danych przeciętnych, analizując dostępność mieszkań w poszczególnych lokalizacjach n</w:t>
      </w:r>
      <w:r w:rsidRPr="00732E43">
        <w:rPr>
          <w:rFonts w:asciiTheme="minorHAnsi" w:hAnsiTheme="minorHAnsi" w:cstheme="minorHAnsi"/>
          <w:sz w:val="22"/>
          <w:szCs w:val="22"/>
          <w:lang w:eastAsia="en-US"/>
        </w:rPr>
        <w:t>a</w:t>
      </w:r>
      <w:r w:rsidRPr="00732E43">
        <w:rPr>
          <w:rFonts w:asciiTheme="minorHAnsi" w:hAnsiTheme="minorHAnsi" w:cstheme="minorHAnsi"/>
          <w:sz w:val="22"/>
          <w:szCs w:val="22"/>
          <w:lang w:eastAsia="en-US"/>
        </w:rPr>
        <w:t>leżało przyjąć dodatkowe założenia związane z kredytowaniem nabycia mieszkania. Zgodnie z rek</w:t>
      </w:r>
      <w:r w:rsidRPr="00732E43">
        <w:rPr>
          <w:rFonts w:asciiTheme="minorHAnsi" w:hAnsiTheme="minorHAnsi" w:cstheme="minorHAnsi"/>
          <w:sz w:val="22"/>
          <w:szCs w:val="22"/>
          <w:lang w:eastAsia="en-US"/>
        </w:rPr>
        <w:t>o</w:t>
      </w:r>
      <w:r w:rsidRPr="00732E43">
        <w:rPr>
          <w:rFonts w:asciiTheme="minorHAnsi" w:hAnsiTheme="minorHAnsi" w:cstheme="minorHAnsi"/>
          <w:sz w:val="22"/>
          <w:szCs w:val="22"/>
          <w:lang w:eastAsia="en-US"/>
        </w:rPr>
        <w:t>mendacj</w:t>
      </w:r>
      <w:r w:rsidR="004927D7">
        <w:rPr>
          <w:rFonts w:asciiTheme="minorHAnsi" w:hAnsiTheme="minorHAnsi" w:cstheme="minorHAnsi"/>
          <w:sz w:val="22"/>
          <w:szCs w:val="22"/>
          <w:lang w:eastAsia="en-US"/>
        </w:rPr>
        <w:t>ami Komisji Nadzoru Finansowego</w:t>
      </w:r>
      <w:r w:rsidRPr="00732E43">
        <w:rPr>
          <w:rFonts w:asciiTheme="minorHAnsi" w:hAnsiTheme="minorHAnsi" w:cstheme="minorHAnsi"/>
          <w:sz w:val="22"/>
          <w:szCs w:val="22"/>
          <w:lang w:eastAsia="en-US"/>
        </w:rPr>
        <w:t>, sugerowana rata spłaty kredytu na nabycie własnego mieszkania nie powinna przekroczyć 40% dochodów kredytobiorcy (w przypadku kredytobiorców zarabiających poniżej przeciętnego poziomu wynagrodzeń). Środki, które dane gospodarstwo dom</w:t>
      </w:r>
      <w:r w:rsidRPr="00732E43">
        <w:rPr>
          <w:rFonts w:asciiTheme="minorHAnsi" w:hAnsiTheme="minorHAnsi" w:cstheme="minorHAnsi"/>
          <w:sz w:val="22"/>
          <w:szCs w:val="22"/>
          <w:lang w:eastAsia="en-US"/>
        </w:rPr>
        <w:t>o</w:t>
      </w:r>
      <w:r w:rsidRPr="00732E43">
        <w:rPr>
          <w:rFonts w:asciiTheme="minorHAnsi" w:hAnsiTheme="minorHAnsi" w:cstheme="minorHAnsi"/>
          <w:sz w:val="22"/>
          <w:szCs w:val="22"/>
          <w:lang w:eastAsia="en-US"/>
        </w:rPr>
        <w:t>we może przeznaczyć na zakup (spłatę raty kredytu), pozostają w budżecie domowym po zaspokoj</w:t>
      </w:r>
      <w:r w:rsidRPr="00732E43">
        <w:rPr>
          <w:rFonts w:asciiTheme="minorHAnsi" w:hAnsiTheme="minorHAnsi" w:cstheme="minorHAnsi"/>
          <w:sz w:val="22"/>
          <w:szCs w:val="22"/>
          <w:lang w:eastAsia="en-US"/>
        </w:rPr>
        <w:t>e</w:t>
      </w:r>
      <w:r w:rsidRPr="00732E43">
        <w:rPr>
          <w:rFonts w:asciiTheme="minorHAnsi" w:hAnsiTheme="minorHAnsi" w:cstheme="minorHAnsi"/>
          <w:sz w:val="22"/>
          <w:szCs w:val="22"/>
          <w:lang w:eastAsia="en-US"/>
        </w:rPr>
        <w:t>niu innych potrzeb na poziomie minimum socjalnego. Informacje nt. poziomu minimum socjalnego zaczerpnięto z publikacji Instytutu Pracy i Spraw Socjalnych i obliczono średnią arytmetyczną z pier</w:t>
      </w:r>
      <w:r w:rsidRPr="00732E43">
        <w:rPr>
          <w:rFonts w:asciiTheme="minorHAnsi" w:hAnsiTheme="minorHAnsi" w:cstheme="minorHAnsi"/>
          <w:sz w:val="22"/>
          <w:szCs w:val="22"/>
          <w:lang w:eastAsia="en-US"/>
        </w:rPr>
        <w:t>w</w:t>
      </w:r>
      <w:r w:rsidRPr="00732E43">
        <w:rPr>
          <w:rFonts w:asciiTheme="minorHAnsi" w:hAnsiTheme="minorHAnsi" w:cstheme="minorHAnsi"/>
          <w:sz w:val="22"/>
          <w:szCs w:val="22"/>
          <w:lang w:eastAsia="en-US"/>
        </w:rPr>
        <w:t>szych trzech kwartałów 2017 roku dla poszczególnych typów gospodarstw domowych oraz oszac</w:t>
      </w:r>
      <w:r w:rsidRPr="00732E43">
        <w:rPr>
          <w:rFonts w:asciiTheme="minorHAnsi" w:hAnsiTheme="minorHAnsi" w:cstheme="minorHAnsi"/>
          <w:sz w:val="22"/>
          <w:szCs w:val="22"/>
          <w:lang w:eastAsia="en-US"/>
        </w:rPr>
        <w:t>o</w:t>
      </w:r>
      <w:r w:rsidRPr="00732E43">
        <w:rPr>
          <w:rFonts w:asciiTheme="minorHAnsi" w:hAnsiTheme="minorHAnsi" w:cstheme="minorHAnsi"/>
          <w:sz w:val="22"/>
          <w:szCs w:val="22"/>
          <w:lang w:eastAsia="en-US"/>
        </w:rPr>
        <w:t>wano przeciętną wysokość minimum na młodsze i starsze dziecko (zarówno dla gospodarstw z je</w:t>
      </w:r>
      <w:r w:rsidRPr="00732E43">
        <w:rPr>
          <w:rFonts w:asciiTheme="minorHAnsi" w:hAnsiTheme="minorHAnsi" w:cstheme="minorHAnsi"/>
          <w:sz w:val="22"/>
          <w:szCs w:val="22"/>
          <w:lang w:eastAsia="en-US"/>
        </w:rPr>
        <w:t>d</w:t>
      </w:r>
      <w:r w:rsidRPr="00732E43">
        <w:rPr>
          <w:rFonts w:asciiTheme="minorHAnsi" w:hAnsiTheme="minorHAnsi" w:cstheme="minorHAnsi"/>
          <w:sz w:val="22"/>
          <w:szCs w:val="22"/>
          <w:lang w:eastAsia="en-US"/>
        </w:rPr>
        <w:t xml:space="preserve">nym dzieckiem, jak </w:t>
      </w:r>
      <w:r w:rsidR="00DA7A22">
        <w:rPr>
          <w:rFonts w:asciiTheme="minorHAnsi" w:hAnsiTheme="minorHAnsi" w:cstheme="minorHAnsi"/>
          <w:sz w:val="22"/>
          <w:szCs w:val="22"/>
          <w:lang w:eastAsia="en-US"/>
        </w:rPr>
        <w:br/>
      </w:r>
      <w:r w:rsidRPr="00732E43">
        <w:rPr>
          <w:rFonts w:asciiTheme="minorHAnsi" w:hAnsiTheme="minorHAnsi" w:cstheme="minorHAnsi"/>
          <w:sz w:val="22"/>
          <w:szCs w:val="22"/>
          <w:lang w:eastAsia="en-US"/>
        </w:rPr>
        <w:t>i z każdym kolejnym). W celu określenie minimalnych zarobków niezbędnych do posiadania zdolność kredytowej przyjęto, że muszą one wynosić sumę minimum socjalnego dla poszczególnego typu g</w:t>
      </w:r>
      <w:r w:rsidRPr="00732E43">
        <w:rPr>
          <w:rFonts w:asciiTheme="minorHAnsi" w:hAnsiTheme="minorHAnsi" w:cstheme="minorHAnsi"/>
          <w:sz w:val="22"/>
          <w:szCs w:val="22"/>
          <w:lang w:eastAsia="en-US"/>
        </w:rPr>
        <w:t>o</w:t>
      </w:r>
      <w:r w:rsidRPr="00732E43">
        <w:rPr>
          <w:rFonts w:asciiTheme="minorHAnsi" w:hAnsiTheme="minorHAnsi" w:cstheme="minorHAnsi"/>
          <w:sz w:val="22"/>
          <w:szCs w:val="22"/>
          <w:lang w:eastAsia="en-US"/>
        </w:rPr>
        <w:t xml:space="preserve">spodarstwa domowego oraz kwoty miesięcznej raty. Przy czym kwota raty nie może przekraczać 40% całego dochodu gospodarstwa domowego. </w:t>
      </w:r>
    </w:p>
    <w:p w:rsidR="00732E43" w:rsidRPr="00732E43" w:rsidRDefault="00732E43" w:rsidP="00732E43">
      <w:pPr>
        <w:spacing w:after="200" w:line="240" w:lineRule="exact"/>
        <w:rPr>
          <w:rFonts w:asciiTheme="minorHAnsi" w:hAnsiTheme="minorHAnsi" w:cstheme="minorHAnsi"/>
          <w:sz w:val="22"/>
          <w:szCs w:val="22"/>
          <w:lang w:eastAsia="en-US"/>
        </w:rPr>
      </w:pPr>
      <w:r w:rsidRPr="00732E43">
        <w:rPr>
          <w:rFonts w:asciiTheme="minorHAnsi" w:hAnsiTheme="minorHAnsi" w:cstheme="minorHAnsi"/>
          <w:sz w:val="22"/>
          <w:szCs w:val="22"/>
          <w:lang w:eastAsia="en-US"/>
        </w:rPr>
        <w:t>Następnie obliczone wysokości minimalnych dochodów netto w poszczególnych lokalizacjach zest</w:t>
      </w:r>
      <w:r w:rsidRPr="00732E43">
        <w:rPr>
          <w:rFonts w:asciiTheme="minorHAnsi" w:hAnsiTheme="minorHAnsi" w:cstheme="minorHAnsi"/>
          <w:sz w:val="22"/>
          <w:szCs w:val="22"/>
          <w:lang w:eastAsia="en-US"/>
        </w:rPr>
        <w:t>a</w:t>
      </w:r>
      <w:r w:rsidRPr="00732E43">
        <w:rPr>
          <w:rFonts w:asciiTheme="minorHAnsi" w:hAnsiTheme="minorHAnsi" w:cstheme="minorHAnsi"/>
          <w:sz w:val="22"/>
          <w:szCs w:val="22"/>
          <w:lang w:eastAsia="en-US"/>
        </w:rPr>
        <w:t xml:space="preserve">wiono z przeciętnym wynagrodzeniem netto w gospodarce narodowej, zarówno krajowego jak i w </w:t>
      </w:r>
      <w:r w:rsidRPr="00732E43">
        <w:rPr>
          <w:rFonts w:asciiTheme="minorHAnsi" w:hAnsiTheme="minorHAnsi" w:cstheme="minorHAnsi"/>
          <w:sz w:val="22"/>
          <w:szCs w:val="22"/>
          <w:lang w:eastAsia="en-US"/>
        </w:rPr>
        <w:lastRenderedPageBreak/>
        <w:t>poszczególnych województwach. Dla „przeciętnego małego miasta” założono wynagrodzenie w w</w:t>
      </w:r>
      <w:r w:rsidRPr="00732E43">
        <w:rPr>
          <w:rFonts w:asciiTheme="minorHAnsi" w:hAnsiTheme="minorHAnsi" w:cstheme="minorHAnsi"/>
          <w:sz w:val="22"/>
          <w:szCs w:val="22"/>
          <w:lang w:eastAsia="en-US"/>
        </w:rPr>
        <w:t>y</w:t>
      </w:r>
      <w:r w:rsidRPr="00732E43">
        <w:rPr>
          <w:rFonts w:asciiTheme="minorHAnsi" w:hAnsiTheme="minorHAnsi" w:cstheme="minorHAnsi"/>
          <w:sz w:val="22"/>
          <w:szCs w:val="22"/>
          <w:lang w:eastAsia="en-US"/>
        </w:rPr>
        <w:t>sokości 90% przeciętnego wynagrodzenia w gospodarce narodowej dla całego kraju. Na podstawie powyższego zestawienia obliczono jaki procent przeciętnego wynagrodzenia w danych miastach st</w:t>
      </w:r>
      <w:r w:rsidRPr="00732E43">
        <w:rPr>
          <w:rFonts w:asciiTheme="minorHAnsi" w:hAnsiTheme="minorHAnsi" w:cstheme="minorHAnsi"/>
          <w:sz w:val="22"/>
          <w:szCs w:val="22"/>
          <w:lang w:eastAsia="en-US"/>
        </w:rPr>
        <w:t>a</w:t>
      </w:r>
      <w:r w:rsidRPr="00732E43">
        <w:rPr>
          <w:rFonts w:asciiTheme="minorHAnsi" w:hAnsiTheme="minorHAnsi" w:cstheme="minorHAnsi"/>
          <w:sz w:val="22"/>
          <w:szCs w:val="22"/>
          <w:lang w:eastAsia="en-US"/>
        </w:rPr>
        <w:t>nowi dochód minimalny.</w:t>
      </w:r>
    </w:p>
    <w:p w:rsidR="00732E43" w:rsidRDefault="00732E43" w:rsidP="00732E43">
      <w:pPr>
        <w:spacing w:after="120" w:line="240" w:lineRule="exact"/>
        <w:rPr>
          <w:rFonts w:asciiTheme="minorHAnsi" w:hAnsiTheme="minorHAnsi" w:cstheme="minorHAnsi"/>
          <w:sz w:val="22"/>
          <w:szCs w:val="22"/>
          <w:lang w:eastAsia="en-US"/>
        </w:rPr>
      </w:pPr>
    </w:p>
    <w:p w:rsidR="00DA7A22" w:rsidRDefault="00DA7A22" w:rsidP="00732E43">
      <w:pPr>
        <w:spacing w:after="120" w:line="240" w:lineRule="exact"/>
        <w:rPr>
          <w:rFonts w:asciiTheme="minorHAnsi" w:hAnsiTheme="minorHAnsi" w:cstheme="minorHAnsi"/>
          <w:sz w:val="22"/>
          <w:szCs w:val="22"/>
          <w:lang w:eastAsia="en-US"/>
        </w:rPr>
      </w:pPr>
    </w:p>
    <w:p w:rsidR="00DA7A22" w:rsidRPr="00732E43" w:rsidRDefault="00DA7A22" w:rsidP="00732E43">
      <w:pPr>
        <w:spacing w:after="120" w:line="240" w:lineRule="exact"/>
        <w:rPr>
          <w:rFonts w:asciiTheme="minorHAnsi" w:hAnsiTheme="minorHAnsi" w:cstheme="minorHAnsi"/>
          <w:sz w:val="22"/>
          <w:szCs w:val="22"/>
          <w:lang w:eastAsia="en-US"/>
        </w:rPr>
      </w:pPr>
    </w:p>
    <w:p w:rsidR="00732E43" w:rsidRPr="004927D7" w:rsidRDefault="00732E43" w:rsidP="00732E43">
      <w:pPr>
        <w:spacing w:line="240" w:lineRule="exact"/>
        <w:rPr>
          <w:rFonts w:asciiTheme="minorHAnsi" w:hAnsiTheme="minorHAnsi" w:cstheme="minorHAnsi"/>
          <w:i/>
          <w:sz w:val="22"/>
          <w:szCs w:val="22"/>
          <w:lang w:eastAsia="en-US"/>
        </w:rPr>
      </w:pPr>
      <w:r w:rsidRPr="004927D7">
        <w:rPr>
          <w:rFonts w:asciiTheme="minorHAnsi" w:hAnsiTheme="minorHAnsi" w:cstheme="minorHAnsi"/>
          <w:i/>
          <w:sz w:val="22"/>
          <w:szCs w:val="22"/>
          <w:lang w:eastAsia="en-US"/>
        </w:rPr>
        <w:t>Tab.1. Dochód minimalny zapewniający zdolność kredytową wg miast i typów gospodarstw dom</w:t>
      </w:r>
      <w:r w:rsidRPr="004927D7">
        <w:rPr>
          <w:rFonts w:asciiTheme="minorHAnsi" w:hAnsiTheme="minorHAnsi" w:cstheme="minorHAnsi"/>
          <w:i/>
          <w:sz w:val="22"/>
          <w:szCs w:val="22"/>
          <w:lang w:eastAsia="en-US"/>
        </w:rPr>
        <w:t>o</w:t>
      </w:r>
      <w:r w:rsidRPr="004927D7">
        <w:rPr>
          <w:rFonts w:asciiTheme="minorHAnsi" w:hAnsiTheme="minorHAnsi" w:cstheme="minorHAnsi"/>
          <w:i/>
          <w:sz w:val="22"/>
          <w:szCs w:val="22"/>
          <w:lang w:eastAsia="en-US"/>
        </w:rPr>
        <w:t>wych</w:t>
      </w:r>
      <w:r w:rsidR="004927D7" w:rsidRPr="004927D7">
        <w:rPr>
          <w:rFonts w:asciiTheme="minorHAnsi" w:hAnsiTheme="minorHAnsi" w:cstheme="minorHAnsi"/>
          <w:i/>
          <w:sz w:val="22"/>
          <w:szCs w:val="22"/>
          <w:lang w:eastAsia="en-US"/>
        </w:rPr>
        <w:t xml:space="preserve"> w wybranych miastach</w:t>
      </w:r>
      <w:r w:rsidRPr="004927D7">
        <w:rPr>
          <w:rFonts w:asciiTheme="minorHAnsi" w:hAnsiTheme="minorHAnsi" w:cstheme="minorHAnsi"/>
          <w:i/>
          <w:sz w:val="22"/>
          <w:szCs w:val="22"/>
          <w:lang w:eastAsia="en-US"/>
        </w:rPr>
        <w:t>.</w:t>
      </w:r>
    </w:p>
    <w:tbl>
      <w:tblPr>
        <w:tblStyle w:val="Tabelasiatki4akcent41"/>
        <w:tblW w:w="9972" w:type="dxa"/>
        <w:tblLook w:val="04A0"/>
      </w:tblPr>
      <w:tblGrid>
        <w:gridCol w:w="1183"/>
        <w:gridCol w:w="1327"/>
        <w:gridCol w:w="1804"/>
        <w:gridCol w:w="1205"/>
        <w:gridCol w:w="875"/>
        <w:gridCol w:w="1134"/>
        <w:gridCol w:w="875"/>
        <w:gridCol w:w="1071"/>
        <w:gridCol w:w="875"/>
      </w:tblGrid>
      <w:tr w:rsidR="004927D7" w:rsidRPr="00732E43" w:rsidTr="004927D7">
        <w:trPr>
          <w:cnfStyle w:val="100000000000"/>
          <w:trHeight w:val="256"/>
        </w:trPr>
        <w:tc>
          <w:tcPr>
            <w:cnfStyle w:val="001000000000"/>
            <w:tcW w:w="1053" w:type="dxa"/>
            <w:noWrap/>
            <w:hideMark/>
          </w:tcPr>
          <w:p w:rsidR="00732E43" w:rsidRPr="004927D7" w:rsidRDefault="00732E43" w:rsidP="00732E43">
            <w:pPr>
              <w:spacing w:after="200" w:line="240" w:lineRule="exact"/>
              <w:jc w:val="center"/>
              <w:rPr>
                <w:rFonts w:asciiTheme="minorHAnsi" w:eastAsia="Times New Roman" w:hAnsiTheme="minorHAnsi" w:cstheme="minorHAnsi"/>
                <w:color w:val="000000"/>
                <w:sz w:val="20"/>
                <w:szCs w:val="20"/>
              </w:rPr>
            </w:pPr>
            <w:r w:rsidRPr="004927D7">
              <w:rPr>
                <w:rFonts w:asciiTheme="minorHAnsi" w:eastAsia="Times New Roman" w:hAnsiTheme="minorHAnsi" w:cstheme="minorHAnsi"/>
                <w:color w:val="000000"/>
                <w:sz w:val="20"/>
                <w:szCs w:val="20"/>
              </w:rPr>
              <w:t> </w:t>
            </w:r>
          </w:p>
        </w:tc>
        <w:tc>
          <w:tcPr>
            <w:tcW w:w="1270" w:type="dxa"/>
            <w:noWrap/>
            <w:hideMark/>
          </w:tcPr>
          <w:p w:rsidR="00732E43" w:rsidRPr="004927D7" w:rsidRDefault="00732E43" w:rsidP="00732E43">
            <w:pPr>
              <w:spacing w:after="200" w:line="240" w:lineRule="exact"/>
              <w:jc w:val="center"/>
              <w:cnfStyle w:val="100000000000"/>
              <w:rPr>
                <w:rFonts w:asciiTheme="minorHAnsi" w:eastAsia="Times New Roman" w:hAnsiTheme="minorHAnsi" w:cstheme="minorHAnsi"/>
                <w:color w:val="000000"/>
                <w:sz w:val="20"/>
                <w:szCs w:val="20"/>
              </w:rPr>
            </w:pPr>
            <w:r w:rsidRPr="004927D7">
              <w:rPr>
                <w:rFonts w:asciiTheme="minorHAnsi" w:eastAsia="Times New Roman" w:hAnsiTheme="minorHAnsi" w:cstheme="minorHAnsi"/>
                <w:color w:val="000000"/>
                <w:sz w:val="20"/>
                <w:szCs w:val="20"/>
              </w:rPr>
              <w:t> </w:t>
            </w:r>
          </w:p>
        </w:tc>
        <w:tc>
          <w:tcPr>
            <w:tcW w:w="1726" w:type="dxa"/>
            <w:noWrap/>
            <w:hideMark/>
          </w:tcPr>
          <w:p w:rsidR="00732E43" w:rsidRPr="004927D7" w:rsidRDefault="00732E43" w:rsidP="00732E43">
            <w:pPr>
              <w:spacing w:after="200" w:line="240" w:lineRule="exact"/>
              <w:jc w:val="right"/>
              <w:cnfStyle w:val="100000000000"/>
              <w:rPr>
                <w:rFonts w:asciiTheme="minorHAnsi" w:eastAsia="Times New Roman" w:hAnsiTheme="minorHAnsi" w:cstheme="minorHAnsi"/>
                <w:color w:val="000000"/>
                <w:sz w:val="20"/>
                <w:szCs w:val="20"/>
              </w:rPr>
            </w:pPr>
            <w:r w:rsidRPr="004927D7">
              <w:rPr>
                <w:rFonts w:asciiTheme="minorHAnsi" w:eastAsia="Times New Roman" w:hAnsiTheme="minorHAnsi" w:cstheme="minorHAnsi"/>
                <w:color w:val="000000"/>
                <w:sz w:val="20"/>
                <w:szCs w:val="20"/>
              </w:rPr>
              <w:t>Cena za m</w:t>
            </w:r>
            <w:r w:rsidRPr="00DA7A22">
              <w:rPr>
                <w:rFonts w:asciiTheme="minorHAnsi" w:eastAsia="Times New Roman" w:hAnsiTheme="minorHAnsi" w:cstheme="minorHAnsi"/>
                <w:color w:val="000000"/>
                <w:sz w:val="20"/>
                <w:szCs w:val="20"/>
                <w:vertAlign w:val="superscript"/>
              </w:rPr>
              <w:t>2</w:t>
            </w:r>
          </w:p>
        </w:tc>
        <w:tc>
          <w:tcPr>
            <w:tcW w:w="2043" w:type="dxa"/>
            <w:gridSpan w:val="2"/>
            <w:noWrap/>
            <w:hideMark/>
          </w:tcPr>
          <w:p w:rsidR="00732E43" w:rsidRPr="004927D7" w:rsidRDefault="00732E43" w:rsidP="00732E43">
            <w:pPr>
              <w:spacing w:after="200" w:line="240" w:lineRule="exact"/>
              <w:jc w:val="center"/>
              <w:cnfStyle w:val="100000000000"/>
              <w:rPr>
                <w:rFonts w:asciiTheme="minorHAnsi" w:eastAsia="Times New Roman" w:hAnsiTheme="minorHAnsi" w:cstheme="minorHAnsi"/>
                <w:color w:val="000000"/>
                <w:sz w:val="20"/>
                <w:szCs w:val="20"/>
              </w:rPr>
            </w:pPr>
            <w:r w:rsidRPr="004927D7">
              <w:rPr>
                <w:rFonts w:asciiTheme="minorHAnsi" w:eastAsia="Times New Roman" w:hAnsiTheme="minorHAnsi" w:cstheme="minorHAnsi"/>
                <w:color w:val="000000"/>
                <w:sz w:val="20"/>
                <w:szCs w:val="20"/>
              </w:rPr>
              <w:t>5 096,00</w:t>
            </w:r>
          </w:p>
        </w:tc>
        <w:tc>
          <w:tcPr>
            <w:tcW w:w="1971" w:type="dxa"/>
            <w:gridSpan w:val="2"/>
            <w:noWrap/>
            <w:hideMark/>
          </w:tcPr>
          <w:p w:rsidR="00732E43" w:rsidRPr="004927D7" w:rsidRDefault="00732E43" w:rsidP="00732E43">
            <w:pPr>
              <w:spacing w:after="200" w:line="240" w:lineRule="exact"/>
              <w:jc w:val="center"/>
              <w:cnfStyle w:val="100000000000"/>
              <w:rPr>
                <w:rFonts w:asciiTheme="minorHAnsi" w:eastAsia="Times New Roman" w:hAnsiTheme="minorHAnsi" w:cstheme="minorHAnsi"/>
                <w:color w:val="000000"/>
                <w:sz w:val="20"/>
                <w:szCs w:val="20"/>
              </w:rPr>
            </w:pPr>
            <w:r w:rsidRPr="004927D7">
              <w:rPr>
                <w:rFonts w:asciiTheme="minorHAnsi" w:eastAsia="Times New Roman" w:hAnsiTheme="minorHAnsi" w:cstheme="minorHAnsi"/>
                <w:color w:val="000000"/>
                <w:sz w:val="20"/>
                <w:szCs w:val="20"/>
              </w:rPr>
              <w:t>7 703,86</w:t>
            </w:r>
          </w:p>
        </w:tc>
        <w:tc>
          <w:tcPr>
            <w:tcW w:w="1909" w:type="dxa"/>
            <w:gridSpan w:val="2"/>
            <w:noWrap/>
            <w:hideMark/>
          </w:tcPr>
          <w:p w:rsidR="00732E43" w:rsidRPr="004927D7" w:rsidRDefault="00732E43" w:rsidP="00732E43">
            <w:pPr>
              <w:spacing w:after="200" w:line="240" w:lineRule="exact"/>
              <w:jc w:val="center"/>
              <w:cnfStyle w:val="100000000000"/>
              <w:rPr>
                <w:rFonts w:asciiTheme="minorHAnsi" w:eastAsia="Times New Roman" w:hAnsiTheme="minorHAnsi" w:cstheme="minorHAnsi"/>
                <w:color w:val="000000"/>
                <w:sz w:val="20"/>
                <w:szCs w:val="20"/>
              </w:rPr>
            </w:pPr>
            <w:r w:rsidRPr="004927D7">
              <w:rPr>
                <w:rFonts w:asciiTheme="minorHAnsi" w:eastAsia="Times New Roman" w:hAnsiTheme="minorHAnsi" w:cstheme="minorHAnsi"/>
                <w:color w:val="000000"/>
                <w:sz w:val="20"/>
                <w:szCs w:val="20"/>
              </w:rPr>
              <w:t>4 000,00</w:t>
            </w:r>
          </w:p>
        </w:tc>
      </w:tr>
      <w:tr w:rsidR="004927D7" w:rsidRPr="00732E43" w:rsidTr="00DA7A22">
        <w:trPr>
          <w:cnfStyle w:val="000000100000"/>
          <w:trHeight w:val="1047"/>
        </w:trPr>
        <w:tc>
          <w:tcPr>
            <w:cnfStyle w:val="001000000000"/>
            <w:tcW w:w="1053" w:type="dxa"/>
            <w:shd w:val="clear" w:color="auto" w:fill="27B9CA"/>
            <w:hideMark/>
          </w:tcPr>
          <w:p w:rsidR="00732E43" w:rsidRDefault="00732E43" w:rsidP="00732E43">
            <w:pPr>
              <w:spacing w:after="200" w:line="240" w:lineRule="exact"/>
              <w:jc w:val="center"/>
              <w:rPr>
                <w:rFonts w:asciiTheme="minorHAnsi" w:eastAsia="Times New Roman" w:hAnsiTheme="minorHAnsi" w:cstheme="minorHAnsi"/>
                <w:color w:val="000000"/>
                <w:sz w:val="20"/>
                <w:szCs w:val="20"/>
              </w:rPr>
            </w:pPr>
            <w:r w:rsidRPr="004927D7">
              <w:rPr>
                <w:rFonts w:asciiTheme="minorHAnsi" w:eastAsia="Times New Roman" w:hAnsiTheme="minorHAnsi" w:cstheme="minorHAnsi"/>
                <w:color w:val="000000"/>
                <w:sz w:val="20"/>
                <w:szCs w:val="20"/>
              </w:rPr>
              <w:t>min. s</w:t>
            </w:r>
            <w:r w:rsidRPr="004927D7">
              <w:rPr>
                <w:rFonts w:asciiTheme="minorHAnsi" w:eastAsia="Times New Roman" w:hAnsiTheme="minorHAnsi" w:cstheme="minorHAnsi"/>
                <w:color w:val="000000"/>
                <w:sz w:val="20"/>
                <w:szCs w:val="20"/>
              </w:rPr>
              <w:t>o</w:t>
            </w:r>
            <w:r w:rsidRPr="004927D7">
              <w:rPr>
                <w:rFonts w:asciiTheme="minorHAnsi" w:eastAsia="Times New Roman" w:hAnsiTheme="minorHAnsi" w:cstheme="minorHAnsi"/>
                <w:color w:val="000000"/>
                <w:sz w:val="20"/>
                <w:szCs w:val="20"/>
              </w:rPr>
              <w:t>cjalne</w:t>
            </w:r>
          </w:p>
          <w:p w:rsidR="004927D7" w:rsidRPr="004927D7" w:rsidRDefault="004927D7" w:rsidP="00732E43">
            <w:pPr>
              <w:spacing w:after="200" w:line="240" w:lineRule="exact"/>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(zł/miesiąc)</w:t>
            </w:r>
          </w:p>
        </w:tc>
        <w:tc>
          <w:tcPr>
            <w:tcW w:w="1270" w:type="dxa"/>
            <w:shd w:val="clear" w:color="auto" w:fill="27B9CA"/>
            <w:hideMark/>
          </w:tcPr>
          <w:p w:rsidR="00732E43" w:rsidRPr="004927D7" w:rsidRDefault="00732E43" w:rsidP="00732E43">
            <w:pPr>
              <w:spacing w:after="200" w:line="240" w:lineRule="exact"/>
              <w:jc w:val="center"/>
              <w:cnfStyle w:val="000000100000"/>
              <w:rPr>
                <w:rFonts w:asciiTheme="minorHAnsi" w:eastAsia="Times New Roman" w:hAnsiTheme="minorHAnsi" w:cstheme="minorHAnsi"/>
                <w:b/>
                <w:color w:val="000000"/>
                <w:sz w:val="20"/>
                <w:szCs w:val="20"/>
              </w:rPr>
            </w:pPr>
            <w:r w:rsidRPr="004927D7">
              <w:rPr>
                <w:rFonts w:asciiTheme="minorHAnsi" w:eastAsia="Times New Roman" w:hAnsiTheme="minorHAnsi" w:cstheme="minorHAnsi"/>
                <w:b/>
                <w:color w:val="000000"/>
                <w:sz w:val="20"/>
                <w:szCs w:val="20"/>
              </w:rPr>
              <w:t>powierzchnia mieszkania w m</w:t>
            </w:r>
            <w:r w:rsidRPr="004927D7">
              <w:rPr>
                <w:rFonts w:asciiTheme="minorHAnsi" w:eastAsia="Times New Roman" w:hAnsiTheme="minorHAnsi" w:cstheme="minorHAnsi"/>
                <w:b/>
                <w:color w:val="000000"/>
                <w:sz w:val="20"/>
                <w:szCs w:val="20"/>
                <w:vertAlign w:val="superscript"/>
              </w:rPr>
              <w:t>2</w:t>
            </w:r>
          </w:p>
        </w:tc>
        <w:tc>
          <w:tcPr>
            <w:tcW w:w="1726" w:type="dxa"/>
            <w:shd w:val="clear" w:color="auto" w:fill="27B9CA"/>
            <w:noWrap/>
            <w:hideMark/>
          </w:tcPr>
          <w:p w:rsidR="00732E43" w:rsidRPr="004927D7" w:rsidRDefault="00732E43" w:rsidP="00DA7A22">
            <w:pPr>
              <w:spacing w:after="200" w:line="240" w:lineRule="exact"/>
              <w:jc w:val="center"/>
              <w:cnfStyle w:val="000000100000"/>
              <w:rPr>
                <w:rFonts w:asciiTheme="minorHAnsi" w:eastAsia="Times New Roman" w:hAnsiTheme="minorHAnsi" w:cstheme="minorHAnsi"/>
                <w:b/>
                <w:color w:val="000000"/>
                <w:sz w:val="20"/>
                <w:szCs w:val="20"/>
              </w:rPr>
            </w:pPr>
            <w:r w:rsidRPr="004927D7">
              <w:rPr>
                <w:rFonts w:asciiTheme="minorHAnsi" w:eastAsia="Times New Roman" w:hAnsiTheme="minorHAnsi" w:cstheme="minorHAnsi"/>
                <w:b/>
                <w:color w:val="000000"/>
                <w:sz w:val="20"/>
                <w:szCs w:val="20"/>
              </w:rPr>
              <w:t>Miasto</w:t>
            </w:r>
          </w:p>
        </w:tc>
        <w:tc>
          <w:tcPr>
            <w:tcW w:w="2043" w:type="dxa"/>
            <w:gridSpan w:val="2"/>
            <w:shd w:val="clear" w:color="auto" w:fill="27B9CA"/>
            <w:noWrap/>
            <w:hideMark/>
          </w:tcPr>
          <w:p w:rsidR="00732E43" w:rsidRPr="004927D7" w:rsidRDefault="00732E43" w:rsidP="00DA7A22">
            <w:pPr>
              <w:spacing w:after="200" w:line="240" w:lineRule="exact"/>
              <w:jc w:val="center"/>
              <w:cnfStyle w:val="000000100000"/>
              <w:rPr>
                <w:rFonts w:asciiTheme="minorHAnsi" w:eastAsia="Times New Roman" w:hAnsiTheme="minorHAnsi" w:cstheme="minorHAnsi"/>
                <w:b/>
                <w:color w:val="000000"/>
                <w:sz w:val="20"/>
                <w:szCs w:val="20"/>
              </w:rPr>
            </w:pPr>
            <w:r w:rsidRPr="004927D7">
              <w:rPr>
                <w:rFonts w:asciiTheme="minorHAnsi" w:eastAsia="Times New Roman" w:hAnsiTheme="minorHAnsi" w:cstheme="minorHAnsi"/>
                <w:b/>
                <w:color w:val="000000"/>
                <w:sz w:val="20"/>
                <w:szCs w:val="20"/>
              </w:rPr>
              <w:t>Lublin</w:t>
            </w:r>
          </w:p>
        </w:tc>
        <w:tc>
          <w:tcPr>
            <w:tcW w:w="1971" w:type="dxa"/>
            <w:gridSpan w:val="2"/>
            <w:shd w:val="clear" w:color="auto" w:fill="27B9CA"/>
            <w:noWrap/>
            <w:hideMark/>
          </w:tcPr>
          <w:p w:rsidR="00732E43" w:rsidRPr="004927D7" w:rsidRDefault="00732E43" w:rsidP="00DA7A22">
            <w:pPr>
              <w:spacing w:after="200" w:line="240" w:lineRule="exact"/>
              <w:jc w:val="center"/>
              <w:cnfStyle w:val="000000100000"/>
              <w:rPr>
                <w:rFonts w:asciiTheme="minorHAnsi" w:eastAsia="Times New Roman" w:hAnsiTheme="minorHAnsi" w:cstheme="minorHAnsi"/>
                <w:b/>
                <w:color w:val="000000"/>
                <w:sz w:val="20"/>
                <w:szCs w:val="20"/>
              </w:rPr>
            </w:pPr>
            <w:r w:rsidRPr="004927D7">
              <w:rPr>
                <w:rFonts w:asciiTheme="minorHAnsi" w:eastAsia="Times New Roman" w:hAnsiTheme="minorHAnsi" w:cstheme="minorHAnsi"/>
                <w:b/>
                <w:color w:val="000000"/>
                <w:sz w:val="20"/>
                <w:szCs w:val="20"/>
              </w:rPr>
              <w:t>Warszawa</w:t>
            </w:r>
          </w:p>
        </w:tc>
        <w:tc>
          <w:tcPr>
            <w:tcW w:w="1909" w:type="dxa"/>
            <w:gridSpan w:val="2"/>
            <w:shd w:val="clear" w:color="auto" w:fill="27B9CA"/>
            <w:noWrap/>
            <w:hideMark/>
          </w:tcPr>
          <w:p w:rsidR="00732E43" w:rsidRPr="004927D7" w:rsidRDefault="00732E43" w:rsidP="00DA7A22">
            <w:pPr>
              <w:spacing w:after="200" w:line="240" w:lineRule="exact"/>
              <w:jc w:val="center"/>
              <w:cnfStyle w:val="000000100000"/>
              <w:rPr>
                <w:rFonts w:asciiTheme="minorHAnsi" w:eastAsia="Times New Roman" w:hAnsiTheme="minorHAnsi" w:cstheme="minorHAnsi"/>
                <w:b/>
                <w:color w:val="000000"/>
                <w:sz w:val="20"/>
                <w:szCs w:val="20"/>
              </w:rPr>
            </w:pPr>
            <w:r w:rsidRPr="004927D7">
              <w:rPr>
                <w:rFonts w:asciiTheme="minorHAnsi" w:eastAsia="Times New Roman" w:hAnsiTheme="minorHAnsi" w:cstheme="minorHAnsi"/>
                <w:b/>
                <w:color w:val="000000"/>
                <w:sz w:val="20"/>
                <w:szCs w:val="20"/>
              </w:rPr>
              <w:t>„małe miasto”</w:t>
            </w:r>
          </w:p>
        </w:tc>
      </w:tr>
      <w:tr w:rsidR="004927D7" w:rsidRPr="00732E43" w:rsidTr="004927D7">
        <w:trPr>
          <w:trHeight w:val="256"/>
        </w:trPr>
        <w:tc>
          <w:tcPr>
            <w:cnfStyle w:val="001000000000"/>
            <w:tcW w:w="1053" w:type="dxa"/>
            <w:vMerge w:val="restart"/>
            <w:shd w:val="clear" w:color="auto" w:fill="27B9CA"/>
            <w:noWrap/>
            <w:hideMark/>
          </w:tcPr>
          <w:p w:rsidR="00732E43" w:rsidRPr="004927D7" w:rsidRDefault="00732E43" w:rsidP="00732E43">
            <w:pPr>
              <w:spacing w:after="200" w:line="240" w:lineRule="exact"/>
              <w:jc w:val="center"/>
              <w:rPr>
                <w:rFonts w:asciiTheme="minorHAnsi" w:eastAsia="Times New Roman" w:hAnsiTheme="minorHAnsi" w:cstheme="minorHAnsi"/>
                <w:color w:val="000000"/>
                <w:sz w:val="20"/>
                <w:szCs w:val="20"/>
              </w:rPr>
            </w:pPr>
            <w:r w:rsidRPr="004927D7">
              <w:rPr>
                <w:rFonts w:asciiTheme="minorHAnsi" w:eastAsia="Times New Roman" w:hAnsiTheme="minorHAnsi" w:cstheme="minorHAnsi"/>
                <w:color w:val="000000"/>
                <w:sz w:val="20"/>
                <w:szCs w:val="20"/>
              </w:rPr>
              <w:t> </w:t>
            </w:r>
          </w:p>
        </w:tc>
        <w:tc>
          <w:tcPr>
            <w:tcW w:w="1270" w:type="dxa"/>
            <w:vMerge w:val="restart"/>
            <w:shd w:val="clear" w:color="auto" w:fill="27B9CA"/>
            <w:noWrap/>
            <w:hideMark/>
          </w:tcPr>
          <w:p w:rsidR="00732E43" w:rsidRPr="004927D7" w:rsidRDefault="00732E43" w:rsidP="00732E43">
            <w:pPr>
              <w:spacing w:after="200" w:line="240" w:lineRule="exact"/>
              <w:jc w:val="center"/>
              <w:cnfStyle w:val="000000000000"/>
              <w:rPr>
                <w:rFonts w:asciiTheme="minorHAnsi" w:eastAsia="Times New Roman" w:hAnsiTheme="minorHAnsi" w:cstheme="minorHAnsi"/>
                <w:b/>
                <w:color w:val="000000"/>
                <w:sz w:val="20"/>
                <w:szCs w:val="20"/>
              </w:rPr>
            </w:pPr>
            <w:r w:rsidRPr="004927D7">
              <w:rPr>
                <w:rFonts w:asciiTheme="minorHAnsi" w:eastAsia="Times New Roman" w:hAnsiTheme="minorHAnsi" w:cstheme="minorHAnsi"/>
                <w:b/>
                <w:color w:val="000000"/>
                <w:sz w:val="20"/>
                <w:szCs w:val="20"/>
              </w:rPr>
              <w:t> </w:t>
            </w:r>
          </w:p>
        </w:tc>
        <w:tc>
          <w:tcPr>
            <w:tcW w:w="1726" w:type="dxa"/>
            <w:vMerge w:val="restart"/>
            <w:shd w:val="clear" w:color="auto" w:fill="27B9CA"/>
            <w:noWrap/>
            <w:hideMark/>
          </w:tcPr>
          <w:p w:rsidR="00732E43" w:rsidRPr="004927D7" w:rsidRDefault="00732E43" w:rsidP="00732E43">
            <w:pPr>
              <w:spacing w:after="200" w:line="240" w:lineRule="exact"/>
              <w:jc w:val="left"/>
              <w:cnfStyle w:val="000000000000"/>
              <w:rPr>
                <w:rFonts w:asciiTheme="minorHAnsi" w:eastAsia="Times New Roman" w:hAnsiTheme="minorHAnsi" w:cstheme="minorHAnsi"/>
                <w:b/>
                <w:color w:val="000000"/>
                <w:sz w:val="20"/>
                <w:szCs w:val="20"/>
              </w:rPr>
            </w:pPr>
            <w:r w:rsidRPr="004927D7">
              <w:rPr>
                <w:rFonts w:asciiTheme="minorHAnsi" w:eastAsia="Times New Roman" w:hAnsiTheme="minorHAnsi" w:cstheme="minorHAnsi"/>
                <w:b/>
                <w:color w:val="000000"/>
                <w:sz w:val="20"/>
                <w:szCs w:val="20"/>
              </w:rPr>
              <w:t>Struktura gosp. dom.</w:t>
            </w:r>
          </w:p>
        </w:tc>
        <w:tc>
          <w:tcPr>
            <w:tcW w:w="2043" w:type="dxa"/>
            <w:gridSpan w:val="2"/>
            <w:shd w:val="clear" w:color="auto" w:fill="27B9CA"/>
            <w:noWrap/>
            <w:hideMark/>
          </w:tcPr>
          <w:p w:rsidR="00732E43" w:rsidRPr="004927D7" w:rsidRDefault="00732E43" w:rsidP="00732E43">
            <w:pPr>
              <w:spacing w:after="200" w:line="240" w:lineRule="exact"/>
              <w:jc w:val="center"/>
              <w:cnfStyle w:val="000000000000"/>
              <w:rPr>
                <w:rFonts w:asciiTheme="minorHAnsi" w:eastAsia="Times New Roman" w:hAnsiTheme="minorHAnsi" w:cstheme="minorHAnsi"/>
                <w:b/>
                <w:color w:val="000000"/>
                <w:sz w:val="20"/>
                <w:szCs w:val="20"/>
              </w:rPr>
            </w:pPr>
            <w:r w:rsidRPr="004927D7">
              <w:rPr>
                <w:rFonts w:asciiTheme="minorHAnsi" w:eastAsia="Times New Roman" w:hAnsiTheme="minorHAnsi" w:cstheme="minorHAnsi"/>
                <w:b/>
                <w:color w:val="000000"/>
                <w:sz w:val="20"/>
                <w:szCs w:val="20"/>
              </w:rPr>
              <w:t>dochód netto</w:t>
            </w:r>
          </w:p>
        </w:tc>
        <w:tc>
          <w:tcPr>
            <w:tcW w:w="1971" w:type="dxa"/>
            <w:gridSpan w:val="2"/>
            <w:shd w:val="clear" w:color="auto" w:fill="27B9CA"/>
            <w:noWrap/>
            <w:hideMark/>
          </w:tcPr>
          <w:p w:rsidR="00732E43" w:rsidRPr="004927D7" w:rsidRDefault="00732E43" w:rsidP="00732E43">
            <w:pPr>
              <w:spacing w:after="200" w:line="240" w:lineRule="exact"/>
              <w:jc w:val="center"/>
              <w:cnfStyle w:val="000000000000"/>
              <w:rPr>
                <w:rFonts w:asciiTheme="minorHAnsi" w:eastAsia="Times New Roman" w:hAnsiTheme="minorHAnsi" w:cstheme="minorHAnsi"/>
                <w:b/>
                <w:color w:val="000000"/>
                <w:sz w:val="20"/>
                <w:szCs w:val="20"/>
              </w:rPr>
            </w:pPr>
            <w:r w:rsidRPr="004927D7">
              <w:rPr>
                <w:rFonts w:asciiTheme="minorHAnsi" w:eastAsia="Times New Roman" w:hAnsiTheme="minorHAnsi" w:cstheme="minorHAnsi"/>
                <w:b/>
                <w:color w:val="000000"/>
                <w:sz w:val="20"/>
                <w:szCs w:val="20"/>
              </w:rPr>
              <w:t>dochód netto</w:t>
            </w:r>
          </w:p>
        </w:tc>
        <w:tc>
          <w:tcPr>
            <w:tcW w:w="1909" w:type="dxa"/>
            <w:gridSpan w:val="2"/>
            <w:shd w:val="clear" w:color="auto" w:fill="27B9CA"/>
            <w:noWrap/>
            <w:hideMark/>
          </w:tcPr>
          <w:p w:rsidR="00732E43" w:rsidRPr="004927D7" w:rsidRDefault="00732E43" w:rsidP="00732E43">
            <w:pPr>
              <w:spacing w:after="200" w:line="240" w:lineRule="exact"/>
              <w:jc w:val="center"/>
              <w:cnfStyle w:val="000000000000"/>
              <w:rPr>
                <w:rFonts w:asciiTheme="minorHAnsi" w:eastAsia="Times New Roman" w:hAnsiTheme="minorHAnsi" w:cstheme="minorHAnsi"/>
                <w:b/>
                <w:color w:val="000000"/>
                <w:sz w:val="20"/>
                <w:szCs w:val="20"/>
              </w:rPr>
            </w:pPr>
            <w:r w:rsidRPr="004927D7">
              <w:rPr>
                <w:rFonts w:asciiTheme="minorHAnsi" w:eastAsia="Times New Roman" w:hAnsiTheme="minorHAnsi" w:cstheme="minorHAnsi"/>
                <w:b/>
                <w:color w:val="000000"/>
                <w:sz w:val="20"/>
                <w:szCs w:val="20"/>
              </w:rPr>
              <w:t>dochód netto</w:t>
            </w:r>
          </w:p>
        </w:tc>
      </w:tr>
      <w:tr w:rsidR="004927D7" w:rsidRPr="00732E43" w:rsidTr="004927D7">
        <w:trPr>
          <w:cnfStyle w:val="000000100000"/>
          <w:trHeight w:val="256"/>
        </w:trPr>
        <w:tc>
          <w:tcPr>
            <w:cnfStyle w:val="001000000000"/>
            <w:tcW w:w="1053" w:type="dxa"/>
            <w:vMerge/>
            <w:shd w:val="clear" w:color="auto" w:fill="27B9CA"/>
            <w:hideMark/>
          </w:tcPr>
          <w:p w:rsidR="00732E43" w:rsidRPr="004927D7" w:rsidRDefault="00732E43" w:rsidP="00732E43">
            <w:pPr>
              <w:spacing w:after="200" w:line="240" w:lineRule="exact"/>
              <w:jc w:val="left"/>
              <w:rPr>
                <w:rFonts w:asciiTheme="minorHAnsi" w:eastAsia="Times New Roman" w:hAnsiTheme="minorHAnsi" w:cstheme="minorHAnsi"/>
                <w:color w:val="000000"/>
                <w:sz w:val="20"/>
                <w:szCs w:val="20"/>
              </w:rPr>
            </w:pPr>
          </w:p>
        </w:tc>
        <w:tc>
          <w:tcPr>
            <w:tcW w:w="1270" w:type="dxa"/>
            <w:vMerge/>
            <w:shd w:val="clear" w:color="auto" w:fill="27B9CA"/>
            <w:hideMark/>
          </w:tcPr>
          <w:p w:rsidR="00732E43" w:rsidRPr="004927D7" w:rsidRDefault="00732E43" w:rsidP="00732E43">
            <w:pPr>
              <w:spacing w:after="200" w:line="240" w:lineRule="exact"/>
              <w:jc w:val="left"/>
              <w:cnfStyle w:val="000000100000"/>
              <w:rPr>
                <w:rFonts w:asciiTheme="minorHAnsi" w:eastAsia="Times New Roman" w:hAnsiTheme="minorHAnsi" w:cstheme="minorHAnsi"/>
                <w:b/>
                <w:color w:val="000000"/>
                <w:sz w:val="20"/>
                <w:szCs w:val="20"/>
              </w:rPr>
            </w:pPr>
          </w:p>
        </w:tc>
        <w:tc>
          <w:tcPr>
            <w:tcW w:w="1726" w:type="dxa"/>
            <w:vMerge/>
            <w:shd w:val="clear" w:color="auto" w:fill="27B9CA"/>
            <w:hideMark/>
          </w:tcPr>
          <w:p w:rsidR="00732E43" w:rsidRPr="004927D7" w:rsidRDefault="00732E43" w:rsidP="00732E43">
            <w:pPr>
              <w:spacing w:after="200" w:line="240" w:lineRule="exact"/>
              <w:jc w:val="left"/>
              <w:cnfStyle w:val="000000100000"/>
              <w:rPr>
                <w:rFonts w:asciiTheme="minorHAnsi" w:eastAsia="Times New Roman" w:hAnsiTheme="minorHAnsi" w:cstheme="minorHAnsi"/>
                <w:b/>
                <w:color w:val="000000"/>
                <w:sz w:val="20"/>
                <w:szCs w:val="20"/>
              </w:rPr>
            </w:pPr>
          </w:p>
        </w:tc>
        <w:tc>
          <w:tcPr>
            <w:tcW w:w="1205" w:type="dxa"/>
            <w:shd w:val="clear" w:color="auto" w:fill="27B9CA"/>
            <w:noWrap/>
            <w:hideMark/>
          </w:tcPr>
          <w:p w:rsidR="00732E43" w:rsidRPr="004927D7" w:rsidRDefault="00732E43" w:rsidP="00732E43">
            <w:pPr>
              <w:spacing w:after="200" w:line="240" w:lineRule="exact"/>
              <w:jc w:val="center"/>
              <w:cnfStyle w:val="000000100000"/>
              <w:rPr>
                <w:rFonts w:asciiTheme="minorHAnsi" w:eastAsia="Times New Roman" w:hAnsiTheme="minorHAnsi" w:cstheme="minorHAnsi"/>
                <w:b/>
                <w:color w:val="000000"/>
                <w:sz w:val="20"/>
                <w:szCs w:val="20"/>
              </w:rPr>
            </w:pPr>
            <w:r w:rsidRPr="004927D7">
              <w:rPr>
                <w:rFonts w:asciiTheme="minorHAnsi" w:eastAsia="Times New Roman" w:hAnsiTheme="minorHAnsi" w:cstheme="minorHAnsi"/>
                <w:b/>
                <w:color w:val="000000"/>
                <w:sz w:val="20"/>
                <w:szCs w:val="20"/>
              </w:rPr>
              <w:t>na 1 os.</w:t>
            </w:r>
          </w:p>
        </w:tc>
        <w:tc>
          <w:tcPr>
            <w:tcW w:w="837" w:type="dxa"/>
            <w:shd w:val="clear" w:color="auto" w:fill="27B9CA"/>
            <w:noWrap/>
            <w:hideMark/>
          </w:tcPr>
          <w:p w:rsidR="00732E43" w:rsidRPr="004927D7" w:rsidRDefault="00732E43" w:rsidP="00732E43">
            <w:pPr>
              <w:spacing w:after="200" w:line="240" w:lineRule="exact"/>
              <w:jc w:val="center"/>
              <w:cnfStyle w:val="000000100000"/>
              <w:rPr>
                <w:rFonts w:asciiTheme="minorHAnsi" w:eastAsia="Times New Roman" w:hAnsiTheme="minorHAnsi" w:cstheme="minorHAnsi"/>
                <w:b/>
                <w:color w:val="000000"/>
                <w:sz w:val="20"/>
                <w:szCs w:val="20"/>
              </w:rPr>
            </w:pPr>
            <w:r w:rsidRPr="004927D7">
              <w:rPr>
                <w:rFonts w:asciiTheme="minorHAnsi" w:eastAsia="Times New Roman" w:hAnsiTheme="minorHAnsi" w:cstheme="minorHAnsi"/>
                <w:b/>
                <w:color w:val="000000"/>
                <w:sz w:val="20"/>
                <w:szCs w:val="20"/>
              </w:rPr>
              <w:t>ogółem</w:t>
            </w:r>
          </w:p>
        </w:tc>
        <w:tc>
          <w:tcPr>
            <w:tcW w:w="1134" w:type="dxa"/>
            <w:shd w:val="clear" w:color="auto" w:fill="27B9CA"/>
            <w:noWrap/>
            <w:hideMark/>
          </w:tcPr>
          <w:p w:rsidR="00732E43" w:rsidRPr="004927D7" w:rsidRDefault="00732E43" w:rsidP="00732E43">
            <w:pPr>
              <w:spacing w:after="200" w:line="240" w:lineRule="exact"/>
              <w:jc w:val="center"/>
              <w:cnfStyle w:val="000000100000"/>
              <w:rPr>
                <w:rFonts w:asciiTheme="minorHAnsi" w:eastAsia="Times New Roman" w:hAnsiTheme="minorHAnsi" w:cstheme="minorHAnsi"/>
                <w:b/>
                <w:color w:val="000000"/>
                <w:sz w:val="20"/>
                <w:szCs w:val="20"/>
              </w:rPr>
            </w:pPr>
            <w:r w:rsidRPr="004927D7">
              <w:rPr>
                <w:rFonts w:asciiTheme="minorHAnsi" w:eastAsia="Times New Roman" w:hAnsiTheme="minorHAnsi" w:cstheme="minorHAnsi"/>
                <w:b/>
                <w:color w:val="000000"/>
                <w:sz w:val="20"/>
                <w:szCs w:val="20"/>
              </w:rPr>
              <w:t>na 1 os.</w:t>
            </w:r>
          </w:p>
        </w:tc>
        <w:tc>
          <w:tcPr>
            <w:tcW w:w="837" w:type="dxa"/>
            <w:shd w:val="clear" w:color="auto" w:fill="27B9CA"/>
            <w:noWrap/>
            <w:hideMark/>
          </w:tcPr>
          <w:p w:rsidR="00732E43" w:rsidRPr="004927D7" w:rsidRDefault="00732E43" w:rsidP="00732E43">
            <w:pPr>
              <w:spacing w:after="200" w:line="240" w:lineRule="exact"/>
              <w:jc w:val="center"/>
              <w:cnfStyle w:val="000000100000"/>
              <w:rPr>
                <w:rFonts w:asciiTheme="minorHAnsi" w:eastAsia="Times New Roman" w:hAnsiTheme="minorHAnsi" w:cstheme="minorHAnsi"/>
                <w:b/>
                <w:color w:val="000000"/>
                <w:sz w:val="20"/>
                <w:szCs w:val="20"/>
              </w:rPr>
            </w:pPr>
            <w:r w:rsidRPr="004927D7">
              <w:rPr>
                <w:rFonts w:asciiTheme="minorHAnsi" w:eastAsia="Times New Roman" w:hAnsiTheme="minorHAnsi" w:cstheme="minorHAnsi"/>
                <w:b/>
                <w:color w:val="000000"/>
                <w:sz w:val="20"/>
                <w:szCs w:val="20"/>
              </w:rPr>
              <w:t>ogółem</w:t>
            </w:r>
          </w:p>
        </w:tc>
        <w:tc>
          <w:tcPr>
            <w:tcW w:w="1071" w:type="dxa"/>
            <w:shd w:val="clear" w:color="auto" w:fill="27B9CA"/>
            <w:noWrap/>
            <w:hideMark/>
          </w:tcPr>
          <w:p w:rsidR="00732E43" w:rsidRPr="004927D7" w:rsidRDefault="00732E43" w:rsidP="00732E43">
            <w:pPr>
              <w:spacing w:after="200" w:line="240" w:lineRule="exact"/>
              <w:jc w:val="center"/>
              <w:cnfStyle w:val="000000100000"/>
              <w:rPr>
                <w:rFonts w:asciiTheme="minorHAnsi" w:eastAsia="Times New Roman" w:hAnsiTheme="minorHAnsi" w:cstheme="minorHAnsi"/>
                <w:b/>
                <w:color w:val="000000"/>
                <w:sz w:val="20"/>
                <w:szCs w:val="20"/>
              </w:rPr>
            </w:pPr>
            <w:r w:rsidRPr="004927D7">
              <w:rPr>
                <w:rFonts w:asciiTheme="minorHAnsi" w:eastAsia="Times New Roman" w:hAnsiTheme="minorHAnsi" w:cstheme="minorHAnsi"/>
                <w:b/>
                <w:color w:val="000000"/>
                <w:sz w:val="20"/>
                <w:szCs w:val="20"/>
              </w:rPr>
              <w:t>na 1 os.</w:t>
            </w:r>
          </w:p>
        </w:tc>
        <w:tc>
          <w:tcPr>
            <w:tcW w:w="837" w:type="dxa"/>
            <w:shd w:val="clear" w:color="auto" w:fill="27B9CA"/>
            <w:noWrap/>
            <w:hideMark/>
          </w:tcPr>
          <w:p w:rsidR="00732E43" w:rsidRPr="004927D7" w:rsidRDefault="00732E43" w:rsidP="00732E43">
            <w:pPr>
              <w:spacing w:after="200" w:line="240" w:lineRule="exact"/>
              <w:jc w:val="center"/>
              <w:cnfStyle w:val="000000100000"/>
              <w:rPr>
                <w:rFonts w:asciiTheme="minorHAnsi" w:eastAsia="Times New Roman" w:hAnsiTheme="minorHAnsi" w:cstheme="minorHAnsi"/>
                <w:b/>
                <w:color w:val="000000"/>
                <w:sz w:val="20"/>
                <w:szCs w:val="20"/>
              </w:rPr>
            </w:pPr>
            <w:r w:rsidRPr="004927D7">
              <w:rPr>
                <w:rFonts w:asciiTheme="minorHAnsi" w:eastAsia="Times New Roman" w:hAnsiTheme="minorHAnsi" w:cstheme="minorHAnsi"/>
                <w:b/>
                <w:color w:val="000000"/>
                <w:sz w:val="20"/>
                <w:szCs w:val="20"/>
              </w:rPr>
              <w:t>ogółem</w:t>
            </w:r>
          </w:p>
        </w:tc>
      </w:tr>
      <w:tr w:rsidR="004927D7" w:rsidRPr="00732E43" w:rsidTr="004927D7">
        <w:trPr>
          <w:trHeight w:val="254"/>
        </w:trPr>
        <w:tc>
          <w:tcPr>
            <w:cnfStyle w:val="001000000000"/>
            <w:tcW w:w="1053" w:type="dxa"/>
            <w:noWrap/>
            <w:hideMark/>
          </w:tcPr>
          <w:p w:rsidR="00732E43" w:rsidRPr="004927D7" w:rsidRDefault="00732E43" w:rsidP="00732E43">
            <w:pPr>
              <w:spacing w:after="200" w:line="240" w:lineRule="exact"/>
              <w:jc w:val="right"/>
              <w:rPr>
                <w:rFonts w:asciiTheme="minorHAnsi" w:eastAsia="Times New Roman" w:hAnsiTheme="minorHAnsi" w:cstheme="minorHAnsi"/>
                <w:color w:val="000000"/>
                <w:sz w:val="20"/>
                <w:szCs w:val="20"/>
              </w:rPr>
            </w:pPr>
            <w:r w:rsidRPr="004927D7">
              <w:rPr>
                <w:rFonts w:asciiTheme="minorHAnsi" w:eastAsia="Times New Roman" w:hAnsiTheme="minorHAnsi" w:cstheme="minorHAnsi"/>
                <w:color w:val="000000"/>
                <w:sz w:val="20"/>
                <w:szCs w:val="20"/>
              </w:rPr>
              <w:t>1 127,70</w:t>
            </w:r>
          </w:p>
        </w:tc>
        <w:tc>
          <w:tcPr>
            <w:tcW w:w="1270" w:type="dxa"/>
            <w:noWrap/>
            <w:hideMark/>
          </w:tcPr>
          <w:p w:rsidR="00732E43" w:rsidRPr="004927D7" w:rsidRDefault="00732E43" w:rsidP="00732E43">
            <w:pPr>
              <w:spacing w:after="200" w:line="240" w:lineRule="exact"/>
              <w:jc w:val="right"/>
              <w:cnfStyle w:val="000000000000"/>
              <w:rPr>
                <w:rFonts w:asciiTheme="minorHAnsi" w:eastAsia="Times New Roman" w:hAnsiTheme="minorHAnsi" w:cstheme="minorHAnsi"/>
                <w:color w:val="000000"/>
                <w:sz w:val="20"/>
                <w:szCs w:val="20"/>
              </w:rPr>
            </w:pPr>
            <w:r w:rsidRPr="004927D7">
              <w:rPr>
                <w:rFonts w:asciiTheme="minorHAnsi" w:eastAsia="Times New Roman" w:hAnsiTheme="minorHAnsi" w:cstheme="minorHAnsi"/>
                <w:color w:val="000000"/>
                <w:sz w:val="20"/>
                <w:szCs w:val="20"/>
              </w:rPr>
              <w:t>30,0</w:t>
            </w:r>
          </w:p>
        </w:tc>
        <w:tc>
          <w:tcPr>
            <w:tcW w:w="1726" w:type="dxa"/>
            <w:noWrap/>
            <w:hideMark/>
          </w:tcPr>
          <w:p w:rsidR="00732E43" w:rsidRPr="004927D7" w:rsidRDefault="00732E43" w:rsidP="00732E43">
            <w:pPr>
              <w:spacing w:after="200" w:line="240" w:lineRule="exact"/>
              <w:jc w:val="left"/>
              <w:cnfStyle w:val="000000000000"/>
              <w:rPr>
                <w:rFonts w:asciiTheme="minorHAnsi" w:eastAsia="Times New Roman" w:hAnsiTheme="minorHAnsi" w:cstheme="minorHAnsi"/>
                <w:color w:val="000000"/>
                <w:sz w:val="20"/>
                <w:szCs w:val="20"/>
              </w:rPr>
            </w:pPr>
            <w:r w:rsidRPr="004927D7">
              <w:rPr>
                <w:rFonts w:asciiTheme="minorHAnsi" w:eastAsia="Times New Roman" w:hAnsiTheme="minorHAnsi" w:cstheme="minorHAnsi"/>
                <w:color w:val="000000"/>
                <w:sz w:val="20"/>
                <w:szCs w:val="20"/>
              </w:rPr>
              <w:t>S</w:t>
            </w:r>
          </w:p>
        </w:tc>
        <w:tc>
          <w:tcPr>
            <w:tcW w:w="1205" w:type="dxa"/>
            <w:noWrap/>
            <w:hideMark/>
          </w:tcPr>
          <w:p w:rsidR="00732E43" w:rsidRPr="004927D7" w:rsidRDefault="00732E43" w:rsidP="00732E43">
            <w:pPr>
              <w:spacing w:after="200" w:line="240" w:lineRule="exact"/>
              <w:jc w:val="center"/>
              <w:cnfStyle w:val="000000000000"/>
              <w:rPr>
                <w:rFonts w:asciiTheme="minorHAnsi" w:eastAsia="Times New Roman" w:hAnsiTheme="minorHAnsi" w:cstheme="minorHAnsi"/>
                <w:color w:val="000000"/>
                <w:sz w:val="20"/>
                <w:szCs w:val="20"/>
              </w:rPr>
            </w:pPr>
            <w:r w:rsidRPr="004927D7">
              <w:rPr>
                <w:rFonts w:asciiTheme="minorHAnsi" w:eastAsia="Times New Roman" w:hAnsiTheme="minorHAnsi" w:cstheme="minorHAnsi"/>
                <w:color w:val="000000"/>
                <w:sz w:val="20"/>
                <w:szCs w:val="20"/>
              </w:rPr>
              <w:t>1934,65</w:t>
            </w:r>
          </w:p>
        </w:tc>
        <w:tc>
          <w:tcPr>
            <w:tcW w:w="837" w:type="dxa"/>
            <w:noWrap/>
            <w:hideMark/>
          </w:tcPr>
          <w:p w:rsidR="00732E43" w:rsidRPr="004927D7" w:rsidRDefault="00732E43" w:rsidP="00732E43">
            <w:pPr>
              <w:spacing w:after="200" w:line="240" w:lineRule="exact"/>
              <w:jc w:val="center"/>
              <w:cnfStyle w:val="000000000000"/>
              <w:rPr>
                <w:rFonts w:asciiTheme="minorHAnsi" w:eastAsia="Times New Roman" w:hAnsiTheme="minorHAnsi" w:cstheme="minorHAnsi"/>
                <w:color w:val="000000"/>
                <w:sz w:val="20"/>
                <w:szCs w:val="20"/>
              </w:rPr>
            </w:pPr>
            <w:r w:rsidRPr="004927D7">
              <w:rPr>
                <w:rFonts w:asciiTheme="minorHAnsi" w:eastAsia="Times New Roman" w:hAnsiTheme="minorHAnsi" w:cstheme="minorHAnsi"/>
                <w:color w:val="000000"/>
                <w:sz w:val="20"/>
                <w:szCs w:val="20"/>
              </w:rPr>
              <w:t>1934,65</w:t>
            </w:r>
          </w:p>
        </w:tc>
        <w:tc>
          <w:tcPr>
            <w:tcW w:w="1134" w:type="dxa"/>
            <w:noWrap/>
            <w:hideMark/>
          </w:tcPr>
          <w:p w:rsidR="00732E43" w:rsidRPr="004927D7" w:rsidRDefault="00732E43" w:rsidP="00732E43">
            <w:pPr>
              <w:spacing w:after="200" w:line="240" w:lineRule="exact"/>
              <w:jc w:val="center"/>
              <w:cnfStyle w:val="000000000000"/>
              <w:rPr>
                <w:rFonts w:asciiTheme="minorHAnsi" w:eastAsia="Times New Roman" w:hAnsiTheme="minorHAnsi" w:cstheme="minorHAnsi"/>
                <w:color w:val="000000"/>
                <w:sz w:val="20"/>
                <w:szCs w:val="20"/>
              </w:rPr>
            </w:pPr>
            <w:r w:rsidRPr="004927D7">
              <w:rPr>
                <w:rFonts w:asciiTheme="minorHAnsi" w:eastAsia="Times New Roman" w:hAnsiTheme="minorHAnsi" w:cstheme="minorHAnsi"/>
                <w:color w:val="000000"/>
                <w:sz w:val="20"/>
                <w:szCs w:val="20"/>
              </w:rPr>
              <w:t>2347,61</w:t>
            </w:r>
          </w:p>
        </w:tc>
        <w:tc>
          <w:tcPr>
            <w:tcW w:w="837" w:type="dxa"/>
            <w:noWrap/>
            <w:hideMark/>
          </w:tcPr>
          <w:p w:rsidR="00732E43" w:rsidRPr="004927D7" w:rsidRDefault="00732E43" w:rsidP="00732E43">
            <w:pPr>
              <w:spacing w:after="200" w:line="240" w:lineRule="exact"/>
              <w:jc w:val="center"/>
              <w:cnfStyle w:val="000000000000"/>
              <w:rPr>
                <w:rFonts w:asciiTheme="minorHAnsi" w:eastAsia="Times New Roman" w:hAnsiTheme="minorHAnsi" w:cstheme="minorHAnsi"/>
                <w:color w:val="000000"/>
                <w:sz w:val="20"/>
                <w:szCs w:val="20"/>
              </w:rPr>
            </w:pPr>
            <w:r w:rsidRPr="004927D7">
              <w:rPr>
                <w:rFonts w:asciiTheme="minorHAnsi" w:eastAsia="Times New Roman" w:hAnsiTheme="minorHAnsi" w:cstheme="minorHAnsi"/>
                <w:color w:val="000000"/>
                <w:sz w:val="20"/>
                <w:szCs w:val="20"/>
              </w:rPr>
              <w:t>2347,61</w:t>
            </w:r>
          </w:p>
        </w:tc>
        <w:tc>
          <w:tcPr>
            <w:tcW w:w="1071" w:type="dxa"/>
            <w:noWrap/>
            <w:hideMark/>
          </w:tcPr>
          <w:p w:rsidR="00732E43" w:rsidRPr="004927D7" w:rsidRDefault="00732E43" w:rsidP="00732E43">
            <w:pPr>
              <w:spacing w:after="200" w:line="240" w:lineRule="exact"/>
              <w:jc w:val="center"/>
              <w:cnfStyle w:val="000000000000"/>
              <w:rPr>
                <w:rFonts w:asciiTheme="minorHAnsi" w:eastAsia="Times New Roman" w:hAnsiTheme="minorHAnsi" w:cstheme="minorHAnsi"/>
                <w:color w:val="000000"/>
                <w:sz w:val="20"/>
                <w:szCs w:val="20"/>
              </w:rPr>
            </w:pPr>
            <w:r w:rsidRPr="004927D7">
              <w:rPr>
                <w:rFonts w:asciiTheme="minorHAnsi" w:eastAsia="Times New Roman" w:hAnsiTheme="minorHAnsi" w:cstheme="minorHAnsi"/>
                <w:color w:val="000000"/>
                <w:sz w:val="20"/>
                <w:szCs w:val="20"/>
              </w:rPr>
              <w:t>1761,10</w:t>
            </w:r>
          </w:p>
        </w:tc>
        <w:tc>
          <w:tcPr>
            <w:tcW w:w="837" w:type="dxa"/>
            <w:noWrap/>
            <w:hideMark/>
          </w:tcPr>
          <w:p w:rsidR="00732E43" w:rsidRPr="004927D7" w:rsidRDefault="00732E43" w:rsidP="00732E43">
            <w:pPr>
              <w:spacing w:after="200" w:line="240" w:lineRule="exact"/>
              <w:jc w:val="center"/>
              <w:cnfStyle w:val="000000000000"/>
              <w:rPr>
                <w:rFonts w:asciiTheme="minorHAnsi" w:eastAsia="Times New Roman" w:hAnsiTheme="minorHAnsi" w:cstheme="minorHAnsi"/>
                <w:color w:val="000000"/>
                <w:sz w:val="20"/>
                <w:szCs w:val="20"/>
              </w:rPr>
            </w:pPr>
            <w:r w:rsidRPr="004927D7">
              <w:rPr>
                <w:rFonts w:asciiTheme="minorHAnsi" w:eastAsia="Times New Roman" w:hAnsiTheme="minorHAnsi" w:cstheme="minorHAnsi"/>
                <w:color w:val="000000"/>
                <w:sz w:val="20"/>
                <w:szCs w:val="20"/>
              </w:rPr>
              <w:t>1761,10</w:t>
            </w:r>
          </w:p>
        </w:tc>
      </w:tr>
      <w:tr w:rsidR="004927D7" w:rsidRPr="00732E43" w:rsidTr="004927D7">
        <w:trPr>
          <w:cnfStyle w:val="000000100000"/>
          <w:trHeight w:val="254"/>
        </w:trPr>
        <w:tc>
          <w:tcPr>
            <w:cnfStyle w:val="001000000000"/>
            <w:tcW w:w="1053" w:type="dxa"/>
            <w:noWrap/>
            <w:hideMark/>
          </w:tcPr>
          <w:p w:rsidR="00732E43" w:rsidRPr="004927D7" w:rsidRDefault="00732E43" w:rsidP="00732E43">
            <w:pPr>
              <w:spacing w:after="200" w:line="240" w:lineRule="exact"/>
              <w:jc w:val="right"/>
              <w:rPr>
                <w:rFonts w:asciiTheme="minorHAnsi" w:eastAsia="Times New Roman" w:hAnsiTheme="minorHAnsi" w:cstheme="minorHAnsi"/>
                <w:color w:val="000000"/>
                <w:sz w:val="20"/>
                <w:szCs w:val="20"/>
              </w:rPr>
            </w:pPr>
            <w:r w:rsidRPr="004927D7">
              <w:rPr>
                <w:rFonts w:asciiTheme="minorHAnsi" w:eastAsia="Times New Roman" w:hAnsiTheme="minorHAnsi" w:cstheme="minorHAnsi"/>
                <w:color w:val="000000"/>
                <w:sz w:val="20"/>
                <w:szCs w:val="20"/>
              </w:rPr>
              <w:t>2 068,05</w:t>
            </w:r>
          </w:p>
        </w:tc>
        <w:tc>
          <w:tcPr>
            <w:tcW w:w="1270" w:type="dxa"/>
            <w:noWrap/>
            <w:hideMark/>
          </w:tcPr>
          <w:p w:rsidR="00732E43" w:rsidRPr="004927D7" w:rsidRDefault="00732E43" w:rsidP="00732E43">
            <w:pPr>
              <w:spacing w:after="200" w:line="240" w:lineRule="exact"/>
              <w:jc w:val="right"/>
              <w:cnfStyle w:val="000000100000"/>
              <w:rPr>
                <w:rFonts w:asciiTheme="minorHAnsi" w:eastAsia="Times New Roman" w:hAnsiTheme="minorHAnsi" w:cstheme="minorHAnsi"/>
                <w:color w:val="000000"/>
                <w:sz w:val="20"/>
                <w:szCs w:val="20"/>
              </w:rPr>
            </w:pPr>
            <w:r w:rsidRPr="004927D7">
              <w:rPr>
                <w:rFonts w:asciiTheme="minorHAnsi" w:eastAsia="Times New Roman" w:hAnsiTheme="minorHAnsi" w:cstheme="minorHAnsi"/>
                <w:color w:val="000000"/>
                <w:sz w:val="20"/>
                <w:szCs w:val="20"/>
              </w:rPr>
              <w:t>40,0</w:t>
            </w:r>
          </w:p>
        </w:tc>
        <w:tc>
          <w:tcPr>
            <w:tcW w:w="1726" w:type="dxa"/>
            <w:noWrap/>
            <w:hideMark/>
          </w:tcPr>
          <w:p w:rsidR="00732E43" w:rsidRPr="004927D7" w:rsidRDefault="00732E43" w:rsidP="00732E43">
            <w:pPr>
              <w:spacing w:after="200" w:line="240" w:lineRule="exact"/>
              <w:jc w:val="left"/>
              <w:cnfStyle w:val="000000100000"/>
              <w:rPr>
                <w:rFonts w:asciiTheme="minorHAnsi" w:eastAsia="Times New Roman" w:hAnsiTheme="minorHAnsi" w:cstheme="minorHAnsi"/>
                <w:color w:val="000000"/>
                <w:sz w:val="20"/>
                <w:szCs w:val="20"/>
              </w:rPr>
            </w:pPr>
            <w:r w:rsidRPr="004927D7">
              <w:rPr>
                <w:rFonts w:asciiTheme="minorHAnsi" w:eastAsia="Times New Roman" w:hAnsiTheme="minorHAnsi" w:cstheme="minorHAnsi"/>
                <w:color w:val="000000"/>
                <w:sz w:val="20"/>
                <w:szCs w:val="20"/>
              </w:rPr>
              <w:t>S+DM</w:t>
            </w:r>
          </w:p>
        </w:tc>
        <w:tc>
          <w:tcPr>
            <w:tcW w:w="1205" w:type="dxa"/>
            <w:noWrap/>
            <w:hideMark/>
          </w:tcPr>
          <w:p w:rsidR="00732E43" w:rsidRPr="004927D7" w:rsidRDefault="00732E43" w:rsidP="00732E43">
            <w:pPr>
              <w:spacing w:after="200" w:line="240" w:lineRule="exact"/>
              <w:jc w:val="center"/>
              <w:cnfStyle w:val="000000100000"/>
              <w:rPr>
                <w:rFonts w:asciiTheme="minorHAnsi" w:eastAsia="Times New Roman" w:hAnsiTheme="minorHAnsi" w:cstheme="minorHAnsi"/>
                <w:color w:val="000000"/>
                <w:sz w:val="20"/>
                <w:szCs w:val="20"/>
              </w:rPr>
            </w:pPr>
            <w:r w:rsidRPr="004927D7">
              <w:rPr>
                <w:rFonts w:asciiTheme="minorHAnsi" w:eastAsia="Times New Roman" w:hAnsiTheme="minorHAnsi" w:cstheme="minorHAnsi"/>
                <w:color w:val="000000"/>
                <w:sz w:val="20"/>
                <w:szCs w:val="20"/>
              </w:rPr>
              <w:t>1572,00</w:t>
            </w:r>
          </w:p>
        </w:tc>
        <w:tc>
          <w:tcPr>
            <w:tcW w:w="837" w:type="dxa"/>
            <w:noWrap/>
            <w:hideMark/>
          </w:tcPr>
          <w:p w:rsidR="00732E43" w:rsidRPr="004927D7" w:rsidRDefault="00732E43" w:rsidP="00732E43">
            <w:pPr>
              <w:spacing w:after="200" w:line="240" w:lineRule="exact"/>
              <w:jc w:val="center"/>
              <w:cnfStyle w:val="000000100000"/>
              <w:rPr>
                <w:rFonts w:asciiTheme="minorHAnsi" w:eastAsia="Times New Roman" w:hAnsiTheme="minorHAnsi" w:cstheme="minorHAnsi"/>
                <w:color w:val="000000"/>
                <w:sz w:val="20"/>
                <w:szCs w:val="20"/>
              </w:rPr>
            </w:pPr>
            <w:r w:rsidRPr="004927D7">
              <w:rPr>
                <w:rFonts w:asciiTheme="minorHAnsi" w:eastAsia="Times New Roman" w:hAnsiTheme="minorHAnsi" w:cstheme="minorHAnsi"/>
                <w:color w:val="000000"/>
                <w:sz w:val="20"/>
                <w:szCs w:val="20"/>
              </w:rPr>
              <w:t>3144,00</w:t>
            </w:r>
          </w:p>
        </w:tc>
        <w:tc>
          <w:tcPr>
            <w:tcW w:w="1134" w:type="dxa"/>
            <w:noWrap/>
            <w:hideMark/>
          </w:tcPr>
          <w:p w:rsidR="00732E43" w:rsidRPr="004927D7" w:rsidRDefault="00732E43" w:rsidP="00732E43">
            <w:pPr>
              <w:spacing w:after="200" w:line="240" w:lineRule="exact"/>
              <w:jc w:val="center"/>
              <w:cnfStyle w:val="000000100000"/>
              <w:rPr>
                <w:rFonts w:asciiTheme="minorHAnsi" w:eastAsia="Times New Roman" w:hAnsiTheme="minorHAnsi" w:cstheme="minorHAnsi"/>
                <w:color w:val="000000"/>
                <w:sz w:val="20"/>
                <w:szCs w:val="20"/>
              </w:rPr>
            </w:pPr>
            <w:r w:rsidRPr="004927D7">
              <w:rPr>
                <w:rFonts w:asciiTheme="minorHAnsi" w:eastAsia="Times New Roman" w:hAnsiTheme="minorHAnsi" w:cstheme="minorHAnsi"/>
                <w:color w:val="000000"/>
                <w:sz w:val="20"/>
                <w:szCs w:val="20"/>
              </w:rPr>
              <w:t>1847,30</w:t>
            </w:r>
          </w:p>
        </w:tc>
        <w:tc>
          <w:tcPr>
            <w:tcW w:w="837" w:type="dxa"/>
            <w:noWrap/>
            <w:hideMark/>
          </w:tcPr>
          <w:p w:rsidR="00732E43" w:rsidRPr="004927D7" w:rsidRDefault="00732E43" w:rsidP="00732E43">
            <w:pPr>
              <w:spacing w:after="200" w:line="240" w:lineRule="exact"/>
              <w:jc w:val="center"/>
              <w:cnfStyle w:val="000000100000"/>
              <w:rPr>
                <w:rFonts w:asciiTheme="minorHAnsi" w:eastAsia="Times New Roman" w:hAnsiTheme="minorHAnsi" w:cstheme="minorHAnsi"/>
                <w:color w:val="000000"/>
                <w:sz w:val="20"/>
                <w:szCs w:val="20"/>
              </w:rPr>
            </w:pPr>
            <w:r w:rsidRPr="004927D7">
              <w:rPr>
                <w:rFonts w:asciiTheme="minorHAnsi" w:eastAsia="Times New Roman" w:hAnsiTheme="minorHAnsi" w:cstheme="minorHAnsi"/>
                <w:color w:val="000000"/>
                <w:sz w:val="20"/>
                <w:szCs w:val="20"/>
              </w:rPr>
              <w:t>3694,61</w:t>
            </w:r>
          </w:p>
        </w:tc>
        <w:tc>
          <w:tcPr>
            <w:tcW w:w="1071" w:type="dxa"/>
            <w:noWrap/>
            <w:hideMark/>
          </w:tcPr>
          <w:p w:rsidR="00732E43" w:rsidRPr="004927D7" w:rsidRDefault="00732E43" w:rsidP="00732E43">
            <w:pPr>
              <w:spacing w:after="200" w:line="240" w:lineRule="exact"/>
              <w:jc w:val="center"/>
              <w:cnfStyle w:val="000000100000"/>
              <w:rPr>
                <w:rFonts w:asciiTheme="minorHAnsi" w:eastAsia="Times New Roman" w:hAnsiTheme="minorHAnsi" w:cstheme="minorHAnsi"/>
                <w:color w:val="000000"/>
                <w:sz w:val="20"/>
                <w:szCs w:val="20"/>
              </w:rPr>
            </w:pPr>
            <w:r w:rsidRPr="004927D7">
              <w:rPr>
                <w:rFonts w:asciiTheme="minorHAnsi" w:eastAsia="Times New Roman" w:hAnsiTheme="minorHAnsi" w:cstheme="minorHAnsi"/>
                <w:color w:val="000000"/>
                <w:sz w:val="20"/>
                <w:szCs w:val="20"/>
              </w:rPr>
              <w:t>1456,30</w:t>
            </w:r>
          </w:p>
        </w:tc>
        <w:tc>
          <w:tcPr>
            <w:tcW w:w="837" w:type="dxa"/>
            <w:noWrap/>
            <w:hideMark/>
          </w:tcPr>
          <w:p w:rsidR="00732E43" w:rsidRPr="004927D7" w:rsidRDefault="00732E43" w:rsidP="00732E43">
            <w:pPr>
              <w:spacing w:after="200" w:line="240" w:lineRule="exact"/>
              <w:jc w:val="center"/>
              <w:cnfStyle w:val="000000100000"/>
              <w:rPr>
                <w:rFonts w:asciiTheme="minorHAnsi" w:eastAsia="Times New Roman" w:hAnsiTheme="minorHAnsi" w:cstheme="minorHAnsi"/>
                <w:color w:val="000000"/>
                <w:sz w:val="20"/>
                <w:szCs w:val="20"/>
              </w:rPr>
            </w:pPr>
            <w:r w:rsidRPr="004927D7">
              <w:rPr>
                <w:rFonts w:asciiTheme="minorHAnsi" w:eastAsia="Times New Roman" w:hAnsiTheme="minorHAnsi" w:cstheme="minorHAnsi"/>
                <w:color w:val="000000"/>
                <w:sz w:val="20"/>
                <w:szCs w:val="20"/>
              </w:rPr>
              <w:t>2912,59</w:t>
            </w:r>
          </w:p>
        </w:tc>
      </w:tr>
      <w:tr w:rsidR="004927D7" w:rsidRPr="00732E43" w:rsidTr="004927D7">
        <w:trPr>
          <w:trHeight w:val="254"/>
        </w:trPr>
        <w:tc>
          <w:tcPr>
            <w:cnfStyle w:val="001000000000"/>
            <w:tcW w:w="1053" w:type="dxa"/>
            <w:noWrap/>
            <w:hideMark/>
          </w:tcPr>
          <w:p w:rsidR="00732E43" w:rsidRPr="004927D7" w:rsidRDefault="00732E43" w:rsidP="00732E43">
            <w:pPr>
              <w:spacing w:after="200" w:line="240" w:lineRule="exact"/>
              <w:jc w:val="right"/>
              <w:rPr>
                <w:rFonts w:asciiTheme="minorHAnsi" w:eastAsia="Times New Roman" w:hAnsiTheme="minorHAnsi" w:cstheme="minorHAnsi"/>
                <w:color w:val="000000"/>
                <w:sz w:val="20"/>
                <w:szCs w:val="20"/>
              </w:rPr>
            </w:pPr>
            <w:r w:rsidRPr="004927D7">
              <w:rPr>
                <w:rFonts w:asciiTheme="minorHAnsi" w:eastAsia="Times New Roman" w:hAnsiTheme="minorHAnsi" w:cstheme="minorHAnsi"/>
                <w:color w:val="000000"/>
                <w:sz w:val="20"/>
                <w:szCs w:val="20"/>
              </w:rPr>
              <w:t>2 709,66</w:t>
            </w:r>
          </w:p>
        </w:tc>
        <w:tc>
          <w:tcPr>
            <w:tcW w:w="1270" w:type="dxa"/>
            <w:noWrap/>
            <w:hideMark/>
          </w:tcPr>
          <w:p w:rsidR="00732E43" w:rsidRPr="004927D7" w:rsidRDefault="00732E43" w:rsidP="00732E43">
            <w:pPr>
              <w:spacing w:after="200" w:line="240" w:lineRule="exact"/>
              <w:jc w:val="right"/>
              <w:cnfStyle w:val="000000000000"/>
              <w:rPr>
                <w:rFonts w:asciiTheme="minorHAnsi" w:eastAsia="Times New Roman" w:hAnsiTheme="minorHAnsi" w:cstheme="minorHAnsi"/>
                <w:color w:val="000000"/>
                <w:sz w:val="20"/>
                <w:szCs w:val="20"/>
              </w:rPr>
            </w:pPr>
            <w:r w:rsidRPr="004927D7">
              <w:rPr>
                <w:rFonts w:asciiTheme="minorHAnsi" w:eastAsia="Times New Roman" w:hAnsiTheme="minorHAnsi" w:cstheme="minorHAnsi"/>
                <w:color w:val="000000"/>
                <w:sz w:val="20"/>
                <w:szCs w:val="20"/>
              </w:rPr>
              <w:t>50,0</w:t>
            </w:r>
          </w:p>
        </w:tc>
        <w:tc>
          <w:tcPr>
            <w:tcW w:w="1726" w:type="dxa"/>
            <w:noWrap/>
            <w:hideMark/>
          </w:tcPr>
          <w:p w:rsidR="00732E43" w:rsidRPr="004927D7" w:rsidRDefault="00732E43" w:rsidP="00732E43">
            <w:pPr>
              <w:spacing w:after="200" w:line="240" w:lineRule="exact"/>
              <w:jc w:val="left"/>
              <w:cnfStyle w:val="000000000000"/>
              <w:rPr>
                <w:rFonts w:asciiTheme="minorHAnsi" w:eastAsia="Times New Roman" w:hAnsiTheme="minorHAnsi" w:cstheme="minorHAnsi"/>
                <w:color w:val="000000"/>
                <w:sz w:val="20"/>
                <w:szCs w:val="20"/>
              </w:rPr>
            </w:pPr>
            <w:r w:rsidRPr="004927D7">
              <w:rPr>
                <w:rFonts w:asciiTheme="minorHAnsi" w:eastAsia="Times New Roman" w:hAnsiTheme="minorHAnsi" w:cstheme="minorHAnsi"/>
                <w:color w:val="000000"/>
                <w:sz w:val="20"/>
                <w:szCs w:val="20"/>
              </w:rPr>
              <w:t>S+DM+DM</w:t>
            </w:r>
          </w:p>
        </w:tc>
        <w:tc>
          <w:tcPr>
            <w:tcW w:w="1205" w:type="dxa"/>
            <w:noWrap/>
            <w:hideMark/>
          </w:tcPr>
          <w:p w:rsidR="00732E43" w:rsidRPr="004927D7" w:rsidRDefault="00732E43" w:rsidP="00732E43">
            <w:pPr>
              <w:spacing w:after="200" w:line="240" w:lineRule="exact"/>
              <w:jc w:val="center"/>
              <w:cnfStyle w:val="000000000000"/>
              <w:rPr>
                <w:rFonts w:asciiTheme="minorHAnsi" w:eastAsia="Times New Roman" w:hAnsiTheme="minorHAnsi" w:cstheme="minorHAnsi"/>
                <w:color w:val="000000"/>
                <w:sz w:val="20"/>
                <w:szCs w:val="20"/>
              </w:rPr>
            </w:pPr>
            <w:r w:rsidRPr="004927D7">
              <w:rPr>
                <w:rFonts w:asciiTheme="minorHAnsi" w:eastAsia="Times New Roman" w:hAnsiTheme="minorHAnsi" w:cstheme="minorHAnsi"/>
                <w:color w:val="000000"/>
                <w:sz w:val="20"/>
                <w:szCs w:val="20"/>
              </w:rPr>
              <w:t>1351,53</w:t>
            </w:r>
          </w:p>
        </w:tc>
        <w:tc>
          <w:tcPr>
            <w:tcW w:w="837" w:type="dxa"/>
            <w:noWrap/>
            <w:hideMark/>
          </w:tcPr>
          <w:p w:rsidR="00732E43" w:rsidRPr="004927D7" w:rsidRDefault="00732E43" w:rsidP="00732E43">
            <w:pPr>
              <w:spacing w:after="200" w:line="240" w:lineRule="exact"/>
              <w:jc w:val="center"/>
              <w:cnfStyle w:val="000000000000"/>
              <w:rPr>
                <w:rFonts w:asciiTheme="minorHAnsi" w:eastAsia="Times New Roman" w:hAnsiTheme="minorHAnsi" w:cstheme="minorHAnsi"/>
                <w:color w:val="000000"/>
                <w:sz w:val="20"/>
                <w:szCs w:val="20"/>
              </w:rPr>
            </w:pPr>
            <w:r w:rsidRPr="004927D7">
              <w:rPr>
                <w:rFonts w:asciiTheme="minorHAnsi" w:eastAsia="Times New Roman" w:hAnsiTheme="minorHAnsi" w:cstheme="minorHAnsi"/>
                <w:color w:val="000000"/>
                <w:sz w:val="20"/>
                <w:szCs w:val="20"/>
              </w:rPr>
              <w:t>4054,58</w:t>
            </w:r>
          </w:p>
        </w:tc>
        <w:tc>
          <w:tcPr>
            <w:tcW w:w="1134" w:type="dxa"/>
            <w:noWrap/>
            <w:hideMark/>
          </w:tcPr>
          <w:p w:rsidR="00732E43" w:rsidRPr="004927D7" w:rsidRDefault="00732E43" w:rsidP="00732E43">
            <w:pPr>
              <w:spacing w:after="200" w:line="240" w:lineRule="exact"/>
              <w:jc w:val="center"/>
              <w:cnfStyle w:val="000000000000"/>
              <w:rPr>
                <w:rFonts w:asciiTheme="minorHAnsi" w:eastAsia="Times New Roman" w:hAnsiTheme="minorHAnsi" w:cstheme="minorHAnsi"/>
                <w:color w:val="000000"/>
                <w:sz w:val="20"/>
                <w:szCs w:val="20"/>
              </w:rPr>
            </w:pPr>
            <w:r w:rsidRPr="004927D7">
              <w:rPr>
                <w:rFonts w:asciiTheme="minorHAnsi" w:eastAsia="Times New Roman" w:hAnsiTheme="minorHAnsi" w:cstheme="minorHAnsi"/>
                <w:color w:val="000000"/>
                <w:sz w:val="20"/>
                <w:szCs w:val="20"/>
              </w:rPr>
              <w:t>1580,95</w:t>
            </w:r>
          </w:p>
        </w:tc>
        <w:tc>
          <w:tcPr>
            <w:tcW w:w="837" w:type="dxa"/>
            <w:noWrap/>
            <w:hideMark/>
          </w:tcPr>
          <w:p w:rsidR="00732E43" w:rsidRPr="004927D7" w:rsidRDefault="00732E43" w:rsidP="00732E43">
            <w:pPr>
              <w:spacing w:after="200" w:line="240" w:lineRule="exact"/>
              <w:jc w:val="center"/>
              <w:cnfStyle w:val="000000000000"/>
              <w:rPr>
                <w:rFonts w:asciiTheme="minorHAnsi" w:eastAsia="Times New Roman" w:hAnsiTheme="minorHAnsi" w:cstheme="minorHAnsi"/>
                <w:color w:val="000000"/>
                <w:sz w:val="20"/>
                <w:szCs w:val="20"/>
              </w:rPr>
            </w:pPr>
            <w:r w:rsidRPr="004927D7">
              <w:rPr>
                <w:rFonts w:asciiTheme="minorHAnsi" w:eastAsia="Times New Roman" w:hAnsiTheme="minorHAnsi" w:cstheme="minorHAnsi"/>
                <w:color w:val="000000"/>
                <w:sz w:val="20"/>
                <w:szCs w:val="20"/>
              </w:rPr>
              <w:t>4742,85</w:t>
            </w:r>
          </w:p>
        </w:tc>
        <w:tc>
          <w:tcPr>
            <w:tcW w:w="1071" w:type="dxa"/>
            <w:noWrap/>
            <w:hideMark/>
          </w:tcPr>
          <w:p w:rsidR="00732E43" w:rsidRPr="004927D7" w:rsidRDefault="00732E43" w:rsidP="00732E43">
            <w:pPr>
              <w:spacing w:after="200" w:line="240" w:lineRule="exact"/>
              <w:jc w:val="center"/>
              <w:cnfStyle w:val="000000000000"/>
              <w:rPr>
                <w:rFonts w:asciiTheme="minorHAnsi" w:eastAsia="Times New Roman" w:hAnsiTheme="minorHAnsi" w:cstheme="minorHAnsi"/>
                <w:color w:val="000000"/>
                <w:sz w:val="20"/>
                <w:szCs w:val="20"/>
              </w:rPr>
            </w:pPr>
            <w:r w:rsidRPr="004927D7">
              <w:rPr>
                <w:rFonts w:asciiTheme="minorHAnsi" w:eastAsia="Times New Roman" w:hAnsiTheme="minorHAnsi" w:cstheme="minorHAnsi"/>
                <w:color w:val="000000"/>
                <w:sz w:val="20"/>
                <w:szCs w:val="20"/>
              </w:rPr>
              <w:t>1255,11</w:t>
            </w:r>
          </w:p>
        </w:tc>
        <w:tc>
          <w:tcPr>
            <w:tcW w:w="837" w:type="dxa"/>
            <w:noWrap/>
            <w:hideMark/>
          </w:tcPr>
          <w:p w:rsidR="00732E43" w:rsidRPr="004927D7" w:rsidRDefault="00732E43" w:rsidP="00732E43">
            <w:pPr>
              <w:spacing w:after="200" w:line="240" w:lineRule="exact"/>
              <w:jc w:val="center"/>
              <w:cnfStyle w:val="000000000000"/>
              <w:rPr>
                <w:rFonts w:asciiTheme="minorHAnsi" w:eastAsia="Times New Roman" w:hAnsiTheme="minorHAnsi" w:cstheme="minorHAnsi"/>
                <w:color w:val="000000"/>
                <w:sz w:val="20"/>
                <w:szCs w:val="20"/>
              </w:rPr>
            </w:pPr>
            <w:r w:rsidRPr="004927D7">
              <w:rPr>
                <w:rFonts w:asciiTheme="minorHAnsi" w:eastAsia="Times New Roman" w:hAnsiTheme="minorHAnsi" w:cstheme="minorHAnsi"/>
                <w:color w:val="000000"/>
                <w:sz w:val="20"/>
                <w:szCs w:val="20"/>
              </w:rPr>
              <w:t>3765,33</w:t>
            </w:r>
          </w:p>
        </w:tc>
      </w:tr>
      <w:tr w:rsidR="004927D7" w:rsidRPr="00732E43" w:rsidTr="004927D7">
        <w:trPr>
          <w:cnfStyle w:val="000000100000"/>
          <w:trHeight w:val="254"/>
        </w:trPr>
        <w:tc>
          <w:tcPr>
            <w:cnfStyle w:val="001000000000"/>
            <w:tcW w:w="1053" w:type="dxa"/>
            <w:noWrap/>
            <w:hideMark/>
          </w:tcPr>
          <w:p w:rsidR="00732E43" w:rsidRPr="004927D7" w:rsidRDefault="00732E43" w:rsidP="00732E43">
            <w:pPr>
              <w:spacing w:after="200" w:line="240" w:lineRule="exact"/>
              <w:jc w:val="right"/>
              <w:rPr>
                <w:rFonts w:asciiTheme="minorHAnsi" w:eastAsia="Times New Roman" w:hAnsiTheme="minorHAnsi" w:cstheme="minorHAnsi"/>
                <w:color w:val="000000"/>
                <w:sz w:val="20"/>
                <w:szCs w:val="20"/>
              </w:rPr>
            </w:pPr>
            <w:r w:rsidRPr="004927D7">
              <w:rPr>
                <w:rFonts w:asciiTheme="minorHAnsi" w:eastAsia="Times New Roman" w:hAnsiTheme="minorHAnsi" w:cstheme="minorHAnsi"/>
                <w:color w:val="000000"/>
                <w:sz w:val="20"/>
                <w:szCs w:val="20"/>
              </w:rPr>
              <w:t>3 523,84</w:t>
            </w:r>
          </w:p>
        </w:tc>
        <w:tc>
          <w:tcPr>
            <w:tcW w:w="1270" w:type="dxa"/>
            <w:noWrap/>
            <w:hideMark/>
          </w:tcPr>
          <w:p w:rsidR="00732E43" w:rsidRPr="004927D7" w:rsidRDefault="00732E43" w:rsidP="00732E43">
            <w:pPr>
              <w:spacing w:after="200" w:line="240" w:lineRule="exact"/>
              <w:jc w:val="right"/>
              <w:cnfStyle w:val="000000100000"/>
              <w:rPr>
                <w:rFonts w:asciiTheme="minorHAnsi" w:eastAsia="Times New Roman" w:hAnsiTheme="minorHAnsi" w:cstheme="minorHAnsi"/>
                <w:color w:val="000000"/>
                <w:sz w:val="20"/>
                <w:szCs w:val="20"/>
              </w:rPr>
            </w:pPr>
            <w:r w:rsidRPr="004927D7">
              <w:rPr>
                <w:rFonts w:asciiTheme="minorHAnsi" w:eastAsia="Times New Roman" w:hAnsiTheme="minorHAnsi" w:cstheme="minorHAnsi"/>
                <w:color w:val="000000"/>
                <w:sz w:val="20"/>
                <w:szCs w:val="20"/>
              </w:rPr>
              <w:t>60,0</w:t>
            </w:r>
          </w:p>
        </w:tc>
        <w:tc>
          <w:tcPr>
            <w:tcW w:w="1726" w:type="dxa"/>
            <w:noWrap/>
            <w:hideMark/>
          </w:tcPr>
          <w:p w:rsidR="00732E43" w:rsidRPr="004927D7" w:rsidRDefault="00732E43" w:rsidP="00732E43">
            <w:pPr>
              <w:spacing w:after="200" w:line="240" w:lineRule="exact"/>
              <w:jc w:val="left"/>
              <w:cnfStyle w:val="000000100000"/>
              <w:rPr>
                <w:rFonts w:asciiTheme="minorHAnsi" w:eastAsia="Times New Roman" w:hAnsiTheme="minorHAnsi" w:cstheme="minorHAnsi"/>
                <w:color w:val="000000"/>
                <w:sz w:val="20"/>
                <w:szCs w:val="20"/>
              </w:rPr>
            </w:pPr>
            <w:r w:rsidRPr="004927D7">
              <w:rPr>
                <w:rFonts w:asciiTheme="minorHAnsi" w:eastAsia="Times New Roman" w:hAnsiTheme="minorHAnsi" w:cstheme="minorHAnsi"/>
                <w:color w:val="000000"/>
                <w:sz w:val="20"/>
                <w:szCs w:val="20"/>
              </w:rPr>
              <w:t>S+DS+DM+DM</w:t>
            </w:r>
          </w:p>
        </w:tc>
        <w:tc>
          <w:tcPr>
            <w:tcW w:w="1205" w:type="dxa"/>
            <w:noWrap/>
            <w:hideMark/>
          </w:tcPr>
          <w:p w:rsidR="00732E43" w:rsidRPr="004927D7" w:rsidRDefault="00732E43" w:rsidP="00732E43">
            <w:pPr>
              <w:spacing w:after="200" w:line="240" w:lineRule="exact"/>
              <w:jc w:val="center"/>
              <w:cnfStyle w:val="000000100000"/>
              <w:rPr>
                <w:rFonts w:asciiTheme="minorHAnsi" w:eastAsia="Times New Roman" w:hAnsiTheme="minorHAnsi" w:cstheme="minorHAnsi"/>
                <w:color w:val="000000"/>
                <w:sz w:val="20"/>
                <w:szCs w:val="20"/>
              </w:rPr>
            </w:pPr>
            <w:r w:rsidRPr="004927D7">
              <w:rPr>
                <w:rFonts w:asciiTheme="minorHAnsi" w:eastAsia="Times New Roman" w:hAnsiTheme="minorHAnsi" w:cstheme="minorHAnsi"/>
                <w:color w:val="000000"/>
                <w:sz w:val="20"/>
                <w:szCs w:val="20"/>
              </w:rPr>
              <w:t>1284,44</w:t>
            </w:r>
          </w:p>
        </w:tc>
        <w:tc>
          <w:tcPr>
            <w:tcW w:w="837" w:type="dxa"/>
            <w:noWrap/>
            <w:hideMark/>
          </w:tcPr>
          <w:p w:rsidR="00732E43" w:rsidRPr="004927D7" w:rsidRDefault="00732E43" w:rsidP="00732E43">
            <w:pPr>
              <w:spacing w:after="200" w:line="240" w:lineRule="exact"/>
              <w:jc w:val="center"/>
              <w:cnfStyle w:val="000000100000"/>
              <w:rPr>
                <w:rFonts w:asciiTheme="minorHAnsi" w:eastAsia="Times New Roman" w:hAnsiTheme="minorHAnsi" w:cstheme="minorHAnsi"/>
                <w:color w:val="000000"/>
                <w:sz w:val="20"/>
                <w:szCs w:val="20"/>
              </w:rPr>
            </w:pPr>
            <w:r w:rsidRPr="004927D7">
              <w:rPr>
                <w:rFonts w:asciiTheme="minorHAnsi" w:eastAsia="Times New Roman" w:hAnsiTheme="minorHAnsi" w:cstheme="minorHAnsi"/>
                <w:color w:val="000000"/>
                <w:sz w:val="20"/>
                <w:szCs w:val="20"/>
              </w:rPr>
              <w:t>5137,75</w:t>
            </w:r>
          </w:p>
        </w:tc>
        <w:tc>
          <w:tcPr>
            <w:tcW w:w="1134" w:type="dxa"/>
            <w:noWrap/>
            <w:hideMark/>
          </w:tcPr>
          <w:p w:rsidR="00732E43" w:rsidRPr="004927D7" w:rsidRDefault="00732E43" w:rsidP="00732E43">
            <w:pPr>
              <w:spacing w:after="200" w:line="240" w:lineRule="exact"/>
              <w:jc w:val="center"/>
              <w:cnfStyle w:val="000000100000"/>
              <w:rPr>
                <w:rFonts w:asciiTheme="minorHAnsi" w:eastAsia="Times New Roman" w:hAnsiTheme="minorHAnsi" w:cstheme="minorHAnsi"/>
                <w:color w:val="000000"/>
                <w:sz w:val="20"/>
                <w:szCs w:val="20"/>
              </w:rPr>
            </w:pPr>
            <w:r w:rsidRPr="004927D7">
              <w:rPr>
                <w:rFonts w:asciiTheme="minorHAnsi" w:eastAsia="Times New Roman" w:hAnsiTheme="minorHAnsi" w:cstheme="minorHAnsi"/>
                <w:color w:val="000000"/>
                <w:sz w:val="20"/>
                <w:szCs w:val="20"/>
              </w:rPr>
              <w:t>1490,92</w:t>
            </w:r>
          </w:p>
        </w:tc>
        <w:tc>
          <w:tcPr>
            <w:tcW w:w="837" w:type="dxa"/>
            <w:noWrap/>
            <w:hideMark/>
          </w:tcPr>
          <w:p w:rsidR="00732E43" w:rsidRPr="004927D7" w:rsidRDefault="00732E43" w:rsidP="00732E43">
            <w:pPr>
              <w:spacing w:after="200" w:line="240" w:lineRule="exact"/>
              <w:jc w:val="center"/>
              <w:cnfStyle w:val="000000100000"/>
              <w:rPr>
                <w:rFonts w:asciiTheme="minorHAnsi" w:eastAsia="Times New Roman" w:hAnsiTheme="minorHAnsi" w:cstheme="minorHAnsi"/>
                <w:color w:val="000000"/>
                <w:sz w:val="20"/>
                <w:szCs w:val="20"/>
              </w:rPr>
            </w:pPr>
            <w:r w:rsidRPr="004927D7">
              <w:rPr>
                <w:rFonts w:asciiTheme="minorHAnsi" w:eastAsia="Times New Roman" w:hAnsiTheme="minorHAnsi" w:cstheme="minorHAnsi"/>
                <w:color w:val="000000"/>
                <w:sz w:val="20"/>
                <w:szCs w:val="20"/>
              </w:rPr>
              <w:t>5963,67</w:t>
            </w:r>
          </w:p>
        </w:tc>
        <w:tc>
          <w:tcPr>
            <w:tcW w:w="1071" w:type="dxa"/>
            <w:noWrap/>
            <w:hideMark/>
          </w:tcPr>
          <w:p w:rsidR="00732E43" w:rsidRPr="004927D7" w:rsidRDefault="00732E43" w:rsidP="00732E43">
            <w:pPr>
              <w:spacing w:after="200" w:line="240" w:lineRule="exact"/>
              <w:jc w:val="center"/>
              <w:cnfStyle w:val="000000100000"/>
              <w:rPr>
                <w:rFonts w:asciiTheme="minorHAnsi" w:eastAsia="Times New Roman" w:hAnsiTheme="minorHAnsi" w:cstheme="minorHAnsi"/>
                <w:color w:val="000000"/>
                <w:sz w:val="20"/>
                <w:szCs w:val="20"/>
              </w:rPr>
            </w:pPr>
            <w:r w:rsidRPr="004927D7">
              <w:rPr>
                <w:rFonts w:asciiTheme="minorHAnsi" w:eastAsia="Times New Roman" w:hAnsiTheme="minorHAnsi" w:cstheme="minorHAnsi"/>
                <w:color w:val="000000"/>
                <w:sz w:val="20"/>
                <w:szCs w:val="20"/>
              </w:rPr>
              <w:t>1197,66</w:t>
            </w:r>
          </w:p>
        </w:tc>
        <w:tc>
          <w:tcPr>
            <w:tcW w:w="837" w:type="dxa"/>
            <w:noWrap/>
            <w:hideMark/>
          </w:tcPr>
          <w:p w:rsidR="00732E43" w:rsidRPr="004927D7" w:rsidRDefault="00732E43" w:rsidP="00732E43">
            <w:pPr>
              <w:spacing w:after="200" w:line="240" w:lineRule="exact"/>
              <w:jc w:val="center"/>
              <w:cnfStyle w:val="000000100000"/>
              <w:rPr>
                <w:rFonts w:asciiTheme="minorHAnsi" w:eastAsia="Times New Roman" w:hAnsiTheme="minorHAnsi" w:cstheme="minorHAnsi"/>
                <w:color w:val="000000"/>
                <w:sz w:val="20"/>
                <w:szCs w:val="20"/>
              </w:rPr>
            </w:pPr>
            <w:r w:rsidRPr="004927D7">
              <w:rPr>
                <w:rFonts w:asciiTheme="minorHAnsi" w:eastAsia="Times New Roman" w:hAnsiTheme="minorHAnsi" w:cstheme="minorHAnsi"/>
                <w:color w:val="000000"/>
                <w:sz w:val="20"/>
                <w:szCs w:val="20"/>
              </w:rPr>
              <w:t>4790,65</w:t>
            </w:r>
          </w:p>
        </w:tc>
      </w:tr>
      <w:tr w:rsidR="004927D7" w:rsidRPr="00732E43" w:rsidTr="004927D7">
        <w:trPr>
          <w:trHeight w:val="254"/>
        </w:trPr>
        <w:tc>
          <w:tcPr>
            <w:cnfStyle w:val="001000000000"/>
            <w:tcW w:w="1053" w:type="dxa"/>
            <w:noWrap/>
            <w:hideMark/>
          </w:tcPr>
          <w:p w:rsidR="00732E43" w:rsidRPr="004927D7" w:rsidRDefault="00732E43" w:rsidP="00732E43">
            <w:pPr>
              <w:spacing w:after="200" w:line="240" w:lineRule="exact"/>
              <w:jc w:val="right"/>
              <w:rPr>
                <w:rFonts w:asciiTheme="minorHAnsi" w:eastAsia="Times New Roman" w:hAnsiTheme="minorHAnsi" w:cstheme="minorHAnsi"/>
                <w:color w:val="000000"/>
                <w:sz w:val="20"/>
                <w:szCs w:val="20"/>
              </w:rPr>
            </w:pPr>
            <w:r w:rsidRPr="004927D7">
              <w:rPr>
                <w:rFonts w:asciiTheme="minorHAnsi" w:eastAsia="Times New Roman" w:hAnsiTheme="minorHAnsi" w:cstheme="minorHAnsi"/>
                <w:color w:val="000000"/>
                <w:sz w:val="20"/>
                <w:szCs w:val="20"/>
              </w:rPr>
              <w:t>4 333,25</w:t>
            </w:r>
          </w:p>
        </w:tc>
        <w:tc>
          <w:tcPr>
            <w:tcW w:w="1270" w:type="dxa"/>
            <w:noWrap/>
            <w:hideMark/>
          </w:tcPr>
          <w:p w:rsidR="00732E43" w:rsidRPr="004927D7" w:rsidRDefault="00732E43" w:rsidP="00732E43">
            <w:pPr>
              <w:spacing w:after="200" w:line="240" w:lineRule="exact"/>
              <w:jc w:val="right"/>
              <w:cnfStyle w:val="000000000000"/>
              <w:rPr>
                <w:rFonts w:asciiTheme="minorHAnsi" w:eastAsia="Times New Roman" w:hAnsiTheme="minorHAnsi" w:cstheme="minorHAnsi"/>
                <w:color w:val="000000"/>
                <w:sz w:val="20"/>
                <w:szCs w:val="20"/>
              </w:rPr>
            </w:pPr>
            <w:r w:rsidRPr="004927D7">
              <w:rPr>
                <w:rFonts w:asciiTheme="minorHAnsi" w:eastAsia="Times New Roman" w:hAnsiTheme="minorHAnsi" w:cstheme="minorHAnsi"/>
                <w:color w:val="000000"/>
                <w:sz w:val="20"/>
                <w:szCs w:val="20"/>
              </w:rPr>
              <w:t>70,0</w:t>
            </w:r>
          </w:p>
        </w:tc>
        <w:tc>
          <w:tcPr>
            <w:tcW w:w="1726" w:type="dxa"/>
            <w:noWrap/>
            <w:hideMark/>
          </w:tcPr>
          <w:p w:rsidR="00732E43" w:rsidRPr="004927D7" w:rsidRDefault="00732E43" w:rsidP="00732E43">
            <w:pPr>
              <w:spacing w:after="200" w:line="240" w:lineRule="exact"/>
              <w:jc w:val="left"/>
              <w:cnfStyle w:val="000000000000"/>
              <w:rPr>
                <w:rFonts w:asciiTheme="minorHAnsi" w:eastAsia="Times New Roman" w:hAnsiTheme="minorHAnsi" w:cstheme="minorHAnsi"/>
                <w:color w:val="000000"/>
                <w:sz w:val="20"/>
                <w:szCs w:val="20"/>
              </w:rPr>
            </w:pPr>
            <w:r w:rsidRPr="004927D7">
              <w:rPr>
                <w:rFonts w:asciiTheme="minorHAnsi" w:eastAsia="Times New Roman" w:hAnsiTheme="minorHAnsi" w:cstheme="minorHAnsi"/>
                <w:color w:val="000000"/>
                <w:sz w:val="20"/>
                <w:szCs w:val="20"/>
              </w:rPr>
              <w:t>S+DS+DS+DM+DM</w:t>
            </w:r>
          </w:p>
        </w:tc>
        <w:tc>
          <w:tcPr>
            <w:tcW w:w="1205" w:type="dxa"/>
            <w:noWrap/>
            <w:hideMark/>
          </w:tcPr>
          <w:p w:rsidR="00732E43" w:rsidRPr="004927D7" w:rsidRDefault="00732E43" w:rsidP="00732E43">
            <w:pPr>
              <w:spacing w:after="200" w:line="240" w:lineRule="exact"/>
              <w:jc w:val="center"/>
              <w:cnfStyle w:val="000000000000"/>
              <w:rPr>
                <w:rFonts w:asciiTheme="minorHAnsi" w:eastAsia="Times New Roman" w:hAnsiTheme="minorHAnsi" w:cstheme="minorHAnsi"/>
                <w:color w:val="000000"/>
                <w:sz w:val="20"/>
                <w:szCs w:val="20"/>
              </w:rPr>
            </w:pPr>
            <w:r w:rsidRPr="004927D7">
              <w:rPr>
                <w:rFonts w:asciiTheme="minorHAnsi" w:eastAsia="Times New Roman" w:hAnsiTheme="minorHAnsi" w:cstheme="minorHAnsi"/>
                <w:color w:val="000000"/>
                <w:sz w:val="20"/>
                <w:szCs w:val="20"/>
              </w:rPr>
              <w:t>1243,23</w:t>
            </w:r>
          </w:p>
        </w:tc>
        <w:tc>
          <w:tcPr>
            <w:tcW w:w="837" w:type="dxa"/>
            <w:noWrap/>
            <w:hideMark/>
          </w:tcPr>
          <w:p w:rsidR="00732E43" w:rsidRPr="004927D7" w:rsidRDefault="00732E43" w:rsidP="00732E43">
            <w:pPr>
              <w:spacing w:after="200" w:line="240" w:lineRule="exact"/>
              <w:jc w:val="center"/>
              <w:cnfStyle w:val="000000000000"/>
              <w:rPr>
                <w:rFonts w:asciiTheme="minorHAnsi" w:eastAsia="Times New Roman" w:hAnsiTheme="minorHAnsi" w:cstheme="minorHAnsi"/>
                <w:color w:val="000000"/>
                <w:sz w:val="20"/>
                <w:szCs w:val="20"/>
              </w:rPr>
            </w:pPr>
            <w:r w:rsidRPr="004927D7">
              <w:rPr>
                <w:rFonts w:asciiTheme="minorHAnsi" w:eastAsia="Times New Roman" w:hAnsiTheme="minorHAnsi" w:cstheme="minorHAnsi"/>
                <w:color w:val="000000"/>
                <w:sz w:val="20"/>
                <w:szCs w:val="20"/>
              </w:rPr>
              <w:t>6216,15</w:t>
            </w:r>
          </w:p>
        </w:tc>
        <w:tc>
          <w:tcPr>
            <w:tcW w:w="1134" w:type="dxa"/>
            <w:noWrap/>
            <w:hideMark/>
          </w:tcPr>
          <w:p w:rsidR="00732E43" w:rsidRPr="004927D7" w:rsidRDefault="00732E43" w:rsidP="00732E43">
            <w:pPr>
              <w:spacing w:after="200" w:line="240" w:lineRule="exact"/>
              <w:jc w:val="center"/>
              <w:cnfStyle w:val="000000000000"/>
              <w:rPr>
                <w:rFonts w:asciiTheme="minorHAnsi" w:eastAsia="Times New Roman" w:hAnsiTheme="minorHAnsi" w:cstheme="minorHAnsi"/>
                <w:color w:val="000000"/>
                <w:sz w:val="20"/>
                <w:szCs w:val="20"/>
              </w:rPr>
            </w:pPr>
            <w:r w:rsidRPr="004927D7">
              <w:rPr>
                <w:rFonts w:asciiTheme="minorHAnsi" w:eastAsia="Times New Roman" w:hAnsiTheme="minorHAnsi" w:cstheme="minorHAnsi"/>
                <w:color w:val="000000"/>
                <w:sz w:val="20"/>
                <w:szCs w:val="20"/>
              </w:rPr>
              <w:t>1435,94</w:t>
            </w:r>
          </w:p>
        </w:tc>
        <w:tc>
          <w:tcPr>
            <w:tcW w:w="837" w:type="dxa"/>
            <w:noWrap/>
            <w:hideMark/>
          </w:tcPr>
          <w:p w:rsidR="00732E43" w:rsidRPr="004927D7" w:rsidRDefault="00732E43" w:rsidP="00732E43">
            <w:pPr>
              <w:spacing w:after="200" w:line="240" w:lineRule="exact"/>
              <w:jc w:val="center"/>
              <w:cnfStyle w:val="000000000000"/>
              <w:rPr>
                <w:rFonts w:asciiTheme="minorHAnsi" w:eastAsia="Times New Roman" w:hAnsiTheme="minorHAnsi" w:cstheme="minorHAnsi"/>
                <w:color w:val="000000"/>
                <w:sz w:val="20"/>
                <w:szCs w:val="20"/>
              </w:rPr>
            </w:pPr>
            <w:r w:rsidRPr="004927D7">
              <w:rPr>
                <w:rFonts w:asciiTheme="minorHAnsi" w:eastAsia="Times New Roman" w:hAnsiTheme="minorHAnsi" w:cstheme="minorHAnsi"/>
                <w:color w:val="000000"/>
                <w:sz w:val="20"/>
                <w:szCs w:val="20"/>
              </w:rPr>
              <w:t>7179,71</w:t>
            </w:r>
          </w:p>
        </w:tc>
        <w:tc>
          <w:tcPr>
            <w:tcW w:w="1071" w:type="dxa"/>
            <w:noWrap/>
            <w:hideMark/>
          </w:tcPr>
          <w:p w:rsidR="00732E43" w:rsidRPr="004927D7" w:rsidRDefault="00732E43" w:rsidP="00732E43">
            <w:pPr>
              <w:spacing w:after="200" w:line="240" w:lineRule="exact"/>
              <w:jc w:val="center"/>
              <w:cnfStyle w:val="000000000000"/>
              <w:rPr>
                <w:rFonts w:asciiTheme="minorHAnsi" w:eastAsia="Times New Roman" w:hAnsiTheme="minorHAnsi" w:cstheme="minorHAnsi"/>
                <w:color w:val="000000"/>
                <w:sz w:val="20"/>
                <w:szCs w:val="20"/>
              </w:rPr>
            </w:pPr>
            <w:r w:rsidRPr="004927D7">
              <w:rPr>
                <w:rFonts w:asciiTheme="minorHAnsi" w:eastAsia="Times New Roman" w:hAnsiTheme="minorHAnsi" w:cstheme="minorHAnsi"/>
                <w:color w:val="000000"/>
                <w:sz w:val="20"/>
                <w:szCs w:val="20"/>
              </w:rPr>
              <w:t>1162,24</w:t>
            </w:r>
          </w:p>
        </w:tc>
        <w:tc>
          <w:tcPr>
            <w:tcW w:w="837" w:type="dxa"/>
            <w:noWrap/>
            <w:hideMark/>
          </w:tcPr>
          <w:p w:rsidR="00732E43" w:rsidRPr="004927D7" w:rsidRDefault="00732E43" w:rsidP="00732E43">
            <w:pPr>
              <w:spacing w:after="200" w:line="240" w:lineRule="exact"/>
              <w:jc w:val="center"/>
              <w:cnfStyle w:val="000000000000"/>
              <w:rPr>
                <w:rFonts w:asciiTheme="minorHAnsi" w:eastAsia="Times New Roman" w:hAnsiTheme="minorHAnsi" w:cstheme="minorHAnsi"/>
                <w:color w:val="000000"/>
                <w:sz w:val="20"/>
                <w:szCs w:val="20"/>
              </w:rPr>
            </w:pPr>
            <w:r w:rsidRPr="004927D7">
              <w:rPr>
                <w:rFonts w:asciiTheme="minorHAnsi" w:eastAsia="Times New Roman" w:hAnsiTheme="minorHAnsi" w:cstheme="minorHAnsi"/>
                <w:color w:val="000000"/>
                <w:sz w:val="20"/>
                <w:szCs w:val="20"/>
              </w:rPr>
              <w:t>5811,19</w:t>
            </w:r>
          </w:p>
        </w:tc>
      </w:tr>
      <w:tr w:rsidR="004927D7" w:rsidRPr="00732E43" w:rsidTr="004927D7">
        <w:trPr>
          <w:cnfStyle w:val="000000100000"/>
          <w:trHeight w:val="254"/>
        </w:trPr>
        <w:tc>
          <w:tcPr>
            <w:cnfStyle w:val="001000000000"/>
            <w:tcW w:w="1053" w:type="dxa"/>
            <w:noWrap/>
            <w:hideMark/>
          </w:tcPr>
          <w:p w:rsidR="00732E43" w:rsidRPr="004927D7" w:rsidRDefault="00732E43" w:rsidP="00732E43">
            <w:pPr>
              <w:spacing w:after="200" w:line="240" w:lineRule="exact"/>
              <w:jc w:val="right"/>
              <w:rPr>
                <w:rFonts w:asciiTheme="minorHAnsi" w:eastAsia="Times New Roman" w:hAnsiTheme="minorHAnsi" w:cstheme="minorHAnsi"/>
                <w:color w:val="000000"/>
                <w:sz w:val="20"/>
                <w:szCs w:val="20"/>
              </w:rPr>
            </w:pPr>
            <w:r w:rsidRPr="004927D7">
              <w:rPr>
                <w:rFonts w:asciiTheme="minorHAnsi" w:eastAsia="Times New Roman" w:hAnsiTheme="minorHAnsi" w:cstheme="minorHAnsi"/>
                <w:color w:val="000000"/>
                <w:sz w:val="20"/>
                <w:szCs w:val="20"/>
              </w:rPr>
              <w:t>1 863,59</w:t>
            </w:r>
          </w:p>
        </w:tc>
        <w:tc>
          <w:tcPr>
            <w:tcW w:w="1270" w:type="dxa"/>
            <w:noWrap/>
            <w:hideMark/>
          </w:tcPr>
          <w:p w:rsidR="00732E43" w:rsidRPr="004927D7" w:rsidRDefault="00732E43" w:rsidP="00732E43">
            <w:pPr>
              <w:spacing w:after="200" w:line="240" w:lineRule="exact"/>
              <w:jc w:val="right"/>
              <w:cnfStyle w:val="000000100000"/>
              <w:rPr>
                <w:rFonts w:asciiTheme="minorHAnsi" w:eastAsia="Times New Roman" w:hAnsiTheme="minorHAnsi" w:cstheme="minorHAnsi"/>
                <w:color w:val="000000"/>
                <w:sz w:val="20"/>
                <w:szCs w:val="20"/>
              </w:rPr>
            </w:pPr>
            <w:r w:rsidRPr="004927D7">
              <w:rPr>
                <w:rFonts w:asciiTheme="minorHAnsi" w:eastAsia="Times New Roman" w:hAnsiTheme="minorHAnsi" w:cstheme="minorHAnsi"/>
                <w:color w:val="000000"/>
                <w:sz w:val="20"/>
                <w:szCs w:val="20"/>
              </w:rPr>
              <w:t>40,0</w:t>
            </w:r>
          </w:p>
        </w:tc>
        <w:tc>
          <w:tcPr>
            <w:tcW w:w="1726" w:type="dxa"/>
            <w:noWrap/>
            <w:hideMark/>
          </w:tcPr>
          <w:p w:rsidR="00732E43" w:rsidRPr="004927D7" w:rsidRDefault="00732E43" w:rsidP="00732E43">
            <w:pPr>
              <w:spacing w:after="200" w:line="240" w:lineRule="exact"/>
              <w:jc w:val="left"/>
              <w:cnfStyle w:val="000000100000"/>
              <w:rPr>
                <w:rFonts w:asciiTheme="minorHAnsi" w:eastAsia="Times New Roman" w:hAnsiTheme="minorHAnsi" w:cstheme="minorHAnsi"/>
                <w:color w:val="000000"/>
                <w:sz w:val="20"/>
                <w:szCs w:val="20"/>
              </w:rPr>
            </w:pPr>
            <w:r w:rsidRPr="004927D7">
              <w:rPr>
                <w:rFonts w:asciiTheme="minorHAnsi" w:eastAsia="Times New Roman" w:hAnsiTheme="minorHAnsi" w:cstheme="minorHAnsi"/>
                <w:color w:val="000000"/>
                <w:sz w:val="20"/>
                <w:szCs w:val="20"/>
              </w:rPr>
              <w:t>M</w:t>
            </w:r>
          </w:p>
        </w:tc>
        <w:tc>
          <w:tcPr>
            <w:tcW w:w="1205" w:type="dxa"/>
            <w:noWrap/>
            <w:hideMark/>
          </w:tcPr>
          <w:p w:rsidR="00732E43" w:rsidRPr="004927D7" w:rsidRDefault="00732E43" w:rsidP="00732E43">
            <w:pPr>
              <w:spacing w:after="200" w:line="240" w:lineRule="exact"/>
              <w:jc w:val="center"/>
              <w:cnfStyle w:val="000000100000"/>
              <w:rPr>
                <w:rFonts w:asciiTheme="minorHAnsi" w:eastAsia="Times New Roman" w:hAnsiTheme="minorHAnsi" w:cstheme="minorHAnsi"/>
                <w:color w:val="000000"/>
                <w:sz w:val="20"/>
                <w:szCs w:val="20"/>
              </w:rPr>
            </w:pPr>
            <w:r w:rsidRPr="004927D7">
              <w:rPr>
                <w:rFonts w:asciiTheme="minorHAnsi" w:eastAsia="Times New Roman" w:hAnsiTheme="minorHAnsi" w:cstheme="minorHAnsi"/>
                <w:color w:val="000000"/>
                <w:sz w:val="20"/>
                <w:szCs w:val="20"/>
              </w:rPr>
              <w:t>1469,77</w:t>
            </w:r>
          </w:p>
        </w:tc>
        <w:tc>
          <w:tcPr>
            <w:tcW w:w="837" w:type="dxa"/>
            <w:noWrap/>
            <w:hideMark/>
          </w:tcPr>
          <w:p w:rsidR="00732E43" w:rsidRPr="004927D7" w:rsidRDefault="00732E43" w:rsidP="00732E43">
            <w:pPr>
              <w:spacing w:after="200" w:line="240" w:lineRule="exact"/>
              <w:jc w:val="center"/>
              <w:cnfStyle w:val="000000100000"/>
              <w:rPr>
                <w:rFonts w:asciiTheme="minorHAnsi" w:eastAsia="Times New Roman" w:hAnsiTheme="minorHAnsi" w:cstheme="minorHAnsi"/>
                <w:color w:val="000000"/>
                <w:sz w:val="20"/>
                <w:szCs w:val="20"/>
              </w:rPr>
            </w:pPr>
            <w:r w:rsidRPr="004927D7">
              <w:rPr>
                <w:rFonts w:asciiTheme="minorHAnsi" w:eastAsia="Times New Roman" w:hAnsiTheme="minorHAnsi" w:cstheme="minorHAnsi"/>
                <w:color w:val="000000"/>
                <w:sz w:val="20"/>
                <w:szCs w:val="20"/>
              </w:rPr>
              <w:t>2939,53</w:t>
            </w:r>
          </w:p>
        </w:tc>
        <w:tc>
          <w:tcPr>
            <w:tcW w:w="1134" w:type="dxa"/>
            <w:noWrap/>
            <w:hideMark/>
          </w:tcPr>
          <w:p w:rsidR="00732E43" w:rsidRPr="004927D7" w:rsidRDefault="00732E43" w:rsidP="00732E43">
            <w:pPr>
              <w:spacing w:after="200" w:line="240" w:lineRule="exact"/>
              <w:jc w:val="center"/>
              <w:cnfStyle w:val="000000100000"/>
              <w:rPr>
                <w:rFonts w:asciiTheme="minorHAnsi" w:eastAsia="Times New Roman" w:hAnsiTheme="minorHAnsi" w:cstheme="minorHAnsi"/>
                <w:color w:val="000000"/>
                <w:sz w:val="20"/>
                <w:szCs w:val="20"/>
              </w:rPr>
            </w:pPr>
            <w:r w:rsidRPr="004927D7">
              <w:rPr>
                <w:rFonts w:asciiTheme="minorHAnsi" w:eastAsia="Times New Roman" w:hAnsiTheme="minorHAnsi" w:cstheme="minorHAnsi"/>
                <w:color w:val="000000"/>
                <w:sz w:val="20"/>
                <w:szCs w:val="20"/>
              </w:rPr>
              <w:t>1745,07</w:t>
            </w:r>
          </w:p>
        </w:tc>
        <w:tc>
          <w:tcPr>
            <w:tcW w:w="837" w:type="dxa"/>
            <w:noWrap/>
            <w:hideMark/>
          </w:tcPr>
          <w:p w:rsidR="00732E43" w:rsidRPr="004927D7" w:rsidRDefault="00732E43" w:rsidP="00732E43">
            <w:pPr>
              <w:spacing w:after="200" w:line="240" w:lineRule="exact"/>
              <w:jc w:val="center"/>
              <w:cnfStyle w:val="000000100000"/>
              <w:rPr>
                <w:rFonts w:asciiTheme="minorHAnsi" w:eastAsia="Times New Roman" w:hAnsiTheme="minorHAnsi" w:cstheme="minorHAnsi"/>
                <w:color w:val="000000"/>
                <w:sz w:val="20"/>
                <w:szCs w:val="20"/>
              </w:rPr>
            </w:pPr>
            <w:r w:rsidRPr="004927D7">
              <w:rPr>
                <w:rFonts w:asciiTheme="minorHAnsi" w:eastAsia="Times New Roman" w:hAnsiTheme="minorHAnsi" w:cstheme="minorHAnsi"/>
                <w:color w:val="000000"/>
                <w:sz w:val="20"/>
                <w:szCs w:val="20"/>
              </w:rPr>
              <w:t>3490,14</w:t>
            </w:r>
          </w:p>
        </w:tc>
        <w:tc>
          <w:tcPr>
            <w:tcW w:w="1071" w:type="dxa"/>
            <w:noWrap/>
            <w:hideMark/>
          </w:tcPr>
          <w:p w:rsidR="00732E43" w:rsidRPr="004927D7" w:rsidRDefault="00732E43" w:rsidP="00732E43">
            <w:pPr>
              <w:spacing w:after="200" w:line="240" w:lineRule="exact"/>
              <w:jc w:val="center"/>
              <w:cnfStyle w:val="000000100000"/>
              <w:rPr>
                <w:rFonts w:asciiTheme="minorHAnsi" w:eastAsia="Times New Roman" w:hAnsiTheme="minorHAnsi" w:cstheme="minorHAnsi"/>
                <w:color w:val="000000"/>
                <w:sz w:val="20"/>
                <w:szCs w:val="20"/>
              </w:rPr>
            </w:pPr>
            <w:r w:rsidRPr="004927D7">
              <w:rPr>
                <w:rFonts w:asciiTheme="minorHAnsi" w:eastAsia="Times New Roman" w:hAnsiTheme="minorHAnsi" w:cstheme="minorHAnsi"/>
                <w:color w:val="000000"/>
                <w:sz w:val="20"/>
                <w:szCs w:val="20"/>
              </w:rPr>
              <w:t>1354,06</w:t>
            </w:r>
          </w:p>
        </w:tc>
        <w:tc>
          <w:tcPr>
            <w:tcW w:w="837" w:type="dxa"/>
            <w:noWrap/>
            <w:hideMark/>
          </w:tcPr>
          <w:p w:rsidR="00732E43" w:rsidRPr="004927D7" w:rsidRDefault="00732E43" w:rsidP="00732E43">
            <w:pPr>
              <w:spacing w:after="200" w:line="240" w:lineRule="exact"/>
              <w:jc w:val="center"/>
              <w:cnfStyle w:val="000000100000"/>
              <w:rPr>
                <w:rFonts w:asciiTheme="minorHAnsi" w:eastAsia="Times New Roman" w:hAnsiTheme="minorHAnsi" w:cstheme="minorHAnsi"/>
                <w:color w:val="000000"/>
                <w:sz w:val="20"/>
                <w:szCs w:val="20"/>
              </w:rPr>
            </w:pPr>
            <w:r w:rsidRPr="004927D7">
              <w:rPr>
                <w:rFonts w:asciiTheme="minorHAnsi" w:eastAsia="Times New Roman" w:hAnsiTheme="minorHAnsi" w:cstheme="minorHAnsi"/>
                <w:color w:val="000000"/>
                <w:sz w:val="20"/>
                <w:szCs w:val="20"/>
              </w:rPr>
              <w:t>2708,13</w:t>
            </w:r>
          </w:p>
        </w:tc>
      </w:tr>
      <w:tr w:rsidR="004927D7" w:rsidRPr="00732E43" w:rsidTr="004927D7">
        <w:trPr>
          <w:trHeight w:val="254"/>
        </w:trPr>
        <w:tc>
          <w:tcPr>
            <w:cnfStyle w:val="001000000000"/>
            <w:tcW w:w="1053" w:type="dxa"/>
            <w:noWrap/>
            <w:hideMark/>
          </w:tcPr>
          <w:p w:rsidR="00732E43" w:rsidRPr="004927D7" w:rsidRDefault="00732E43" w:rsidP="00732E43">
            <w:pPr>
              <w:spacing w:after="200" w:line="240" w:lineRule="exact"/>
              <w:jc w:val="right"/>
              <w:rPr>
                <w:rFonts w:asciiTheme="minorHAnsi" w:eastAsia="Times New Roman" w:hAnsiTheme="minorHAnsi" w:cstheme="minorHAnsi"/>
                <w:color w:val="000000"/>
                <w:sz w:val="20"/>
                <w:szCs w:val="20"/>
              </w:rPr>
            </w:pPr>
            <w:r w:rsidRPr="004927D7">
              <w:rPr>
                <w:rFonts w:asciiTheme="minorHAnsi" w:eastAsia="Times New Roman" w:hAnsiTheme="minorHAnsi" w:cstheme="minorHAnsi"/>
                <w:color w:val="000000"/>
                <w:sz w:val="20"/>
                <w:szCs w:val="20"/>
              </w:rPr>
              <w:t>2 803,95</w:t>
            </w:r>
          </w:p>
        </w:tc>
        <w:tc>
          <w:tcPr>
            <w:tcW w:w="1270" w:type="dxa"/>
            <w:noWrap/>
            <w:hideMark/>
          </w:tcPr>
          <w:p w:rsidR="00732E43" w:rsidRPr="004927D7" w:rsidRDefault="00732E43" w:rsidP="00732E43">
            <w:pPr>
              <w:spacing w:after="200" w:line="240" w:lineRule="exact"/>
              <w:jc w:val="right"/>
              <w:cnfStyle w:val="000000000000"/>
              <w:rPr>
                <w:rFonts w:asciiTheme="minorHAnsi" w:eastAsia="Times New Roman" w:hAnsiTheme="minorHAnsi" w:cstheme="minorHAnsi"/>
                <w:color w:val="000000"/>
                <w:sz w:val="20"/>
                <w:szCs w:val="20"/>
              </w:rPr>
            </w:pPr>
            <w:r w:rsidRPr="004927D7">
              <w:rPr>
                <w:rFonts w:asciiTheme="minorHAnsi" w:eastAsia="Times New Roman" w:hAnsiTheme="minorHAnsi" w:cstheme="minorHAnsi"/>
                <w:color w:val="000000"/>
                <w:sz w:val="20"/>
                <w:szCs w:val="20"/>
              </w:rPr>
              <w:t>50,0</w:t>
            </w:r>
          </w:p>
        </w:tc>
        <w:tc>
          <w:tcPr>
            <w:tcW w:w="1726" w:type="dxa"/>
            <w:noWrap/>
            <w:hideMark/>
          </w:tcPr>
          <w:p w:rsidR="00732E43" w:rsidRPr="004927D7" w:rsidRDefault="00732E43" w:rsidP="00732E43">
            <w:pPr>
              <w:spacing w:after="200" w:line="240" w:lineRule="exact"/>
              <w:jc w:val="left"/>
              <w:cnfStyle w:val="000000000000"/>
              <w:rPr>
                <w:rFonts w:asciiTheme="minorHAnsi" w:eastAsia="Times New Roman" w:hAnsiTheme="minorHAnsi" w:cstheme="minorHAnsi"/>
                <w:color w:val="000000"/>
                <w:sz w:val="20"/>
                <w:szCs w:val="20"/>
              </w:rPr>
            </w:pPr>
            <w:r w:rsidRPr="004927D7">
              <w:rPr>
                <w:rFonts w:asciiTheme="minorHAnsi" w:eastAsia="Times New Roman" w:hAnsiTheme="minorHAnsi" w:cstheme="minorHAnsi"/>
                <w:color w:val="000000"/>
                <w:sz w:val="20"/>
                <w:szCs w:val="20"/>
              </w:rPr>
              <w:t>M+DM</w:t>
            </w:r>
          </w:p>
        </w:tc>
        <w:tc>
          <w:tcPr>
            <w:tcW w:w="1205" w:type="dxa"/>
            <w:noWrap/>
            <w:hideMark/>
          </w:tcPr>
          <w:p w:rsidR="00732E43" w:rsidRPr="004927D7" w:rsidRDefault="00732E43" w:rsidP="00732E43">
            <w:pPr>
              <w:spacing w:after="200" w:line="240" w:lineRule="exact"/>
              <w:jc w:val="center"/>
              <w:cnfStyle w:val="000000000000"/>
              <w:rPr>
                <w:rFonts w:asciiTheme="minorHAnsi" w:eastAsia="Times New Roman" w:hAnsiTheme="minorHAnsi" w:cstheme="minorHAnsi"/>
                <w:color w:val="000000"/>
                <w:sz w:val="20"/>
                <w:szCs w:val="20"/>
              </w:rPr>
            </w:pPr>
            <w:r w:rsidRPr="004927D7">
              <w:rPr>
                <w:rFonts w:asciiTheme="minorHAnsi" w:eastAsia="Times New Roman" w:hAnsiTheme="minorHAnsi" w:cstheme="minorHAnsi"/>
                <w:color w:val="000000"/>
                <w:sz w:val="20"/>
                <w:szCs w:val="20"/>
              </w:rPr>
              <w:t>1382,96</w:t>
            </w:r>
          </w:p>
        </w:tc>
        <w:tc>
          <w:tcPr>
            <w:tcW w:w="837" w:type="dxa"/>
            <w:noWrap/>
            <w:hideMark/>
          </w:tcPr>
          <w:p w:rsidR="00732E43" w:rsidRPr="004927D7" w:rsidRDefault="00732E43" w:rsidP="00732E43">
            <w:pPr>
              <w:spacing w:after="200" w:line="240" w:lineRule="exact"/>
              <w:jc w:val="center"/>
              <w:cnfStyle w:val="000000000000"/>
              <w:rPr>
                <w:rFonts w:asciiTheme="minorHAnsi" w:eastAsia="Times New Roman" w:hAnsiTheme="minorHAnsi" w:cstheme="minorHAnsi"/>
                <w:color w:val="000000"/>
                <w:sz w:val="20"/>
                <w:szCs w:val="20"/>
              </w:rPr>
            </w:pPr>
            <w:r w:rsidRPr="004927D7">
              <w:rPr>
                <w:rFonts w:asciiTheme="minorHAnsi" w:eastAsia="Times New Roman" w:hAnsiTheme="minorHAnsi" w:cstheme="minorHAnsi"/>
                <w:color w:val="000000"/>
                <w:sz w:val="20"/>
                <w:szCs w:val="20"/>
              </w:rPr>
              <w:t>4148,87</w:t>
            </w:r>
          </w:p>
        </w:tc>
        <w:tc>
          <w:tcPr>
            <w:tcW w:w="1134" w:type="dxa"/>
            <w:noWrap/>
            <w:hideMark/>
          </w:tcPr>
          <w:p w:rsidR="00732E43" w:rsidRPr="004927D7" w:rsidRDefault="00732E43" w:rsidP="00732E43">
            <w:pPr>
              <w:spacing w:after="200" w:line="240" w:lineRule="exact"/>
              <w:jc w:val="center"/>
              <w:cnfStyle w:val="000000000000"/>
              <w:rPr>
                <w:rFonts w:asciiTheme="minorHAnsi" w:eastAsia="Times New Roman" w:hAnsiTheme="minorHAnsi" w:cstheme="minorHAnsi"/>
                <w:color w:val="000000"/>
                <w:sz w:val="20"/>
                <w:szCs w:val="20"/>
              </w:rPr>
            </w:pPr>
            <w:r w:rsidRPr="004927D7">
              <w:rPr>
                <w:rFonts w:asciiTheme="minorHAnsi" w:eastAsia="Times New Roman" w:hAnsiTheme="minorHAnsi" w:cstheme="minorHAnsi"/>
                <w:color w:val="000000"/>
                <w:sz w:val="20"/>
                <w:szCs w:val="20"/>
              </w:rPr>
              <w:t>1612,38</w:t>
            </w:r>
          </w:p>
        </w:tc>
        <w:tc>
          <w:tcPr>
            <w:tcW w:w="837" w:type="dxa"/>
            <w:noWrap/>
            <w:hideMark/>
          </w:tcPr>
          <w:p w:rsidR="00732E43" w:rsidRPr="004927D7" w:rsidRDefault="00732E43" w:rsidP="00732E43">
            <w:pPr>
              <w:spacing w:after="200" w:line="240" w:lineRule="exact"/>
              <w:jc w:val="center"/>
              <w:cnfStyle w:val="000000000000"/>
              <w:rPr>
                <w:rFonts w:asciiTheme="minorHAnsi" w:eastAsia="Times New Roman" w:hAnsiTheme="minorHAnsi" w:cstheme="minorHAnsi"/>
                <w:color w:val="000000"/>
                <w:sz w:val="20"/>
                <w:szCs w:val="20"/>
              </w:rPr>
            </w:pPr>
            <w:r w:rsidRPr="004927D7">
              <w:rPr>
                <w:rFonts w:asciiTheme="minorHAnsi" w:eastAsia="Times New Roman" w:hAnsiTheme="minorHAnsi" w:cstheme="minorHAnsi"/>
                <w:color w:val="000000"/>
                <w:sz w:val="20"/>
                <w:szCs w:val="20"/>
              </w:rPr>
              <w:t>4837,14</w:t>
            </w:r>
          </w:p>
        </w:tc>
        <w:tc>
          <w:tcPr>
            <w:tcW w:w="1071" w:type="dxa"/>
            <w:noWrap/>
            <w:hideMark/>
          </w:tcPr>
          <w:p w:rsidR="00732E43" w:rsidRPr="004927D7" w:rsidRDefault="00732E43" w:rsidP="00732E43">
            <w:pPr>
              <w:spacing w:after="200" w:line="240" w:lineRule="exact"/>
              <w:jc w:val="center"/>
              <w:cnfStyle w:val="000000000000"/>
              <w:rPr>
                <w:rFonts w:asciiTheme="minorHAnsi" w:eastAsia="Times New Roman" w:hAnsiTheme="minorHAnsi" w:cstheme="minorHAnsi"/>
                <w:color w:val="000000"/>
                <w:sz w:val="20"/>
                <w:szCs w:val="20"/>
              </w:rPr>
            </w:pPr>
            <w:r w:rsidRPr="004927D7">
              <w:rPr>
                <w:rFonts w:asciiTheme="minorHAnsi" w:eastAsia="Times New Roman" w:hAnsiTheme="minorHAnsi" w:cstheme="minorHAnsi"/>
                <w:color w:val="000000"/>
                <w:sz w:val="20"/>
                <w:szCs w:val="20"/>
              </w:rPr>
              <w:t>1286,54</w:t>
            </w:r>
          </w:p>
        </w:tc>
        <w:tc>
          <w:tcPr>
            <w:tcW w:w="837" w:type="dxa"/>
            <w:noWrap/>
            <w:hideMark/>
          </w:tcPr>
          <w:p w:rsidR="00732E43" w:rsidRPr="004927D7" w:rsidRDefault="00732E43" w:rsidP="00732E43">
            <w:pPr>
              <w:spacing w:after="200" w:line="240" w:lineRule="exact"/>
              <w:jc w:val="center"/>
              <w:cnfStyle w:val="000000000000"/>
              <w:rPr>
                <w:rFonts w:asciiTheme="minorHAnsi" w:eastAsia="Times New Roman" w:hAnsiTheme="minorHAnsi" w:cstheme="minorHAnsi"/>
                <w:color w:val="000000"/>
                <w:sz w:val="20"/>
                <w:szCs w:val="20"/>
              </w:rPr>
            </w:pPr>
            <w:r w:rsidRPr="004927D7">
              <w:rPr>
                <w:rFonts w:asciiTheme="minorHAnsi" w:eastAsia="Times New Roman" w:hAnsiTheme="minorHAnsi" w:cstheme="minorHAnsi"/>
                <w:color w:val="000000"/>
                <w:sz w:val="20"/>
                <w:szCs w:val="20"/>
              </w:rPr>
              <w:t>3859,62</w:t>
            </w:r>
          </w:p>
        </w:tc>
      </w:tr>
      <w:tr w:rsidR="004927D7" w:rsidRPr="00732E43" w:rsidTr="004927D7">
        <w:trPr>
          <w:cnfStyle w:val="000000100000"/>
          <w:trHeight w:val="254"/>
        </w:trPr>
        <w:tc>
          <w:tcPr>
            <w:cnfStyle w:val="001000000000"/>
            <w:tcW w:w="1053" w:type="dxa"/>
            <w:noWrap/>
            <w:hideMark/>
          </w:tcPr>
          <w:p w:rsidR="00732E43" w:rsidRPr="004927D7" w:rsidRDefault="00732E43" w:rsidP="00732E43">
            <w:pPr>
              <w:spacing w:after="200" w:line="240" w:lineRule="exact"/>
              <w:jc w:val="right"/>
              <w:rPr>
                <w:rFonts w:asciiTheme="minorHAnsi" w:eastAsia="Times New Roman" w:hAnsiTheme="minorHAnsi" w:cstheme="minorHAnsi"/>
                <w:color w:val="000000"/>
                <w:sz w:val="20"/>
                <w:szCs w:val="20"/>
              </w:rPr>
            </w:pPr>
            <w:r w:rsidRPr="004927D7">
              <w:rPr>
                <w:rFonts w:asciiTheme="minorHAnsi" w:eastAsia="Times New Roman" w:hAnsiTheme="minorHAnsi" w:cstheme="minorHAnsi"/>
                <w:color w:val="000000"/>
                <w:sz w:val="20"/>
                <w:szCs w:val="20"/>
              </w:rPr>
              <w:t>3 445,55</w:t>
            </w:r>
          </w:p>
        </w:tc>
        <w:tc>
          <w:tcPr>
            <w:tcW w:w="1270" w:type="dxa"/>
            <w:noWrap/>
            <w:hideMark/>
          </w:tcPr>
          <w:p w:rsidR="00732E43" w:rsidRPr="004927D7" w:rsidRDefault="00732E43" w:rsidP="00732E43">
            <w:pPr>
              <w:spacing w:after="200" w:line="240" w:lineRule="exact"/>
              <w:jc w:val="right"/>
              <w:cnfStyle w:val="000000100000"/>
              <w:rPr>
                <w:rFonts w:asciiTheme="minorHAnsi" w:eastAsia="Times New Roman" w:hAnsiTheme="minorHAnsi" w:cstheme="minorHAnsi"/>
                <w:color w:val="000000"/>
                <w:sz w:val="20"/>
                <w:szCs w:val="20"/>
              </w:rPr>
            </w:pPr>
            <w:r w:rsidRPr="004927D7">
              <w:rPr>
                <w:rFonts w:asciiTheme="minorHAnsi" w:eastAsia="Times New Roman" w:hAnsiTheme="minorHAnsi" w:cstheme="minorHAnsi"/>
                <w:color w:val="000000"/>
                <w:sz w:val="20"/>
                <w:szCs w:val="20"/>
              </w:rPr>
              <w:t>60,0</w:t>
            </w:r>
          </w:p>
        </w:tc>
        <w:tc>
          <w:tcPr>
            <w:tcW w:w="1726" w:type="dxa"/>
            <w:noWrap/>
            <w:hideMark/>
          </w:tcPr>
          <w:p w:rsidR="00732E43" w:rsidRPr="004927D7" w:rsidRDefault="00732E43" w:rsidP="00732E43">
            <w:pPr>
              <w:spacing w:after="200" w:line="240" w:lineRule="exact"/>
              <w:jc w:val="left"/>
              <w:cnfStyle w:val="000000100000"/>
              <w:rPr>
                <w:rFonts w:asciiTheme="minorHAnsi" w:eastAsia="Times New Roman" w:hAnsiTheme="minorHAnsi" w:cstheme="minorHAnsi"/>
                <w:color w:val="000000"/>
                <w:sz w:val="20"/>
                <w:szCs w:val="20"/>
              </w:rPr>
            </w:pPr>
            <w:r w:rsidRPr="004927D7">
              <w:rPr>
                <w:rFonts w:asciiTheme="minorHAnsi" w:eastAsia="Times New Roman" w:hAnsiTheme="minorHAnsi" w:cstheme="minorHAnsi"/>
                <w:color w:val="000000"/>
                <w:sz w:val="20"/>
                <w:szCs w:val="20"/>
              </w:rPr>
              <w:t>M+DM+DM</w:t>
            </w:r>
          </w:p>
        </w:tc>
        <w:tc>
          <w:tcPr>
            <w:tcW w:w="1205" w:type="dxa"/>
            <w:noWrap/>
            <w:hideMark/>
          </w:tcPr>
          <w:p w:rsidR="00732E43" w:rsidRPr="004927D7" w:rsidRDefault="00732E43" w:rsidP="00732E43">
            <w:pPr>
              <w:spacing w:after="200" w:line="240" w:lineRule="exact"/>
              <w:jc w:val="center"/>
              <w:cnfStyle w:val="000000100000"/>
              <w:rPr>
                <w:rFonts w:asciiTheme="minorHAnsi" w:eastAsia="Times New Roman" w:hAnsiTheme="minorHAnsi" w:cstheme="minorHAnsi"/>
                <w:color w:val="000000"/>
                <w:sz w:val="20"/>
                <w:szCs w:val="20"/>
              </w:rPr>
            </w:pPr>
            <w:r w:rsidRPr="004927D7">
              <w:rPr>
                <w:rFonts w:asciiTheme="minorHAnsi" w:eastAsia="Times New Roman" w:hAnsiTheme="minorHAnsi" w:cstheme="minorHAnsi"/>
                <w:color w:val="000000"/>
                <w:sz w:val="20"/>
                <w:szCs w:val="20"/>
              </w:rPr>
              <w:t>1264,87</w:t>
            </w:r>
          </w:p>
        </w:tc>
        <w:tc>
          <w:tcPr>
            <w:tcW w:w="837" w:type="dxa"/>
            <w:noWrap/>
            <w:hideMark/>
          </w:tcPr>
          <w:p w:rsidR="00732E43" w:rsidRPr="004927D7" w:rsidRDefault="00732E43" w:rsidP="00732E43">
            <w:pPr>
              <w:spacing w:after="200" w:line="240" w:lineRule="exact"/>
              <w:jc w:val="center"/>
              <w:cnfStyle w:val="000000100000"/>
              <w:rPr>
                <w:rFonts w:asciiTheme="minorHAnsi" w:eastAsia="Times New Roman" w:hAnsiTheme="minorHAnsi" w:cstheme="minorHAnsi"/>
                <w:color w:val="000000"/>
                <w:sz w:val="20"/>
                <w:szCs w:val="20"/>
              </w:rPr>
            </w:pPr>
            <w:r w:rsidRPr="004927D7">
              <w:rPr>
                <w:rFonts w:asciiTheme="minorHAnsi" w:eastAsia="Times New Roman" w:hAnsiTheme="minorHAnsi" w:cstheme="minorHAnsi"/>
                <w:color w:val="000000"/>
                <w:sz w:val="20"/>
                <w:szCs w:val="20"/>
              </w:rPr>
              <w:t>5059,46</w:t>
            </w:r>
          </w:p>
        </w:tc>
        <w:tc>
          <w:tcPr>
            <w:tcW w:w="1134" w:type="dxa"/>
            <w:noWrap/>
            <w:hideMark/>
          </w:tcPr>
          <w:p w:rsidR="00732E43" w:rsidRPr="004927D7" w:rsidRDefault="00732E43" w:rsidP="00732E43">
            <w:pPr>
              <w:spacing w:after="200" w:line="240" w:lineRule="exact"/>
              <w:jc w:val="center"/>
              <w:cnfStyle w:val="000000100000"/>
              <w:rPr>
                <w:rFonts w:asciiTheme="minorHAnsi" w:eastAsia="Times New Roman" w:hAnsiTheme="minorHAnsi" w:cstheme="minorHAnsi"/>
                <w:color w:val="000000"/>
                <w:sz w:val="20"/>
                <w:szCs w:val="20"/>
              </w:rPr>
            </w:pPr>
            <w:r w:rsidRPr="004927D7">
              <w:rPr>
                <w:rFonts w:asciiTheme="minorHAnsi" w:eastAsia="Times New Roman" w:hAnsiTheme="minorHAnsi" w:cstheme="minorHAnsi"/>
                <w:color w:val="000000"/>
                <w:sz w:val="20"/>
                <w:szCs w:val="20"/>
              </w:rPr>
              <w:t>1471,34</w:t>
            </w:r>
          </w:p>
        </w:tc>
        <w:tc>
          <w:tcPr>
            <w:tcW w:w="837" w:type="dxa"/>
            <w:noWrap/>
            <w:hideMark/>
          </w:tcPr>
          <w:p w:rsidR="00732E43" w:rsidRPr="004927D7" w:rsidRDefault="00732E43" w:rsidP="00732E43">
            <w:pPr>
              <w:spacing w:after="200" w:line="240" w:lineRule="exact"/>
              <w:jc w:val="center"/>
              <w:cnfStyle w:val="000000100000"/>
              <w:rPr>
                <w:rFonts w:asciiTheme="minorHAnsi" w:eastAsia="Times New Roman" w:hAnsiTheme="minorHAnsi" w:cstheme="minorHAnsi"/>
                <w:color w:val="000000"/>
                <w:sz w:val="20"/>
                <w:szCs w:val="20"/>
              </w:rPr>
            </w:pPr>
            <w:r w:rsidRPr="004927D7">
              <w:rPr>
                <w:rFonts w:asciiTheme="minorHAnsi" w:eastAsia="Times New Roman" w:hAnsiTheme="minorHAnsi" w:cstheme="minorHAnsi"/>
                <w:color w:val="000000"/>
                <w:sz w:val="20"/>
                <w:szCs w:val="20"/>
              </w:rPr>
              <w:t>5885,38</w:t>
            </w:r>
          </w:p>
        </w:tc>
        <w:tc>
          <w:tcPr>
            <w:tcW w:w="1071" w:type="dxa"/>
            <w:noWrap/>
            <w:hideMark/>
          </w:tcPr>
          <w:p w:rsidR="00732E43" w:rsidRPr="004927D7" w:rsidRDefault="00732E43" w:rsidP="00732E43">
            <w:pPr>
              <w:spacing w:after="200" w:line="240" w:lineRule="exact"/>
              <w:jc w:val="center"/>
              <w:cnfStyle w:val="000000100000"/>
              <w:rPr>
                <w:rFonts w:asciiTheme="minorHAnsi" w:eastAsia="Times New Roman" w:hAnsiTheme="minorHAnsi" w:cstheme="minorHAnsi"/>
                <w:color w:val="000000"/>
                <w:sz w:val="20"/>
                <w:szCs w:val="20"/>
              </w:rPr>
            </w:pPr>
            <w:r w:rsidRPr="004927D7">
              <w:rPr>
                <w:rFonts w:asciiTheme="minorHAnsi" w:eastAsia="Times New Roman" w:hAnsiTheme="minorHAnsi" w:cstheme="minorHAnsi"/>
                <w:color w:val="000000"/>
                <w:sz w:val="20"/>
                <w:szCs w:val="20"/>
              </w:rPr>
              <w:t>1178,09</w:t>
            </w:r>
          </w:p>
        </w:tc>
        <w:tc>
          <w:tcPr>
            <w:tcW w:w="837" w:type="dxa"/>
            <w:noWrap/>
            <w:hideMark/>
          </w:tcPr>
          <w:p w:rsidR="00732E43" w:rsidRPr="004927D7" w:rsidRDefault="00732E43" w:rsidP="00732E43">
            <w:pPr>
              <w:spacing w:after="200" w:line="240" w:lineRule="exact"/>
              <w:jc w:val="center"/>
              <w:cnfStyle w:val="000000100000"/>
              <w:rPr>
                <w:rFonts w:asciiTheme="minorHAnsi" w:eastAsia="Times New Roman" w:hAnsiTheme="minorHAnsi" w:cstheme="minorHAnsi"/>
                <w:color w:val="000000"/>
                <w:sz w:val="20"/>
                <w:szCs w:val="20"/>
              </w:rPr>
            </w:pPr>
            <w:r w:rsidRPr="004927D7">
              <w:rPr>
                <w:rFonts w:asciiTheme="minorHAnsi" w:eastAsia="Times New Roman" w:hAnsiTheme="minorHAnsi" w:cstheme="minorHAnsi"/>
                <w:color w:val="000000"/>
                <w:sz w:val="20"/>
                <w:szCs w:val="20"/>
              </w:rPr>
              <w:t>4712,36</w:t>
            </w:r>
          </w:p>
        </w:tc>
      </w:tr>
      <w:tr w:rsidR="004927D7" w:rsidRPr="00732E43" w:rsidTr="004927D7">
        <w:trPr>
          <w:trHeight w:val="254"/>
        </w:trPr>
        <w:tc>
          <w:tcPr>
            <w:cnfStyle w:val="001000000000"/>
            <w:tcW w:w="1053" w:type="dxa"/>
            <w:noWrap/>
            <w:hideMark/>
          </w:tcPr>
          <w:p w:rsidR="00732E43" w:rsidRPr="004927D7" w:rsidRDefault="00732E43" w:rsidP="00732E43">
            <w:pPr>
              <w:spacing w:after="200" w:line="240" w:lineRule="exact"/>
              <w:jc w:val="right"/>
              <w:rPr>
                <w:rFonts w:asciiTheme="minorHAnsi" w:eastAsia="Times New Roman" w:hAnsiTheme="minorHAnsi" w:cstheme="minorHAnsi"/>
                <w:color w:val="000000"/>
                <w:sz w:val="20"/>
                <w:szCs w:val="20"/>
              </w:rPr>
            </w:pPr>
            <w:r w:rsidRPr="004927D7">
              <w:rPr>
                <w:rFonts w:asciiTheme="minorHAnsi" w:eastAsia="Times New Roman" w:hAnsiTheme="minorHAnsi" w:cstheme="minorHAnsi"/>
                <w:color w:val="000000"/>
                <w:sz w:val="20"/>
                <w:szCs w:val="20"/>
              </w:rPr>
              <w:t>4 259,73</w:t>
            </w:r>
          </w:p>
        </w:tc>
        <w:tc>
          <w:tcPr>
            <w:tcW w:w="1270" w:type="dxa"/>
            <w:noWrap/>
            <w:hideMark/>
          </w:tcPr>
          <w:p w:rsidR="00732E43" w:rsidRPr="004927D7" w:rsidRDefault="00732E43" w:rsidP="00732E43">
            <w:pPr>
              <w:spacing w:after="200" w:line="240" w:lineRule="exact"/>
              <w:jc w:val="right"/>
              <w:cnfStyle w:val="000000000000"/>
              <w:rPr>
                <w:rFonts w:asciiTheme="minorHAnsi" w:eastAsia="Times New Roman" w:hAnsiTheme="minorHAnsi" w:cstheme="minorHAnsi"/>
                <w:color w:val="000000"/>
                <w:sz w:val="20"/>
                <w:szCs w:val="20"/>
              </w:rPr>
            </w:pPr>
            <w:r w:rsidRPr="004927D7">
              <w:rPr>
                <w:rFonts w:asciiTheme="minorHAnsi" w:eastAsia="Times New Roman" w:hAnsiTheme="minorHAnsi" w:cstheme="minorHAnsi"/>
                <w:color w:val="000000"/>
                <w:sz w:val="20"/>
                <w:szCs w:val="20"/>
              </w:rPr>
              <w:t>70,0</w:t>
            </w:r>
          </w:p>
        </w:tc>
        <w:tc>
          <w:tcPr>
            <w:tcW w:w="1726" w:type="dxa"/>
            <w:noWrap/>
            <w:hideMark/>
          </w:tcPr>
          <w:p w:rsidR="00732E43" w:rsidRPr="004927D7" w:rsidRDefault="00732E43" w:rsidP="00732E43">
            <w:pPr>
              <w:spacing w:after="200" w:line="240" w:lineRule="exact"/>
              <w:jc w:val="left"/>
              <w:cnfStyle w:val="000000000000"/>
              <w:rPr>
                <w:rFonts w:asciiTheme="minorHAnsi" w:eastAsia="Times New Roman" w:hAnsiTheme="minorHAnsi" w:cstheme="minorHAnsi"/>
                <w:color w:val="000000"/>
                <w:sz w:val="20"/>
                <w:szCs w:val="20"/>
              </w:rPr>
            </w:pPr>
            <w:r w:rsidRPr="004927D7">
              <w:rPr>
                <w:rFonts w:asciiTheme="minorHAnsi" w:eastAsia="Times New Roman" w:hAnsiTheme="minorHAnsi" w:cstheme="minorHAnsi"/>
                <w:color w:val="000000"/>
                <w:sz w:val="20"/>
                <w:szCs w:val="20"/>
              </w:rPr>
              <w:t>M+DS+DM+DM</w:t>
            </w:r>
          </w:p>
        </w:tc>
        <w:tc>
          <w:tcPr>
            <w:tcW w:w="1205" w:type="dxa"/>
            <w:noWrap/>
            <w:hideMark/>
          </w:tcPr>
          <w:p w:rsidR="00732E43" w:rsidRPr="004927D7" w:rsidRDefault="00732E43" w:rsidP="00732E43">
            <w:pPr>
              <w:spacing w:after="200" w:line="240" w:lineRule="exact"/>
              <w:jc w:val="center"/>
              <w:cnfStyle w:val="000000000000"/>
              <w:rPr>
                <w:rFonts w:asciiTheme="minorHAnsi" w:eastAsia="Times New Roman" w:hAnsiTheme="minorHAnsi" w:cstheme="minorHAnsi"/>
                <w:color w:val="000000"/>
                <w:sz w:val="20"/>
                <w:szCs w:val="20"/>
              </w:rPr>
            </w:pPr>
            <w:r w:rsidRPr="004927D7">
              <w:rPr>
                <w:rFonts w:asciiTheme="minorHAnsi" w:eastAsia="Times New Roman" w:hAnsiTheme="minorHAnsi" w:cstheme="minorHAnsi"/>
                <w:color w:val="000000"/>
                <w:sz w:val="20"/>
                <w:szCs w:val="20"/>
              </w:rPr>
              <w:t>1228,53</w:t>
            </w:r>
          </w:p>
        </w:tc>
        <w:tc>
          <w:tcPr>
            <w:tcW w:w="837" w:type="dxa"/>
            <w:noWrap/>
            <w:hideMark/>
          </w:tcPr>
          <w:p w:rsidR="00732E43" w:rsidRPr="004927D7" w:rsidRDefault="00732E43" w:rsidP="00732E43">
            <w:pPr>
              <w:spacing w:after="200" w:line="240" w:lineRule="exact"/>
              <w:jc w:val="center"/>
              <w:cnfStyle w:val="000000000000"/>
              <w:rPr>
                <w:rFonts w:asciiTheme="minorHAnsi" w:eastAsia="Times New Roman" w:hAnsiTheme="minorHAnsi" w:cstheme="minorHAnsi"/>
                <w:color w:val="000000"/>
                <w:sz w:val="20"/>
                <w:szCs w:val="20"/>
              </w:rPr>
            </w:pPr>
            <w:r w:rsidRPr="004927D7">
              <w:rPr>
                <w:rFonts w:asciiTheme="minorHAnsi" w:eastAsia="Times New Roman" w:hAnsiTheme="minorHAnsi" w:cstheme="minorHAnsi"/>
                <w:color w:val="000000"/>
                <w:sz w:val="20"/>
                <w:szCs w:val="20"/>
              </w:rPr>
              <w:t>6142,63</w:t>
            </w:r>
          </w:p>
        </w:tc>
        <w:tc>
          <w:tcPr>
            <w:tcW w:w="1134" w:type="dxa"/>
            <w:noWrap/>
            <w:hideMark/>
          </w:tcPr>
          <w:p w:rsidR="00732E43" w:rsidRPr="004927D7" w:rsidRDefault="00732E43" w:rsidP="00732E43">
            <w:pPr>
              <w:spacing w:after="200" w:line="240" w:lineRule="exact"/>
              <w:jc w:val="center"/>
              <w:cnfStyle w:val="000000000000"/>
              <w:rPr>
                <w:rFonts w:asciiTheme="minorHAnsi" w:eastAsia="Times New Roman" w:hAnsiTheme="minorHAnsi" w:cstheme="minorHAnsi"/>
                <w:color w:val="000000"/>
                <w:sz w:val="20"/>
                <w:szCs w:val="20"/>
              </w:rPr>
            </w:pPr>
            <w:r w:rsidRPr="004927D7">
              <w:rPr>
                <w:rFonts w:asciiTheme="minorHAnsi" w:eastAsia="Times New Roman" w:hAnsiTheme="minorHAnsi" w:cstheme="minorHAnsi"/>
                <w:color w:val="000000"/>
                <w:sz w:val="20"/>
                <w:szCs w:val="20"/>
              </w:rPr>
              <w:t>1421,24</w:t>
            </w:r>
          </w:p>
        </w:tc>
        <w:tc>
          <w:tcPr>
            <w:tcW w:w="837" w:type="dxa"/>
            <w:noWrap/>
            <w:hideMark/>
          </w:tcPr>
          <w:p w:rsidR="00732E43" w:rsidRPr="004927D7" w:rsidRDefault="00732E43" w:rsidP="00732E43">
            <w:pPr>
              <w:spacing w:after="200" w:line="240" w:lineRule="exact"/>
              <w:jc w:val="center"/>
              <w:cnfStyle w:val="000000000000"/>
              <w:rPr>
                <w:rFonts w:asciiTheme="minorHAnsi" w:eastAsia="Times New Roman" w:hAnsiTheme="minorHAnsi" w:cstheme="minorHAnsi"/>
                <w:color w:val="000000"/>
                <w:sz w:val="20"/>
                <w:szCs w:val="20"/>
              </w:rPr>
            </w:pPr>
            <w:r w:rsidRPr="004927D7">
              <w:rPr>
                <w:rFonts w:asciiTheme="minorHAnsi" w:eastAsia="Times New Roman" w:hAnsiTheme="minorHAnsi" w:cstheme="minorHAnsi"/>
                <w:color w:val="000000"/>
                <w:sz w:val="20"/>
                <w:szCs w:val="20"/>
              </w:rPr>
              <w:t>7106,20</w:t>
            </w:r>
          </w:p>
        </w:tc>
        <w:tc>
          <w:tcPr>
            <w:tcW w:w="1071" w:type="dxa"/>
            <w:noWrap/>
            <w:hideMark/>
          </w:tcPr>
          <w:p w:rsidR="00732E43" w:rsidRPr="004927D7" w:rsidRDefault="00732E43" w:rsidP="00732E43">
            <w:pPr>
              <w:spacing w:after="200" w:line="240" w:lineRule="exact"/>
              <w:jc w:val="center"/>
              <w:cnfStyle w:val="000000000000"/>
              <w:rPr>
                <w:rFonts w:asciiTheme="minorHAnsi" w:eastAsia="Times New Roman" w:hAnsiTheme="minorHAnsi" w:cstheme="minorHAnsi"/>
                <w:color w:val="000000"/>
                <w:sz w:val="20"/>
                <w:szCs w:val="20"/>
              </w:rPr>
            </w:pPr>
            <w:r w:rsidRPr="004927D7">
              <w:rPr>
                <w:rFonts w:asciiTheme="minorHAnsi" w:eastAsia="Times New Roman" w:hAnsiTheme="minorHAnsi" w:cstheme="minorHAnsi"/>
                <w:color w:val="000000"/>
                <w:sz w:val="20"/>
                <w:szCs w:val="20"/>
              </w:rPr>
              <w:t>1147,53</w:t>
            </w:r>
          </w:p>
        </w:tc>
        <w:tc>
          <w:tcPr>
            <w:tcW w:w="837" w:type="dxa"/>
            <w:noWrap/>
            <w:hideMark/>
          </w:tcPr>
          <w:p w:rsidR="00732E43" w:rsidRPr="004927D7" w:rsidRDefault="00732E43" w:rsidP="00732E43">
            <w:pPr>
              <w:spacing w:after="200" w:line="240" w:lineRule="exact"/>
              <w:jc w:val="center"/>
              <w:cnfStyle w:val="000000000000"/>
              <w:rPr>
                <w:rFonts w:asciiTheme="minorHAnsi" w:eastAsia="Times New Roman" w:hAnsiTheme="minorHAnsi" w:cstheme="minorHAnsi"/>
                <w:color w:val="000000"/>
                <w:sz w:val="20"/>
                <w:szCs w:val="20"/>
              </w:rPr>
            </w:pPr>
            <w:r w:rsidRPr="004927D7">
              <w:rPr>
                <w:rFonts w:asciiTheme="minorHAnsi" w:eastAsia="Times New Roman" w:hAnsiTheme="minorHAnsi" w:cstheme="minorHAnsi"/>
                <w:color w:val="000000"/>
                <w:sz w:val="20"/>
                <w:szCs w:val="20"/>
              </w:rPr>
              <w:t>5737,67</w:t>
            </w:r>
          </w:p>
        </w:tc>
      </w:tr>
      <w:tr w:rsidR="004927D7" w:rsidRPr="00732E43" w:rsidTr="004927D7">
        <w:trPr>
          <w:cnfStyle w:val="000000100000"/>
          <w:trHeight w:val="254"/>
        </w:trPr>
        <w:tc>
          <w:tcPr>
            <w:cnfStyle w:val="001000000000"/>
            <w:tcW w:w="1053" w:type="dxa"/>
            <w:noWrap/>
            <w:hideMark/>
          </w:tcPr>
          <w:p w:rsidR="00732E43" w:rsidRPr="004927D7" w:rsidRDefault="00732E43" w:rsidP="00732E43">
            <w:pPr>
              <w:spacing w:after="200" w:line="240" w:lineRule="exact"/>
              <w:jc w:val="right"/>
              <w:rPr>
                <w:rFonts w:asciiTheme="minorHAnsi" w:eastAsia="Times New Roman" w:hAnsiTheme="minorHAnsi" w:cstheme="minorHAnsi"/>
                <w:color w:val="000000"/>
                <w:sz w:val="20"/>
                <w:szCs w:val="20"/>
              </w:rPr>
            </w:pPr>
            <w:r w:rsidRPr="004927D7">
              <w:rPr>
                <w:rFonts w:asciiTheme="minorHAnsi" w:eastAsia="Times New Roman" w:hAnsiTheme="minorHAnsi" w:cstheme="minorHAnsi"/>
                <w:color w:val="000000"/>
                <w:sz w:val="20"/>
                <w:szCs w:val="20"/>
              </w:rPr>
              <w:t>5 069,14</w:t>
            </w:r>
          </w:p>
        </w:tc>
        <w:tc>
          <w:tcPr>
            <w:tcW w:w="1270" w:type="dxa"/>
            <w:noWrap/>
            <w:hideMark/>
          </w:tcPr>
          <w:p w:rsidR="00732E43" w:rsidRPr="004927D7" w:rsidRDefault="00732E43" w:rsidP="00732E43">
            <w:pPr>
              <w:spacing w:after="200" w:line="240" w:lineRule="exact"/>
              <w:jc w:val="right"/>
              <w:cnfStyle w:val="000000100000"/>
              <w:rPr>
                <w:rFonts w:asciiTheme="minorHAnsi" w:eastAsia="Times New Roman" w:hAnsiTheme="minorHAnsi" w:cstheme="minorHAnsi"/>
                <w:color w:val="000000"/>
                <w:sz w:val="20"/>
                <w:szCs w:val="20"/>
              </w:rPr>
            </w:pPr>
            <w:r w:rsidRPr="004927D7">
              <w:rPr>
                <w:rFonts w:asciiTheme="minorHAnsi" w:eastAsia="Times New Roman" w:hAnsiTheme="minorHAnsi" w:cstheme="minorHAnsi"/>
                <w:color w:val="000000"/>
                <w:sz w:val="20"/>
                <w:szCs w:val="20"/>
              </w:rPr>
              <w:t>80,0</w:t>
            </w:r>
          </w:p>
        </w:tc>
        <w:tc>
          <w:tcPr>
            <w:tcW w:w="1726" w:type="dxa"/>
            <w:noWrap/>
            <w:hideMark/>
          </w:tcPr>
          <w:p w:rsidR="00732E43" w:rsidRPr="004927D7" w:rsidRDefault="00732E43" w:rsidP="00732E43">
            <w:pPr>
              <w:spacing w:after="200" w:line="240" w:lineRule="exact"/>
              <w:jc w:val="left"/>
              <w:cnfStyle w:val="000000100000"/>
              <w:rPr>
                <w:rFonts w:asciiTheme="minorHAnsi" w:eastAsia="Times New Roman" w:hAnsiTheme="minorHAnsi" w:cstheme="minorHAnsi"/>
                <w:color w:val="000000"/>
                <w:sz w:val="20"/>
                <w:szCs w:val="20"/>
              </w:rPr>
            </w:pPr>
            <w:r w:rsidRPr="004927D7">
              <w:rPr>
                <w:rFonts w:asciiTheme="minorHAnsi" w:eastAsia="Times New Roman" w:hAnsiTheme="minorHAnsi" w:cstheme="minorHAnsi"/>
                <w:color w:val="000000"/>
                <w:sz w:val="20"/>
                <w:szCs w:val="20"/>
              </w:rPr>
              <w:t>M+DS+DS+DM+DM</w:t>
            </w:r>
          </w:p>
        </w:tc>
        <w:tc>
          <w:tcPr>
            <w:tcW w:w="1205" w:type="dxa"/>
            <w:noWrap/>
            <w:hideMark/>
          </w:tcPr>
          <w:p w:rsidR="00732E43" w:rsidRPr="004927D7" w:rsidRDefault="00732E43" w:rsidP="00732E43">
            <w:pPr>
              <w:spacing w:after="200" w:line="240" w:lineRule="exact"/>
              <w:jc w:val="center"/>
              <w:cnfStyle w:val="000000100000"/>
              <w:rPr>
                <w:rFonts w:asciiTheme="minorHAnsi" w:eastAsia="Times New Roman" w:hAnsiTheme="minorHAnsi" w:cstheme="minorHAnsi"/>
                <w:color w:val="000000"/>
                <w:sz w:val="20"/>
                <w:szCs w:val="20"/>
              </w:rPr>
            </w:pPr>
            <w:r w:rsidRPr="004927D7">
              <w:rPr>
                <w:rFonts w:asciiTheme="minorHAnsi" w:eastAsia="Times New Roman" w:hAnsiTheme="minorHAnsi" w:cstheme="minorHAnsi"/>
                <w:color w:val="000000"/>
                <w:sz w:val="20"/>
                <w:szCs w:val="20"/>
              </w:rPr>
              <w:t>1203,50</w:t>
            </w:r>
          </w:p>
        </w:tc>
        <w:tc>
          <w:tcPr>
            <w:tcW w:w="837" w:type="dxa"/>
            <w:noWrap/>
            <w:hideMark/>
          </w:tcPr>
          <w:p w:rsidR="00732E43" w:rsidRPr="004927D7" w:rsidRDefault="00732E43" w:rsidP="00732E43">
            <w:pPr>
              <w:spacing w:after="200" w:line="240" w:lineRule="exact"/>
              <w:jc w:val="center"/>
              <w:cnfStyle w:val="000000100000"/>
              <w:rPr>
                <w:rFonts w:asciiTheme="minorHAnsi" w:eastAsia="Times New Roman" w:hAnsiTheme="minorHAnsi" w:cstheme="minorHAnsi"/>
                <w:color w:val="000000"/>
                <w:sz w:val="20"/>
                <w:szCs w:val="20"/>
              </w:rPr>
            </w:pPr>
            <w:r w:rsidRPr="004927D7">
              <w:rPr>
                <w:rFonts w:asciiTheme="minorHAnsi" w:eastAsia="Times New Roman" w:hAnsiTheme="minorHAnsi" w:cstheme="minorHAnsi"/>
                <w:color w:val="000000"/>
                <w:sz w:val="20"/>
                <w:szCs w:val="20"/>
              </w:rPr>
              <w:t>7221,03</w:t>
            </w:r>
          </w:p>
        </w:tc>
        <w:tc>
          <w:tcPr>
            <w:tcW w:w="1134" w:type="dxa"/>
            <w:noWrap/>
            <w:hideMark/>
          </w:tcPr>
          <w:p w:rsidR="00732E43" w:rsidRPr="004927D7" w:rsidRDefault="00732E43" w:rsidP="00732E43">
            <w:pPr>
              <w:spacing w:after="200" w:line="240" w:lineRule="exact"/>
              <w:jc w:val="center"/>
              <w:cnfStyle w:val="000000100000"/>
              <w:rPr>
                <w:rFonts w:asciiTheme="minorHAnsi" w:eastAsia="Times New Roman" w:hAnsiTheme="minorHAnsi" w:cstheme="minorHAnsi"/>
                <w:color w:val="000000"/>
                <w:sz w:val="20"/>
                <w:szCs w:val="20"/>
              </w:rPr>
            </w:pPr>
            <w:r w:rsidRPr="004927D7">
              <w:rPr>
                <w:rFonts w:asciiTheme="minorHAnsi" w:eastAsia="Times New Roman" w:hAnsiTheme="minorHAnsi" w:cstheme="minorHAnsi"/>
                <w:color w:val="000000"/>
                <w:sz w:val="20"/>
                <w:szCs w:val="20"/>
              </w:rPr>
              <w:t>1387,04</w:t>
            </w:r>
          </w:p>
        </w:tc>
        <w:tc>
          <w:tcPr>
            <w:tcW w:w="837" w:type="dxa"/>
            <w:noWrap/>
            <w:hideMark/>
          </w:tcPr>
          <w:p w:rsidR="00732E43" w:rsidRPr="004927D7" w:rsidRDefault="00732E43" w:rsidP="00732E43">
            <w:pPr>
              <w:spacing w:after="200" w:line="240" w:lineRule="exact"/>
              <w:jc w:val="center"/>
              <w:cnfStyle w:val="000000100000"/>
              <w:rPr>
                <w:rFonts w:asciiTheme="minorHAnsi" w:eastAsia="Times New Roman" w:hAnsiTheme="minorHAnsi" w:cstheme="minorHAnsi"/>
                <w:color w:val="000000"/>
                <w:sz w:val="20"/>
                <w:szCs w:val="20"/>
              </w:rPr>
            </w:pPr>
            <w:r w:rsidRPr="004927D7">
              <w:rPr>
                <w:rFonts w:asciiTheme="minorHAnsi" w:eastAsia="Times New Roman" w:hAnsiTheme="minorHAnsi" w:cstheme="minorHAnsi"/>
                <w:color w:val="000000"/>
                <w:sz w:val="20"/>
                <w:szCs w:val="20"/>
              </w:rPr>
              <w:t>8322,24</w:t>
            </w:r>
          </w:p>
        </w:tc>
        <w:tc>
          <w:tcPr>
            <w:tcW w:w="1071" w:type="dxa"/>
            <w:noWrap/>
            <w:hideMark/>
          </w:tcPr>
          <w:p w:rsidR="00732E43" w:rsidRPr="004927D7" w:rsidRDefault="00732E43" w:rsidP="00732E43">
            <w:pPr>
              <w:spacing w:after="200" w:line="240" w:lineRule="exact"/>
              <w:jc w:val="center"/>
              <w:cnfStyle w:val="000000100000"/>
              <w:rPr>
                <w:rFonts w:asciiTheme="minorHAnsi" w:eastAsia="Times New Roman" w:hAnsiTheme="minorHAnsi" w:cstheme="minorHAnsi"/>
                <w:color w:val="000000"/>
                <w:sz w:val="20"/>
                <w:szCs w:val="20"/>
              </w:rPr>
            </w:pPr>
            <w:r w:rsidRPr="004927D7">
              <w:rPr>
                <w:rFonts w:asciiTheme="minorHAnsi" w:eastAsia="Times New Roman" w:hAnsiTheme="minorHAnsi" w:cstheme="minorHAnsi"/>
                <w:color w:val="000000"/>
                <w:sz w:val="20"/>
                <w:szCs w:val="20"/>
              </w:rPr>
              <w:t>1126,37</w:t>
            </w:r>
          </w:p>
        </w:tc>
        <w:tc>
          <w:tcPr>
            <w:tcW w:w="837" w:type="dxa"/>
            <w:noWrap/>
            <w:hideMark/>
          </w:tcPr>
          <w:p w:rsidR="00732E43" w:rsidRPr="004927D7" w:rsidRDefault="00732E43" w:rsidP="00732E43">
            <w:pPr>
              <w:spacing w:after="200" w:line="240" w:lineRule="exact"/>
              <w:jc w:val="center"/>
              <w:cnfStyle w:val="000000100000"/>
              <w:rPr>
                <w:rFonts w:asciiTheme="minorHAnsi" w:eastAsia="Times New Roman" w:hAnsiTheme="minorHAnsi" w:cstheme="minorHAnsi"/>
                <w:color w:val="000000"/>
                <w:sz w:val="20"/>
                <w:szCs w:val="20"/>
              </w:rPr>
            </w:pPr>
            <w:r w:rsidRPr="004927D7">
              <w:rPr>
                <w:rFonts w:asciiTheme="minorHAnsi" w:eastAsia="Times New Roman" w:hAnsiTheme="minorHAnsi" w:cstheme="minorHAnsi"/>
                <w:color w:val="000000"/>
                <w:sz w:val="20"/>
                <w:szCs w:val="20"/>
              </w:rPr>
              <w:t>6758,22</w:t>
            </w:r>
          </w:p>
        </w:tc>
      </w:tr>
    </w:tbl>
    <w:p w:rsidR="004927D7" w:rsidRDefault="004927D7" w:rsidP="004927D7">
      <w:pPr>
        <w:spacing w:line="240" w:lineRule="exact"/>
        <w:rPr>
          <w:rFonts w:asciiTheme="minorHAnsi" w:hAnsiTheme="minorHAnsi" w:cstheme="minorHAnsi"/>
          <w:sz w:val="22"/>
          <w:szCs w:val="22"/>
          <w:lang w:eastAsia="en-US"/>
        </w:rPr>
      </w:pPr>
    </w:p>
    <w:p w:rsidR="00732E43" w:rsidRPr="00732E43" w:rsidRDefault="00732E43" w:rsidP="004927D7">
      <w:pPr>
        <w:spacing w:line="240" w:lineRule="exact"/>
        <w:rPr>
          <w:rFonts w:asciiTheme="minorHAnsi" w:hAnsiTheme="minorHAnsi" w:cstheme="minorHAnsi"/>
          <w:sz w:val="22"/>
          <w:szCs w:val="22"/>
          <w:lang w:eastAsia="en-US"/>
        </w:rPr>
      </w:pPr>
    </w:p>
    <w:p w:rsidR="00732E43" w:rsidRPr="004927D7" w:rsidRDefault="00732E43" w:rsidP="00DA7A22">
      <w:pPr>
        <w:spacing w:line="240" w:lineRule="exact"/>
        <w:rPr>
          <w:rFonts w:asciiTheme="minorHAnsi" w:hAnsiTheme="minorHAnsi" w:cstheme="minorHAnsi"/>
          <w:i/>
          <w:sz w:val="22"/>
          <w:szCs w:val="22"/>
          <w:lang w:eastAsia="en-US"/>
        </w:rPr>
      </w:pPr>
      <w:r w:rsidRPr="004927D7">
        <w:rPr>
          <w:rFonts w:asciiTheme="minorHAnsi" w:hAnsiTheme="minorHAnsi" w:cstheme="minorHAnsi"/>
          <w:i/>
          <w:sz w:val="22"/>
          <w:szCs w:val="22"/>
          <w:lang w:eastAsia="en-US"/>
        </w:rPr>
        <w:t>T</w:t>
      </w:r>
      <w:r w:rsidR="004927D7" w:rsidRPr="004927D7">
        <w:rPr>
          <w:rFonts w:asciiTheme="minorHAnsi" w:hAnsiTheme="minorHAnsi" w:cstheme="minorHAnsi"/>
          <w:i/>
          <w:sz w:val="22"/>
          <w:szCs w:val="22"/>
          <w:lang w:eastAsia="en-US"/>
        </w:rPr>
        <w:t>ab. 2</w:t>
      </w:r>
      <w:r w:rsidRPr="004927D7">
        <w:rPr>
          <w:rFonts w:asciiTheme="minorHAnsi" w:hAnsiTheme="minorHAnsi" w:cstheme="minorHAnsi"/>
          <w:i/>
          <w:sz w:val="22"/>
          <w:szCs w:val="22"/>
          <w:lang w:eastAsia="en-US"/>
        </w:rPr>
        <w:t>. Udział dochodu minimalnego w przeciętnym wynag</w:t>
      </w:r>
      <w:r w:rsidR="004927D7" w:rsidRPr="004927D7">
        <w:rPr>
          <w:rFonts w:asciiTheme="minorHAnsi" w:hAnsiTheme="minorHAnsi" w:cstheme="minorHAnsi"/>
          <w:i/>
          <w:sz w:val="22"/>
          <w:szCs w:val="22"/>
          <w:lang w:eastAsia="en-US"/>
        </w:rPr>
        <w:t>rodzeniu w gospodarce narodowej</w:t>
      </w:r>
      <w:r w:rsidRPr="004927D7">
        <w:rPr>
          <w:rFonts w:asciiTheme="minorHAnsi" w:hAnsiTheme="minorHAnsi" w:cstheme="minorHAnsi"/>
          <w:i/>
          <w:sz w:val="22"/>
          <w:szCs w:val="22"/>
          <w:lang w:eastAsia="en-US"/>
        </w:rPr>
        <w:t xml:space="preserve"> w</w:t>
      </w:r>
      <w:r w:rsidR="004927D7" w:rsidRPr="004927D7">
        <w:rPr>
          <w:rFonts w:asciiTheme="minorHAnsi" w:hAnsiTheme="minorHAnsi" w:cstheme="minorHAnsi"/>
          <w:i/>
          <w:sz w:val="22"/>
          <w:szCs w:val="22"/>
          <w:lang w:eastAsia="en-US"/>
        </w:rPr>
        <w:t xml:space="preserve"> w</w:t>
      </w:r>
      <w:r w:rsidR="004927D7" w:rsidRPr="004927D7">
        <w:rPr>
          <w:rFonts w:asciiTheme="minorHAnsi" w:hAnsiTheme="minorHAnsi" w:cstheme="minorHAnsi"/>
          <w:i/>
          <w:sz w:val="22"/>
          <w:szCs w:val="22"/>
          <w:lang w:eastAsia="en-US"/>
        </w:rPr>
        <w:t>y</w:t>
      </w:r>
      <w:r w:rsidR="004927D7" w:rsidRPr="004927D7">
        <w:rPr>
          <w:rFonts w:asciiTheme="minorHAnsi" w:hAnsiTheme="minorHAnsi" w:cstheme="minorHAnsi"/>
          <w:i/>
          <w:sz w:val="22"/>
          <w:szCs w:val="22"/>
          <w:lang w:eastAsia="en-US"/>
        </w:rPr>
        <w:t>branych miastach w</w:t>
      </w:r>
      <w:r w:rsidRPr="004927D7">
        <w:rPr>
          <w:rFonts w:asciiTheme="minorHAnsi" w:hAnsiTheme="minorHAnsi" w:cstheme="minorHAnsi"/>
          <w:i/>
          <w:sz w:val="22"/>
          <w:szCs w:val="22"/>
          <w:lang w:eastAsia="en-US"/>
        </w:rPr>
        <w:t xml:space="preserve"> 2017 roku.</w:t>
      </w:r>
    </w:p>
    <w:tbl>
      <w:tblPr>
        <w:tblStyle w:val="Tabelasiatki4akcent41"/>
        <w:tblW w:w="9927" w:type="dxa"/>
        <w:tblLook w:val="04A0"/>
      </w:tblPr>
      <w:tblGrid>
        <w:gridCol w:w="3251"/>
        <w:gridCol w:w="1001"/>
        <w:gridCol w:w="1078"/>
        <w:gridCol w:w="1055"/>
        <w:gridCol w:w="1335"/>
        <w:gridCol w:w="974"/>
        <w:gridCol w:w="1233"/>
      </w:tblGrid>
      <w:tr w:rsidR="00732E43" w:rsidRPr="00732E43" w:rsidTr="00732E43">
        <w:trPr>
          <w:cnfStyle w:val="100000000000"/>
          <w:trHeight w:val="263"/>
        </w:trPr>
        <w:tc>
          <w:tcPr>
            <w:cnfStyle w:val="001000000000"/>
            <w:tcW w:w="3251" w:type="dxa"/>
            <w:noWrap/>
          </w:tcPr>
          <w:p w:rsidR="00732E43" w:rsidRPr="004927D7" w:rsidRDefault="00732E43" w:rsidP="00732E43">
            <w:pPr>
              <w:spacing w:after="200" w:line="240" w:lineRule="exact"/>
              <w:jc w:val="center"/>
              <w:rPr>
                <w:rFonts w:asciiTheme="minorHAnsi" w:eastAsia="Times New Roman" w:hAnsiTheme="minorHAnsi" w:cstheme="minorHAnsi"/>
                <w:color w:val="000000"/>
                <w:sz w:val="20"/>
                <w:szCs w:val="20"/>
              </w:rPr>
            </w:pPr>
          </w:p>
        </w:tc>
        <w:tc>
          <w:tcPr>
            <w:tcW w:w="2079" w:type="dxa"/>
            <w:gridSpan w:val="2"/>
            <w:noWrap/>
          </w:tcPr>
          <w:p w:rsidR="00732E43" w:rsidRPr="004927D7" w:rsidRDefault="00732E43" w:rsidP="00732E43">
            <w:pPr>
              <w:spacing w:after="200" w:line="240" w:lineRule="exact"/>
              <w:jc w:val="center"/>
              <w:cnfStyle w:val="100000000000"/>
              <w:rPr>
                <w:rFonts w:asciiTheme="minorHAnsi" w:eastAsia="Times New Roman" w:hAnsiTheme="minorHAnsi" w:cstheme="minorHAnsi"/>
                <w:color w:val="000000"/>
                <w:sz w:val="20"/>
                <w:szCs w:val="20"/>
              </w:rPr>
            </w:pPr>
            <w:r w:rsidRPr="004927D7">
              <w:rPr>
                <w:rFonts w:asciiTheme="minorHAnsi" w:eastAsia="Times New Roman" w:hAnsiTheme="minorHAnsi" w:cstheme="minorHAnsi"/>
                <w:color w:val="000000"/>
                <w:sz w:val="20"/>
                <w:szCs w:val="20"/>
              </w:rPr>
              <w:t>Lublin</w:t>
            </w:r>
          </w:p>
        </w:tc>
        <w:tc>
          <w:tcPr>
            <w:tcW w:w="2390" w:type="dxa"/>
            <w:gridSpan w:val="2"/>
            <w:noWrap/>
          </w:tcPr>
          <w:p w:rsidR="00732E43" w:rsidRPr="004927D7" w:rsidRDefault="00732E43" w:rsidP="00732E43">
            <w:pPr>
              <w:spacing w:after="200" w:line="240" w:lineRule="exact"/>
              <w:jc w:val="center"/>
              <w:cnfStyle w:val="100000000000"/>
              <w:rPr>
                <w:rFonts w:asciiTheme="minorHAnsi" w:eastAsia="Times New Roman" w:hAnsiTheme="minorHAnsi" w:cstheme="minorHAnsi"/>
                <w:color w:val="000000"/>
                <w:sz w:val="20"/>
                <w:szCs w:val="20"/>
              </w:rPr>
            </w:pPr>
            <w:r w:rsidRPr="004927D7">
              <w:rPr>
                <w:rFonts w:asciiTheme="minorHAnsi" w:eastAsia="Times New Roman" w:hAnsiTheme="minorHAnsi" w:cstheme="minorHAnsi"/>
                <w:color w:val="000000"/>
                <w:sz w:val="20"/>
                <w:szCs w:val="20"/>
              </w:rPr>
              <w:t>Warszawa</w:t>
            </w:r>
          </w:p>
        </w:tc>
        <w:tc>
          <w:tcPr>
            <w:tcW w:w="2206" w:type="dxa"/>
            <w:gridSpan w:val="2"/>
            <w:noWrap/>
          </w:tcPr>
          <w:p w:rsidR="00732E43" w:rsidRPr="004927D7" w:rsidRDefault="00732E43" w:rsidP="00732E43">
            <w:pPr>
              <w:spacing w:after="200" w:line="240" w:lineRule="exact"/>
              <w:jc w:val="center"/>
              <w:cnfStyle w:val="100000000000"/>
              <w:rPr>
                <w:rFonts w:asciiTheme="minorHAnsi" w:eastAsia="Times New Roman" w:hAnsiTheme="minorHAnsi" w:cstheme="minorHAnsi"/>
                <w:color w:val="000000"/>
                <w:sz w:val="20"/>
                <w:szCs w:val="20"/>
              </w:rPr>
            </w:pPr>
            <w:r w:rsidRPr="004927D7">
              <w:rPr>
                <w:rFonts w:asciiTheme="minorHAnsi" w:eastAsia="Times New Roman" w:hAnsiTheme="minorHAnsi" w:cstheme="minorHAnsi"/>
                <w:color w:val="000000"/>
                <w:sz w:val="20"/>
                <w:szCs w:val="20"/>
              </w:rPr>
              <w:t>„małe miasto”</w:t>
            </w:r>
          </w:p>
        </w:tc>
      </w:tr>
      <w:tr w:rsidR="00732E43" w:rsidRPr="00732E43" w:rsidTr="00732E43">
        <w:trPr>
          <w:cnfStyle w:val="000000100000"/>
          <w:trHeight w:val="263"/>
        </w:trPr>
        <w:tc>
          <w:tcPr>
            <w:cnfStyle w:val="001000000000"/>
            <w:tcW w:w="3251" w:type="dxa"/>
            <w:tcBorders>
              <w:top w:val="single" w:sz="4" w:space="0" w:color="27B9CA"/>
            </w:tcBorders>
            <w:shd w:val="clear" w:color="auto" w:fill="27B9CA"/>
            <w:noWrap/>
            <w:hideMark/>
          </w:tcPr>
          <w:p w:rsidR="00732E43" w:rsidRPr="004927D7" w:rsidRDefault="00732E43" w:rsidP="00732E43">
            <w:pPr>
              <w:spacing w:after="200" w:line="240" w:lineRule="exact"/>
              <w:jc w:val="center"/>
              <w:rPr>
                <w:rFonts w:asciiTheme="minorHAnsi" w:eastAsia="Times New Roman" w:hAnsiTheme="minorHAnsi" w:cstheme="minorHAnsi"/>
                <w:color w:val="000000"/>
                <w:sz w:val="20"/>
                <w:szCs w:val="20"/>
              </w:rPr>
            </w:pPr>
            <w:r w:rsidRPr="004927D7">
              <w:rPr>
                <w:rFonts w:asciiTheme="minorHAnsi" w:eastAsia="Times New Roman" w:hAnsiTheme="minorHAnsi" w:cstheme="minorHAnsi"/>
                <w:color w:val="000000"/>
                <w:sz w:val="20"/>
                <w:szCs w:val="20"/>
              </w:rPr>
              <w:t>brutto</w:t>
            </w:r>
          </w:p>
        </w:tc>
        <w:tc>
          <w:tcPr>
            <w:tcW w:w="2079" w:type="dxa"/>
            <w:gridSpan w:val="2"/>
            <w:tcBorders>
              <w:top w:val="single" w:sz="4" w:space="0" w:color="27B9CA"/>
            </w:tcBorders>
            <w:shd w:val="clear" w:color="auto" w:fill="27B9CA"/>
            <w:noWrap/>
            <w:hideMark/>
          </w:tcPr>
          <w:p w:rsidR="00732E43" w:rsidRPr="004927D7" w:rsidRDefault="00732E43" w:rsidP="00732E43">
            <w:pPr>
              <w:spacing w:after="200" w:line="240" w:lineRule="exact"/>
              <w:jc w:val="center"/>
              <w:cnfStyle w:val="000000100000"/>
              <w:rPr>
                <w:rFonts w:asciiTheme="minorHAnsi" w:eastAsia="Times New Roman" w:hAnsiTheme="minorHAnsi" w:cstheme="minorHAnsi"/>
                <w:b/>
                <w:color w:val="000000"/>
                <w:sz w:val="20"/>
                <w:szCs w:val="20"/>
              </w:rPr>
            </w:pPr>
            <w:r w:rsidRPr="004927D7">
              <w:rPr>
                <w:rFonts w:asciiTheme="minorHAnsi" w:eastAsia="Times New Roman" w:hAnsiTheme="minorHAnsi" w:cstheme="minorHAnsi"/>
                <w:b/>
                <w:color w:val="000000"/>
                <w:sz w:val="20"/>
                <w:szCs w:val="20"/>
              </w:rPr>
              <w:t>4047,21</w:t>
            </w:r>
          </w:p>
        </w:tc>
        <w:tc>
          <w:tcPr>
            <w:tcW w:w="2390" w:type="dxa"/>
            <w:gridSpan w:val="2"/>
            <w:tcBorders>
              <w:top w:val="single" w:sz="4" w:space="0" w:color="27B9CA"/>
            </w:tcBorders>
            <w:shd w:val="clear" w:color="auto" w:fill="27B9CA"/>
            <w:noWrap/>
            <w:hideMark/>
          </w:tcPr>
          <w:p w:rsidR="00732E43" w:rsidRPr="004927D7" w:rsidRDefault="00732E43" w:rsidP="00732E43">
            <w:pPr>
              <w:spacing w:after="200" w:line="240" w:lineRule="exact"/>
              <w:jc w:val="center"/>
              <w:cnfStyle w:val="000000100000"/>
              <w:rPr>
                <w:rFonts w:asciiTheme="minorHAnsi" w:eastAsia="Times New Roman" w:hAnsiTheme="minorHAnsi" w:cstheme="minorHAnsi"/>
                <w:b/>
                <w:color w:val="000000"/>
                <w:sz w:val="20"/>
                <w:szCs w:val="20"/>
              </w:rPr>
            </w:pPr>
            <w:r w:rsidRPr="004927D7">
              <w:rPr>
                <w:rFonts w:asciiTheme="minorHAnsi" w:eastAsia="Times New Roman" w:hAnsiTheme="minorHAnsi" w:cstheme="minorHAnsi"/>
                <w:b/>
                <w:color w:val="000000"/>
                <w:sz w:val="20"/>
                <w:szCs w:val="20"/>
              </w:rPr>
              <w:t>4047,21</w:t>
            </w:r>
          </w:p>
        </w:tc>
        <w:tc>
          <w:tcPr>
            <w:tcW w:w="2206" w:type="dxa"/>
            <w:gridSpan w:val="2"/>
            <w:tcBorders>
              <w:top w:val="single" w:sz="4" w:space="0" w:color="27B9CA"/>
            </w:tcBorders>
            <w:shd w:val="clear" w:color="auto" w:fill="27B9CA"/>
            <w:noWrap/>
            <w:hideMark/>
          </w:tcPr>
          <w:p w:rsidR="00732E43" w:rsidRPr="004927D7" w:rsidRDefault="00732E43" w:rsidP="00732E43">
            <w:pPr>
              <w:spacing w:after="200" w:line="240" w:lineRule="exact"/>
              <w:jc w:val="center"/>
              <w:cnfStyle w:val="000000100000"/>
              <w:rPr>
                <w:rFonts w:asciiTheme="minorHAnsi" w:eastAsia="Times New Roman" w:hAnsiTheme="minorHAnsi" w:cstheme="minorHAnsi"/>
                <w:b/>
                <w:color w:val="000000"/>
                <w:sz w:val="20"/>
                <w:szCs w:val="20"/>
              </w:rPr>
            </w:pPr>
            <w:r w:rsidRPr="004927D7">
              <w:rPr>
                <w:rFonts w:asciiTheme="minorHAnsi" w:eastAsia="Times New Roman" w:hAnsiTheme="minorHAnsi" w:cstheme="minorHAnsi"/>
                <w:b/>
                <w:color w:val="000000"/>
                <w:sz w:val="20"/>
                <w:szCs w:val="20"/>
              </w:rPr>
              <w:t>4047,21</w:t>
            </w:r>
          </w:p>
        </w:tc>
      </w:tr>
      <w:tr w:rsidR="00732E43" w:rsidRPr="00732E43" w:rsidTr="00732E43">
        <w:trPr>
          <w:trHeight w:val="263"/>
        </w:trPr>
        <w:tc>
          <w:tcPr>
            <w:cnfStyle w:val="001000000000"/>
            <w:tcW w:w="3251" w:type="dxa"/>
            <w:shd w:val="clear" w:color="auto" w:fill="27B9CA"/>
            <w:noWrap/>
            <w:hideMark/>
          </w:tcPr>
          <w:p w:rsidR="00732E43" w:rsidRPr="004927D7" w:rsidRDefault="00732E43" w:rsidP="00732E43">
            <w:pPr>
              <w:spacing w:after="200" w:line="240" w:lineRule="exact"/>
              <w:jc w:val="center"/>
              <w:rPr>
                <w:rFonts w:asciiTheme="minorHAnsi" w:eastAsia="Times New Roman" w:hAnsiTheme="minorHAnsi" w:cstheme="minorHAnsi"/>
                <w:color w:val="000000"/>
                <w:sz w:val="20"/>
                <w:szCs w:val="20"/>
              </w:rPr>
            </w:pPr>
            <w:r w:rsidRPr="004927D7">
              <w:rPr>
                <w:rFonts w:asciiTheme="minorHAnsi" w:eastAsia="Times New Roman" w:hAnsiTheme="minorHAnsi" w:cstheme="minorHAnsi"/>
                <w:color w:val="000000"/>
                <w:sz w:val="20"/>
                <w:szCs w:val="20"/>
              </w:rPr>
              <w:t>netto</w:t>
            </w:r>
          </w:p>
        </w:tc>
        <w:tc>
          <w:tcPr>
            <w:tcW w:w="2079" w:type="dxa"/>
            <w:gridSpan w:val="2"/>
            <w:shd w:val="clear" w:color="auto" w:fill="27B9CA"/>
            <w:noWrap/>
            <w:hideMark/>
          </w:tcPr>
          <w:p w:rsidR="00732E43" w:rsidRPr="004927D7" w:rsidRDefault="00732E43" w:rsidP="00732E43">
            <w:pPr>
              <w:spacing w:after="200" w:line="240" w:lineRule="exact"/>
              <w:jc w:val="center"/>
              <w:cnfStyle w:val="000000000000"/>
              <w:rPr>
                <w:rFonts w:asciiTheme="minorHAnsi" w:eastAsia="Times New Roman" w:hAnsiTheme="minorHAnsi" w:cstheme="minorHAnsi"/>
                <w:b/>
                <w:color w:val="000000"/>
                <w:sz w:val="20"/>
                <w:szCs w:val="20"/>
              </w:rPr>
            </w:pPr>
            <w:r w:rsidRPr="004927D7">
              <w:rPr>
                <w:rFonts w:asciiTheme="minorHAnsi" w:eastAsia="Times New Roman" w:hAnsiTheme="minorHAnsi" w:cstheme="minorHAnsi"/>
                <w:b/>
                <w:color w:val="000000"/>
                <w:sz w:val="20"/>
                <w:szCs w:val="20"/>
              </w:rPr>
              <w:t>2886,42</w:t>
            </w:r>
          </w:p>
        </w:tc>
        <w:tc>
          <w:tcPr>
            <w:tcW w:w="2390" w:type="dxa"/>
            <w:gridSpan w:val="2"/>
            <w:shd w:val="clear" w:color="auto" w:fill="27B9CA"/>
            <w:noWrap/>
            <w:hideMark/>
          </w:tcPr>
          <w:p w:rsidR="00732E43" w:rsidRPr="004927D7" w:rsidRDefault="00732E43" w:rsidP="00732E43">
            <w:pPr>
              <w:spacing w:after="200" w:line="240" w:lineRule="exact"/>
              <w:jc w:val="center"/>
              <w:cnfStyle w:val="000000000000"/>
              <w:rPr>
                <w:rFonts w:asciiTheme="minorHAnsi" w:eastAsia="Times New Roman" w:hAnsiTheme="minorHAnsi" w:cstheme="minorHAnsi"/>
                <w:b/>
                <w:color w:val="000000"/>
                <w:sz w:val="20"/>
                <w:szCs w:val="20"/>
              </w:rPr>
            </w:pPr>
            <w:r w:rsidRPr="004927D7">
              <w:rPr>
                <w:rFonts w:asciiTheme="minorHAnsi" w:eastAsia="Times New Roman" w:hAnsiTheme="minorHAnsi" w:cstheme="minorHAnsi"/>
                <w:b/>
                <w:color w:val="000000"/>
                <w:sz w:val="20"/>
                <w:szCs w:val="20"/>
              </w:rPr>
              <w:t>2886,42</w:t>
            </w:r>
          </w:p>
        </w:tc>
        <w:tc>
          <w:tcPr>
            <w:tcW w:w="2206" w:type="dxa"/>
            <w:gridSpan w:val="2"/>
            <w:shd w:val="clear" w:color="auto" w:fill="27B9CA"/>
            <w:noWrap/>
            <w:hideMark/>
          </w:tcPr>
          <w:p w:rsidR="00732E43" w:rsidRPr="004927D7" w:rsidRDefault="00732E43" w:rsidP="00732E43">
            <w:pPr>
              <w:spacing w:after="200" w:line="240" w:lineRule="exact"/>
              <w:jc w:val="center"/>
              <w:cnfStyle w:val="000000000000"/>
              <w:rPr>
                <w:rFonts w:asciiTheme="minorHAnsi" w:eastAsia="Times New Roman" w:hAnsiTheme="minorHAnsi" w:cstheme="minorHAnsi"/>
                <w:b/>
                <w:color w:val="000000"/>
                <w:sz w:val="20"/>
                <w:szCs w:val="20"/>
              </w:rPr>
            </w:pPr>
            <w:r w:rsidRPr="004927D7">
              <w:rPr>
                <w:rFonts w:asciiTheme="minorHAnsi" w:eastAsia="Times New Roman" w:hAnsiTheme="minorHAnsi" w:cstheme="minorHAnsi"/>
                <w:b/>
                <w:color w:val="000000"/>
                <w:sz w:val="20"/>
                <w:szCs w:val="20"/>
              </w:rPr>
              <w:t>2886,42</w:t>
            </w:r>
          </w:p>
        </w:tc>
      </w:tr>
      <w:tr w:rsidR="00732E43" w:rsidRPr="00732E43" w:rsidTr="00732E43">
        <w:trPr>
          <w:cnfStyle w:val="000000100000"/>
          <w:trHeight w:val="159"/>
        </w:trPr>
        <w:tc>
          <w:tcPr>
            <w:cnfStyle w:val="001000000000"/>
            <w:tcW w:w="9927" w:type="dxa"/>
            <w:gridSpan w:val="7"/>
            <w:shd w:val="clear" w:color="auto" w:fill="27B9CA"/>
            <w:noWrap/>
            <w:hideMark/>
          </w:tcPr>
          <w:p w:rsidR="00732E43" w:rsidRPr="004927D7" w:rsidRDefault="00732E43" w:rsidP="00732E43">
            <w:pPr>
              <w:spacing w:after="200" w:line="240" w:lineRule="exact"/>
              <w:jc w:val="center"/>
              <w:rPr>
                <w:rFonts w:asciiTheme="minorHAnsi" w:eastAsia="Times New Roman" w:hAnsiTheme="minorHAnsi" w:cstheme="minorHAnsi"/>
                <w:color w:val="000000"/>
                <w:sz w:val="20"/>
                <w:szCs w:val="20"/>
              </w:rPr>
            </w:pPr>
            <w:r w:rsidRPr="004927D7">
              <w:rPr>
                <w:rFonts w:asciiTheme="minorHAnsi" w:eastAsia="Times New Roman" w:hAnsiTheme="minorHAnsi" w:cstheme="minorHAnsi"/>
                <w:color w:val="000000"/>
                <w:sz w:val="20"/>
                <w:szCs w:val="20"/>
              </w:rPr>
              <w:t>Udział netto w %</w:t>
            </w:r>
          </w:p>
        </w:tc>
      </w:tr>
      <w:tr w:rsidR="00732E43" w:rsidRPr="00732E43" w:rsidTr="00732E43">
        <w:trPr>
          <w:trHeight w:val="263"/>
        </w:trPr>
        <w:tc>
          <w:tcPr>
            <w:cnfStyle w:val="001000000000"/>
            <w:tcW w:w="3251" w:type="dxa"/>
            <w:shd w:val="clear" w:color="auto" w:fill="27B9CA"/>
            <w:noWrap/>
          </w:tcPr>
          <w:p w:rsidR="00732E43" w:rsidRPr="004927D7" w:rsidRDefault="00732E43" w:rsidP="00732E43">
            <w:pPr>
              <w:spacing w:after="200" w:line="240" w:lineRule="exact"/>
              <w:jc w:val="left"/>
              <w:rPr>
                <w:rFonts w:asciiTheme="minorHAnsi" w:eastAsia="Times New Roman" w:hAnsiTheme="minorHAnsi" w:cstheme="minorHAnsi"/>
                <w:color w:val="000000"/>
                <w:sz w:val="20"/>
                <w:szCs w:val="20"/>
              </w:rPr>
            </w:pPr>
          </w:p>
        </w:tc>
        <w:tc>
          <w:tcPr>
            <w:tcW w:w="1001" w:type="dxa"/>
            <w:shd w:val="clear" w:color="auto" w:fill="27B9CA"/>
            <w:noWrap/>
          </w:tcPr>
          <w:p w:rsidR="00732E43" w:rsidRPr="004927D7" w:rsidRDefault="00732E43" w:rsidP="00732E43">
            <w:pPr>
              <w:spacing w:after="200" w:line="240" w:lineRule="exact"/>
              <w:jc w:val="left"/>
              <w:cnfStyle w:val="000000000000"/>
              <w:rPr>
                <w:rFonts w:asciiTheme="minorHAnsi" w:hAnsiTheme="minorHAnsi" w:cstheme="minorHAnsi"/>
                <w:b/>
                <w:sz w:val="20"/>
                <w:szCs w:val="20"/>
                <w:lang w:eastAsia="en-US"/>
              </w:rPr>
            </w:pPr>
            <w:r w:rsidRPr="004927D7">
              <w:rPr>
                <w:rFonts w:asciiTheme="minorHAnsi" w:hAnsiTheme="minorHAnsi" w:cstheme="minorHAnsi"/>
                <w:b/>
                <w:sz w:val="20"/>
                <w:szCs w:val="20"/>
                <w:lang w:eastAsia="en-US"/>
              </w:rPr>
              <w:t>na 1 os.</w:t>
            </w:r>
          </w:p>
        </w:tc>
        <w:tc>
          <w:tcPr>
            <w:tcW w:w="1078" w:type="dxa"/>
            <w:shd w:val="clear" w:color="auto" w:fill="27B9CA"/>
            <w:noWrap/>
          </w:tcPr>
          <w:p w:rsidR="00732E43" w:rsidRPr="004927D7" w:rsidRDefault="00732E43" w:rsidP="00732E43">
            <w:pPr>
              <w:spacing w:after="200" w:line="240" w:lineRule="exact"/>
              <w:jc w:val="left"/>
              <w:cnfStyle w:val="000000000000"/>
              <w:rPr>
                <w:rFonts w:asciiTheme="minorHAnsi" w:hAnsiTheme="minorHAnsi" w:cstheme="minorHAnsi"/>
                <w:b/>
                <w:sz w:val="20"/>
                <w:szCs w:val="20"/>
                <w:lang w:eastAsia="en-US"/>
              </w:rPr>
            </w:pPr>
            <w:r w:rsidRPr="004927D7">
              <w:rPr>
                <w:rFonts w:asciiTheme="minorHAnsi" w:hAnsiTheme="minorHAnsi" w:cstheme="minorHAnsi"/>
                <w:b/>
                <w:sz w:val="20"/>
                <w:szCs w:val="20"/>
                <w:lang w:eastAsia="en-US"/>
              </w:rPr>
              <w:t>ogółem</w:t>
            </w:r>
          </w:p>
        </w:tc>
        <w:tc>
          <w:tcPr>
            <w:tcW w:w="1055" w:type="dxa"/>
            <w:shd w:val="clear" w:color="auto" w:fill="27B9CA"/>
            <w:noWrap/>
          </w:tcPr>
          <w:p w:rsidR="00732E43" w:rsidRPr="004927D7" w:rsidRDefault="00732E43" w:rsidP="00732E43">
            <w:pPr>
              <w:spacing w:after="200" w:line="240" w:lineRule="exact"/>
              <w:jc w:val="left"/>
              <w:cnfStyle w:val="000000000000"/>
              <w:rPr>
                <w:rFonts w:asciiTheme="minorHAnsi" w:hAnsiTheme="minorHAnsi" w:cstheme="minorHAnsi"/>
                <w:b/>
                <w:sz w:val="20"/>
                <w:szCs w:val="20"/>
                <w:lang w:eastAsia="en-US"/>
              </w:rPr>
            </w:pPr>
            <w:r w:rsidRPr="004927D7">
              <w:rPr>
                <w:rFonts w:asciiTheme="minorHAnsi" w:hAnsiTheme="minorHAnsi" w:cstheme="minorHAnsi"/>
                <w:b/>
                <w:sz w:val="20"/>
                <w:szCs w:val="20"/>
                <w:lang w:eastAsia="en-US"/>
              </w:rPr>
              <w:t>na 1 os.</w:t>
            </w:r>
          </w:p>
        </w:tc>
        <w:tc>
          <w:tcPr>
            <w:tcW w:w="1334" w:type="dxa"/>
            <w:shd w:val="clear" w:color="auto" w:fill="27B9CA"/>
            <w:noWrap/>
          </w:tcPr>
          <w:p w:rsidR="00732E43" w:rsidRPr="004927D7" w:rsidRDefault="00732E43" w:rsidP="00732E43">
            <w:pPr>
              <w:spacing w:after="200" w:line="240" w:lineRule="exact"/>
              <w:jc w:val="left"/>
              <w:cnfStyle w:val="000000000000"/>
              <w:rPr>
                <w:rFonts w:asciiTheme="minorHAnsi" w:hAnsiTheme="minorHAnsi" w:cstheme="minorHAnsi"/>
                <w:b/>
                <w:sz w:val="20"/>
                <w:szCs w:val="20"/>
                <w:lang w:eastAsia="en-US"/>
              </w:rPr>
            </w:pPr>
            <w:r w:rsidRPr="004927D7">
              <w:rPr>
                <w:rFonts w:asciiTheme="minorHAnsi" w:hAnsiTheme="minorHAnsi" w:cstheme="minorHAnsi"/>
                <w:b/>
                <w:sz w:val="20"/>
                <w:szCs w:val="20"/>
                <w:lang w:eastAsia="en-US"/>
              </w:rPr>
              <w:t>ogółem</w:t>
            </w:r>
          </w:p>
        </w:tc>
        <w:tc>
          <w:tcPr>
            <w:tcW w:w="974" w:type="dxa"/>
            <w:shd w:val="clear" w:color="auto" w:fill="27B9CA"/>
            <w:noWrap/>
          </w:tcPr>
          <w:p w:rsidR="00732E43" w:rsidRPr="004927D7" w:rsidRDefault="00732E43" w:rsidP="00732E43">
            <w:pPr>
              <w:spacing w:after="200" w:line="240" w:lineRule="exact"/>
              <w:jc w:val="left"/>
              <w:cnfStyle w:val="000000000000"/>
              <w:rPr>
                <w:rFonts w:asciiTheme="minorHAnsi" w:hAnsiTheme="minorHAnsi" w:cstheme="minorHAnsi"/>
                <w:b/>
                <w:sz w:val="20"/>
                <w:szCs w:val="20"/>
                <w:lang w:eastAsia="en-US"/>
              </w:rPr>
            </w:pPr>
            <w:r w:rsidRPr="004927D7">
              <w:rPr>
                <w:rFonts w:asciiTheme="minorHAnsi" w:hAnsiTheme="minorHAnsi" w:cstheme="minorHAnsi"/>
                <w:b/>
                <w:sz w:val="20"/>
                <w:szCs w:val="20"/>
                <w:lang w:eastAsia="en-US"/>
              </w:rPr>
              <w:t>na 1 os.</w:t>
            </w:r>
          </w:p>
        </w:tc>
        <w:tc>
          <w:tcPr>
            <w:tcW w:w="1232" w:type="dxa"/>
            <w:shd w:val="clear" w:color="auto" w:fill="27B9CA"/>
            <w:noWrap/>
          </w:tcPr>
          <w:p w:rsidR="00732E43" w:rsidRPr="004927D7" w:rsidRDefault="00732E43" w:rsidP="00732E43">
            <w:pPr>
              <w:spacing w:after="200" w:line="240" w:lineRule="exact"/>
              <w:jc w:val="left"/>
              <w:cnfStyle w:val="000000000000"/>
              <w:rPr>
                <w:rFonts w:asciiTheme="minorHAnsi" w:hAnsiTheme="minorHAnsi" w:cstheme="minorHAnsi"/>
                <w:b/>
                <w:sz w:val="20"/>
                <w:szCs w:val="20"/>
                <w:lang w:eastAsia="en-US"/>
              </w:rPr>
            </w:pPr>
            <w:r w:rsidRPr="004927D7">
              <w:rPr>
                <w:rFonts w:asciiTheme="minorHAnsi" w:hAnsiTheme="minorHAnsi" w:cstheme="minorHAnsi"/>
                <w:b/>
                <w:sz w:val="20"/>
                <w:szCs w:val="20"/>
                <w:lang w:eastAsia="en-US"/>
              </w:rPr>
              <w:t>ogółem</w:t>
            </w:r>
          </w:p>
        </w:tc>
      </w:tr>
      <w:tr w:rsidR="00732E43" w:rsidRPr="00732E43" w:rsidTr="00732E43">
        <w:trPr>
          <w:cnfStyle w:val="000000100000"/>
          <w:trHeight w:hRule="exact" w:val="263"/>
        </w:trPr>
        <w:tc>
          <w:tcPr>
            <w:cnfStyle w:val="001000000000"/>
            <w:tcW w:w="3251" w:type="dxa"/>
            <w:noWrap/>
            <w:hideMark/>
          </w:tcPr>
          <w:p w:rsidR="00732E43" w:rsidRPr="004927D7" w:rsidRDefault="00732E43" w:rsidP="00732E43">
            <w:pPr>
              <w:spacing w:after="200" w:line="240" w:lineRule="exact"/>
              <w:jc w:val="left"/>
              <w:rPr>
                <w:rFonts w:asciiTheme="minorHAnsi" w:eastAsia="Times New Roman" w:hAnsiTheme="minorHAnsi" w:cstheme="minorHAnsi"/>
                <w:color w:val="000000"/>
                <w:sz w:val="20"/>
                <w:szCs w:val="20"/>
              </w:rPr>
            </w:pPr>
            <w:r w:rsidRPr="004927D7">
              <w:rPr>
                <w:rFonts w:asciiTheme="minorHAnsi" w:eastAsia="Times New Roman" w:hAnsiTheme="minorHAnsi" w:cstheme="minorHAnsi"/>
                <w:color w:val="000000"/>
                <w:sz w:val="20"/>
                <w:szCs w:val="20"/>
              </w:rPr>
              <w:t>S</w:t>
            </w:r>
          </w:p>
        </w:tc>
        <w:tc>
          <w:tcPr>
            <w:tcW w:w="1001" w:type="dxa"/>
            <w:noWrap/>
            <w:hideMark/>
          </w:tcPr>
          <w:p w:rsidR="00732E43" w:rsidRPr="004927D7" w:rsidRDefault="00732E43" w:rsidP="00732E43">
            <w:pPr>
              <w:spacing w:after="200" w:line="240" w:lineRule="exact"/>
              <w:jc w:val="center"/>
              <w:cnfStyle w:val="000000100000"/>
              <w:rPr>
                <w:rFonts w:asciiTheme="minorHAnsi" w:eastAsia="Times New Roman" w:hAnsiTheme="minorHAnsi" w:cstheme="minorHAnsi"/>
                <w:color w:val="000000"/>
                <w:sz w:val="20"/>
                <w:szCs w:val="20"/>
              </w:rPr>
            </w:pPr>
            <w:r w:rsidRPr="004927D7">
              <w:rPr>
                <w:rFonts w:asciiTheme="minorHAnsi" w:eastAsia="Times New Roman" w:hAnsiTheme="minorHAnsi" w:cstheme="minorHAnsi"/>
                <w:color w:val="000000"/>
                <w:sz w:val="20"/>
                <w:szCs w:val="20"/>
              </w:rPr>
              <w:t>47,8</w:t>
            </w:r>
          </w:p>
        </w:tc>
        <w:tc>
          <w:tcPr>
            <w:tcW w:w="1078" w:type="dxa"/>
            <w:noWrap/>
            <w:hideMark/>
          </w:tcPr>
          <w:p w:rsidR="00732E43" w:rsidRPr="004927D7" w:rsidRDefault="00732E43" w:rsidP="00732E43">
            <w:pPr>
              <w:spacing w:after="200" w:line="240" w:lineRule="exact"/>
              <w:jc w:val="center"/>
              <w:cnfStyle w:val="000000100000"/>
              <w:rPr>
                <w:rFonts w:asciiTheme="minorHAnsi" w:eastAsia="Times New Roman" w:hAnsiTheme="minorHAnsi" w:cstheme="minorHAnsi"/>
                <w:color w:val="000000"/>
                <w:sz w:val="20"/>
                <w:szCs w:val="20"/>
              </w:rPr>
            </w:pPr>
            <w:r w:rsidRPr="004927D7">
              <w:rPr>
                <w:rFonts w:asciiTheme="minorHAnsi" w:eastAsia="Times New Roman" w:hAnsiTheme="minorHAnsi" w:cstheme="minorHAnsi"/>
                <w:color w:val="000000"/>
                <w:sz w:val="20"/>
                <w:szCs w:val="20"/>
              </w:rPr>
              <w:t>47,8</w:t>
            </w:r>
          </w:p>
        </w:tc>
        <w:tc>
          <w:tcPr>
            <w:tcW w:w="1055" w:type="dxa"/>
            <w:noWrap/>
            <w:hideMark/>
          </w:tcPr>
          <w:p w:rsidR="00732E43" w:rsidRPr="004927D7" w:rsidRDefault="00732E43" w:rsidP="00732E43">
            <w:pPr>
              <w:spacing w:after="200" w:line="240" w:lineRule="exact"/>
              <w:jc w:val="center"/>
              <w:cnfStyle w:val="000000100000"/>
              <w:rPr>
                <w:rFonts w:asciiTheme="minorHAnsi" w:eastAsia="Times New Roman" w:hAnsiTheme="minorHAnsi" w:cstheme="minorHAnsi"/>
                <w:color w:val="000000"/>
                <w:sz w:val="20"/>
                <w:szCs w:val="20"/>
              </w:rPr>
            </w:pPr>
            <w:r w:rsidRPr="004927D7">
              <w:rPr>
                <w:rFonts w:asciiTheme="minorHAnsi" w:eastAsia="Times New Roman" w:hAnsiTheme="minorHAnsi" w:cstheme="minorHAnsi"/>
                <w:color w:val="000000"/>
                <w:sz w:val="20"/>
                <w:szCs w:val="20"/>
              </w:rPr>
              <w:t>58,0</w:t>
            </w:r>
          </w:p>
        </w:tc>
        <w:tc>
          <w:tcPr>
            <w:tcW w:w="1334" w:type="dxa"/>
            <w:noWrap/>
            <w:hideMark/>
          </w:tcPr>
          <w:p w:rsidR="00732E43" w:rsidRPr="004927D7" w:rsidRDefault="00732E43" w:rsidP="00732E43">
            <w:pPr>
              <w:spacing w:after="200" w:line="240" w:lineRule="exact"/>
              <w:jc w:val="center"/>
              <w:cnfStyle w:val="000000100000"/>
              <w:rPr>
                <w:rFonts w:asciiTheme="minorHAnsi" w:eastAsia="Times New Roman" w:hAnsiTheme="minorHAnsi" w:cstheme="minorHAnsi"/>
                <w:color w:val="000000"/>
                <w:sz w:val="20"/>
                <w:szCs w:val="20"/>
              </w:rPr>
            </w:pPr>
            <w:r w:rsidRPr="004927D7">
              <w:rPr>
                <w:rFonts w:asciiTheme="minorHAnsi" w:eastAsia="Times New Roman" w:hAnsiTheme="minorHAnsi" w:cstheme="minorHAnsi"/>
                <w:color w:val="000000"/>
                <w:sz w:val="20"/>
                <w:szCs w:val="20"/>
              </w:rPr>
              <w:t>58,0</w:t>
            </w:r>
          </w:p>
        </w:tc>
        <w:tc>
          <w:tcPr>
            <w:tcW w:w="974" w:type="dxa"/>
            <w:noWrap/>
            <w:hideMark/>
          </w:tcPr>
          <w:p w:rsidR="00732E43" w:rsidRPr="004927D7" w:rsidRDefault="00732E43" w:rsidP="00732E43">
            <w:pPr>
              <w:spacing w:after="200" w:line="240" w:lineRule="exact"/>
              <w:jc w:val="center"/>
              <w:cnfStyle w:val="000000100000"/>
              <w:rPr>
                <w:rFonts w:asciiTheme="minorHAnsi" w:eastAsia="Times New Roman" w:hAnsiTheme="minorHAnsi" w:cstheme="minorHAnsi"/>
                <w:color w:val="000000"/>
                <w:sz w:val="20"/>
                <w:szCs w:val="20"/>
              </w:rPr>
            </w:pPr>
            <w:r w:rsidRPr="004927D7">
              <w:rPr>
                <w:rFonts w:asciiTheme="minorHAnsi" w:eastAsia="Times New Roman" w:hAnsiTheme="minorHAnsi" w:cstheme="minorHAnsi"/>
                <w:color w:val="000000"/>
                <w:sz w:val="20"/>
                <w:szCs w:val="20"/>
              </w:rPr>
              <w:t>43,5</w:t>
            </w:r>
          </w:p>
        </w:tc>
        <w:tc>
          <w:tcPr>
            <w:tcW w:w="1232" w:type="dxa"/>
            <w:noWrap/>
            <w:hideMark/>
          </w:tcPr>
          <w:p w:rsidR="00732E43" w:rsidRPr="004927D7" w:rsidRDefault="00732E43" w:rsidP="00732E43">
            <w:pPr>
              <w:spacing w:after="200" w:line="240" w:lineRule="exact"/>
              <w:jc w:val="center"/>
              <w:cnfStyle w:val="000000100000"/>
              <w:rPr>
                <w:rFonts w:asciiTheme="minorHAnsi" w:eastAsia="Times New Roman" w:hAnsiTheme="minorHAnsi" w:cstheme="minorHAnsi"/>
                <w:color w:val="000000"/>
                <w:sz w:val="20"/>
                <w:szCs w:val="20"/>
              </w:rPr>
            </w:pPr>
            <w:r w:rsidRPr="004927D7">
              <w:rPr>
                <w:rFonts w:asciiTheme="minorHAnsi" w:eastAsia="Times New Roman" w:hAnsiTheme="minorHAnsi" w:cstheme="minorHAnsi"/>
                <w:color w:val="000000"/>
                <w:sz w:val="20"/>
                <w:szCs w:val="20"/>
              </w:rPr>
              <w:t>43,5</w:t>
            </w:r>
          </w:p>
        </w:tc>
      </w:tr>
      <w:tr w:rsidR="00732E43" w:rsidRPr="00732E43" w:rsidTr="00732E43">
        <w:trPr>
          <w:trHeight w:hRule="exact" w:val="263"/>
        </w:trPr>
        <w:tc>
          <w:tcPr>
            <w:cnfStyle w:val="001000000000"/>
            <w:tcW w:w="3251" w:type="dxa"/>
            <w:noWrap/>
            <w:hideMark/>
          </w:tcPr>
          <w:p w:rsidR="00732E43" w:rsidRPr="004927D7" w:rsidRDefault="00732E43" w:rsidP="00732E43">
            <w:pPr>
              <w:spacing w:after="200" w:line="240" w:lineRule="exact"/>
              <w:jc w:val="left"/>
              <w:rPr>
                <w:rFonts w:asciiTheme="minorHAnsi" w:eastAsia="Times New Roman" w:hAnsiTheme="minorHAnsi" w:cstheme="minorHAnsi"/>
                <w:color w:val="000000"/>
                <w:sz w:val="20"/>
                <w:szCs w:val="20"/>
              </w:rPr>
            </w:pPr>
            <w:r w:rsidRPr="004927D7">
              <w:rPr>
                <w:rFonts w:asciiTheme="minorHAnsi" w:eastAsia="Times New Roman" w:hAnsiTheme="minorHAnsi" w:cstheme="minorHAnsi"/>
                <w:color w:val="000000"/>
                <w:sz w:val="20"/>
                <w:szCs w:val="20"/>
              </w:rPr>
              <w:t>S+DM</w:t>
            </w:r>
          </w:p>
        </w:tc>
        <w:tc>
          <w:tcPr>
            <w:tcW w:w="1001" w:type="dxa"/>
            <w:noWrap/>
            <w:hideMark/>
          </w:tcPr>
          <w:p w:rsidR="00732E43" w:rsidRPr="004927D7" w:rsidRDefault="00732E43" w:rsidP="00732E43">
            <w:pPr>
              <w:spacing w:after="200" w:line="240" w:lineRule="exact"/>
              <w:jc w:val="center"/>
              <w:cnfStyle w:val="000000000000"/>
              <w:rPr>
                <w:rFonts w:asciiTheme="minorHAnsi" w:eastAsia="Times New Roman" w:hAnsiTheme="minorHAnsi" w:cstheme="minorHAnsi"/>
                <w:color w:val="000000"/>
                <w:sz w:val="20"/>
                <w:szCs w:val="20"/>
              </w:rPr>
            </w:pPr>
            <w:r w:rsidRPr="004927D7">
              <w:rPr>
                <w:rFonts w:asciiTheme="minorHAnsi" w:eastAsia="Times New Roman" w:hAnsiTheme="minorHAnsi" w:cstheme="minorHAnsi"/>
                <w:color w:val="000000"/>
                <w:sz w:val="20"/>
                <w:szCs w:val="20"/>
              </w:rPr>
              <w:t>38,8</w:t>
            </w:r>
          </w:p>
        </w:tc>
        <w:tc>
          <w:tcPr>
            <w:tcW w:w="1078" w:type="dxa"/>
            <w:noWrap/>
            <w:hideMark/>
          </w:tcPr>
          <w:p w:rsidR="00732E43" w:rsidRPr="004927D7" w:rsidRDefault="00732E43" w:rsidP="00732E43">
            <w:pPr>
              <w:spacing w:after="200" w:line="240" w:lineRule="exact"/>
              <w:jc w:val="center"/>
              <w:cnfStyle w:val="000000000000"/>
              <w:rPr>
                <w:rFonts w:asciiTheme="minorHAnsi" w:eastAsia="Times New Roman" w:hAnsiTheme="minorHAnsi" w:cstheme="minorHAnsi"/>
                <w:color w:val="000000"/>
                <w:sz w:val="20"/>
                <w:szCs w:val="20"/>
              </w:rPr>
            </w:pPr>
            <w:r w:rsidRPr="004927D7">
              <w:rPr>
                <w:rFonts w:asciiTheme="minorHAnsi" w:eastAsia="Times New Roman" w:hAnsiTheme="minorHAnsi" w:cstheme="minorHAnsi"/>
                <w:color w:val="000000"/>
                <w:sz w:val="20"/>
                <w:szCs w:val="20"/>
              </w:rPr>
              <w:t>77,7</w:t>
            </w:r>
          </w:p>
        </w:tc>
        <w:tc>
          <w:tcPr>
            <w:tcW w:w="1055" w:type="dxa"/>
            <w:noWrap/>
            <w:hideMark/>
          </w:tcPr>
          <w:p w:rsidR="00732E43" w:rsidRPr="004927D7" w:rsidRDefault="00732E43" w:rsidP="00732E43">
            <w:pPr>
              <w:spacing w:after="200" w:line="240" w:lineRule="exact"/>
              <w:jc w:val="center"/>
              <w:cnfStyle w:val="000000000000"/>
              <w:rPr>
                <w:rFonts w:asciiTheme="minorHAnsi" w:eastAsia="Times New Roman" w:hAnsiTheme="minorHAnsi" w:cstheme="minorHAnsi"/>
                <w:color w:val="000000"/>
                <w:sz w:val="20"/>
                <w:szCs w:val="20"/>
              </w:rPr>
            </w:pPr>
            <w:r w:rsidRPr="004927D7">
              <w:rPr>
                <w:rFonts w:asciiTheme="minorHAnsi" w:eastAsia="Times New Roman" w:hAnsiTheme="minorHAnsi" w:cstheme="minorHAnsi"/>
                <w:color w:val="000000"/>
                <w:sz w:val="20"/>
                <w:szCs w:val="20"/>
              </w:rPr>
              <w:t>45,6</w:t>
            </w:r>
          </w:p>
        </w:tc>
        <w:tc>
          <w:tcPr>
            <w:tcW w:w="1334" w:type="dxa"/>
            <w:noWrap/>
            <w:hideMark/>
          </w:tcPr>
          <w:p w:rsidR="00732E43" w:rsidRPr="004927D7" w:rsidRDefault="00732E43" w:rsidP="00732E43">
            <w:pPr>
              <w:spacing w:after="200" w:line="240" w:lineRule="exact"/>
              <w:jc w:val="center"/>
              <w:cnfStyle w:val="000000000000"/>
              <w:rPr>
                <w:rFonts w:asciiTheme="minorHAnsi" w:eastAsia="Times New Roman" w:hAnsiTheme="minorHAnsi" w:cstheme="minorHAnsi"/>
                <w:color w:val="000000"/>
                <w:sz w:val="20"/>
                <w:szCs w:val="20"/>
              </w:rPr>
            </w:pPr>
            <w:r w:rsidRPr="004927D7">
              <w:rPr>
                <w:rFonts w:asciiTheme="minorHAnsi" w:eastAsia="Times New Roman" w:hAnsiTheme="minorHAnsi" w:cstheme="minorHAnsi"/>
                <w:color w:val="000000"/>
                <w:sz w:val="20"/>
                <w:szCs w:val="20"/>
              </w:rPr>
              <w:t>91,3</w:t>
            </w:r>
          </w:p>
        </w:tc>
        <w:tc>
          <w:tcPr>
            <w:tcW w:w="974" w:type="dxa"/>
            <w:noWrap/>
            <w:hideMark/>
          </w:tcPr>
          <w:p w:rsidR="00732E43" w:rsidRPr="004927D7" w:rsidRDefault="00732E43" w:rsidP="00732E43">
            <w:pPr>
              <w:spacing w:after="200" w:line="240" w:lineRule="exact"/>
              <w:jc w:val="center"/>
              <w:cnfStyle w:val="000000000000"/>
              <w:rPr>
                <w:rFonts w:asciiTheme="minorHAnsi" w:eastAsia="Times New Roman" w:hAnsiTheme="minorHAnsi" w:cstheme="minorHAnsi"/>
                <w:color w:val="000000"/>
                <w:sz w:val="20"/>
                <w:szCs w:val="20"/>
              </w:rPr>
            </w:pPr>
            <w:r w:rsidRPr="004927D7">
              <w:rPr>
                <w:rFonts w:asciiTheme="minorHAnsi" w:eastAsia="Times New Roman" w:hAnsiTheme="minorHAnsi" w:cstheme="minorHAnsi"/>
                <w:color w:val="000000"/>
                <w:sz w:val="20"/>
                <w:szCs w:val="20"/>
              </w:rPr>
              <w:t>36,0</w:t>
            </w:r>
          </w:p>
        </w:tc>
        <w:tc>
          <w:tcPr>
            <w:tcW w:w="1232" w:type="dxa"/>
            <w:noWrap/>
            <w:hideMark/>
          </w:tcPr>
          <w:p w:rsidR="00732E43" w:rsidRPr="004927D7" w:rsidRDefault="00732E43" w:rsidP="00732E43">
            <w:pPr>
              <w:spacing w:after="200" w:line="240" w:lineRule="exact"/>
              <w:jc w:val="center"/>
              <w:cnfStyle w:val="000000000000"/>
              <w:rPr>
                <w:rFonts w:asciiTheme="minorHAnsi" w:eastAsia="Times New Roman" w:hAnsiTheme="minorHAnsi" w:cstheme="minorHAnsi"/>
                <w:color w:val="000000"/>
                <w:sz w:val="20"/>
                <w:szCs w:val="20"/>
              </w:rPr>
            </w:pPr>
            <w:r w:rsidRPr="004927D7">
              <w:rPr>
                <w:rFonts w:asciiTheme="minorHAnsi" w:eastAsia="Times New Roman" w:hAnsiTheme="minorHAnsi" w:cstheme="minorHAnsi"/>
                <w:color w:val="000000"/>
                <w:sz w:val="20"/>
                <w:szCs w:val="20"/>
              </w:rPr>
              <w:t>72,0</w:t>
            </w:r>
          </w:p>
        </w:tc>
      </w:tr>
      <w:tr w:rsidR="00732E43" w:rsidRPr="00732E43" w:rsidTr="00732E43">
        <w:trPr>
          <w:cnfStyle w:val="000000100000"/>
          <w:trHeight w:hRule="exact" w:val="263"/>
        </w:trPr>
        <w:tc>
          <w:tcPr>
            <w:cnfStyle w:val="001000000000"/>
            <w:tcW w:w="3251" w:type="dxa"/>
            <w:noWrap/>
            <w:hideMark/>
          </w:tcPr>
          <w:p w:rsidR="00732E43" w:rsidRPr="004927D7" w:rsidRDefault="00732E43" w:rsidP="00732E43">
            <w:pPr>
              <w:spacing w:after="200" w:line="240" w:lineRule="exact"/>
              <w:jc w:val="left"/>
              <w:rPr>
                <w:rFonts w:asciiTheme="minorHAnsi" w:eastAsia="Times New Roman" w:hAnsiTheme="minorHAnsi" w:cstheme="minorHAnsi"/>
                <w:color w:val="000000"/>
                <w:sz w:val="20"/>
                <w:szCs w:val="20"/>
              </w:rPr>
            </w:pPr>
            <w:r w:rsidRPr="004927D7">
              <w:rPr>
                <w:rFonts w:asciiTheme="minorHAnsi" w:eastAsia="Times New Roman" w:hAnsiTheme="minorHAnsi" w:cstheme="minorHAnsi"/>
                <w:color w:val="000000"/>
                <w:sz w:val="20"/>
                <w:szCs w:val="20"/>
              </w:rPr>
              <w:t>S+DM+DM</w:t>
            </w:r>
          </w:p>
        </w:tc>
        <w:tc>
          <w:tcPr>
            <w:tcW w:w="1001" w:type="dxa"/>
            <w:noWrap/>
            <w:hideMark/>
          </w:tcPr>
          <w:p w:rsidR="00732E43" w:rsidRPr="004927D7" w:rsidRDefault="00732E43" w:rsidP="00732E43">
            <w:pPr>
              <w:spacing w:after="200" w:line="240" w:lineRule="exact"/>
              <w:jc w:val="center"/>
              <w:cnfStyle w:val="000000100000"/>
              <w:rPr>
                <w:rFonts w:asciiTheme="minorHAnsi" w:eastAsia="Times New Roman" w:hAnsiTheme="minorHAnsi" w:cstheme="minorHAnsi"/>
                <w:color w:val="000000"/>
                <w:sz w:val="20"/>
                <w:szCs w:val="20"/>
              </w:rPr>
            </w:pPr>
            <w:r w:rsidRPr="004927D7">
              <w:rPr>
                <w:rFonts w:asciiTheme="minorHAnsi" w:eastAsia="Times New Roman" w:hAnsiTheme="minorHAnsi" w:cstheme="minorHAnsi"/>
                <w:color w:val="000000"/>
                <w:sz w:val="20"/>
                <w:szCs w:val="20"/>
              </w:rPr>
              <w:t>33,4</w:t>
            </w:r>
          </w:p>
        </w:tc>
        <w:tc>
          <w:tcPr>
            <w:tcW w:w="1078" w:type="dxa"/>
            <w:noWrap/>
            <w:hideMark/>
          </w:tcPr>
          <w:p w:rsidR="00732E43" w:rsidRPr="004927D7" w:rsidRDefault="00732E43" w:rsidP="00732E43">
            <w:pPr>
              <w:spacing w:after="200" w:line="240" w:lineRule="exact"/>
              <w:jc w:val="center"/>
              <w:cnfStyle w:val="000000100000"/>
              <w:rPr>
                <w:rFonts w:asciiTheme="minorHAnsi" w:eastAsia="Times New Roman" w:hAnsiTheme="minorHAnsi" w:cstheme="minorHAnsi"/>
                <w:color w:val="000000"/>
                <w:sz w:val="20"/>
                <w:szCs w:val="20"/>
              </w:rPr>
            </w:pPr>
            <w:r w:rsidRPr="004927D7">
              <w:rPr>
                <w:rFonts w:asciiTheme="minorHAnsi" w:eastAsia="Times New Roman" w:hAnsiTheme="minorHAnsi" w:cstheme="minorHAnsi"/>
                <w:color w:val="000000"/>
                <w:sz w:val="20"/>
                <w:szCs w:val="20"/>
              </w:rPr>
              <w:t>100,2</w:t>
            </w:r>
          </w:p>
        </w:tc>
        <w:tc>
          <w:tcPr>
            <w:tcW w:w="1055" w:type="dxa"/>
            <w:noWrap/>
            <w:hideMark/>
          </w:tcPr>
          <w:p w:rsidR="00732E43" w:rsidRPr="004927D7" w:rsidRDefault="00732E43" w:rsidP="00732E43">
            <w:pPr>
              <w:spacing w:after="200" w:line="240" w:lineRule="exact"/>
              <w:jc w:val="center"/>
              <w:cnfStyle w:val="000000100000"/>
              <w:rPr>
                <w:rFonts w:asciiTheme="minorHAnsi" w:eastAsia="Times New Roman" w:hAnsiTheme="minorHAnsi" w:cstheme="minorHAnsi"/>
                <w:color w:val="000000"/>
                <w:sz w:val="20"/>
                <w:szCs w:val="20"/>
              </w:rPr>
            </w:pPr>
            <w:r w:rsidRPr="004927D7">
              <w:rPr>
                <w:rFonts w:asciiTheme="minorHAnsi" w:eastAsia="Times New Roman" w:hAnsiTheme="minorHAnsi" w:cstheme="minorHAnsi"/>
                <w:color w:val="000000"/>
                <w:sz w:val="20"/>
                <w:szCs w:val="20"/>
              </w:rPr>
              <w:t>39,1</w:t>
            </w:r>
          </w:p>
        </w:tc>
        <w:tc>
          <w:tcPr>
            <w:tcW w:w="1334" w:type="dxa"/>
            <w:noWrap/>
            <w:hideMark/>
          </w:tcPr>
          <w:p w:rsidR="00732E43" w:rsidRPr="004927D7" w:rsidRDefault="00732E43" w:rsidP="00732E43">
            <w:pPr>
              <w:spacing w:after="200" w:line="240" w:lineRule="exact"/>
              <w:jc w:val="center"/>
              <w:cnfStyle w:val="000000100000"/>
              <w:rPr>
                <w:rFonts w:asciiTheme="minorHAnsi" w:eastAsia="Times New Roman" w:hAnsiTheme="minorHAnsi" w:cstheme="minorHAnsi"/>
                <w:color w:val="000000"/>
                <w:sz w:val="20"/>
                <w:szCs w:val="20"/>
              </w:rPr>
            </w:pPr>
            <w:r w:rsidRPr="004927D7">
              <w:rPr>
                <w:rFonts w:asciiTheme="minorHAnsi" w:eastAsia="Times New Roman" w:hAnsiTheme="minorHAnsi" w:cstheme="minorHAnsi"/>
                <w:color w:val="000000"/>
                <w:sz w:val="20"/>
                <w:szCs w:val="20"/>
              </w:rPr>
              <w:t>117,2</w:t>
            </w:r>
          </w:p>
        </w:tc>
        <w:tc>
          <w:tcPr>
            <w:tcW w:w="974" w:type="dxa"/>
            <w:noWrap/>
            <w:hideMark/>
          </w:tcPr>
          <w:p w:rsidR="00732E43" w:rsidRPr="004927D7" w:rsidRDefault="00732E43" w:rsidP="00732E43">
            <w:pPr>
              <w:spacing w:after="200" w:line="240" w:lineRule="exact"/>
              <w:jc w:val="center"/>
              <w:cnfStyle w:val="000000100000"/>
              <w:rPr>
                <w:rFonts w:asciiTheme="minorHAnsi" w:eastAsia="Times New Roman" w:hAnsiTheme="minorHAnsi" w:cstheme="minorHAnsi"/>
                <w:color w:val="000000"/>
                <w:sz w:val="20"/>
                <w:szCs w:val="20"/>
              </w:rPr>
            </w:pPr>
            <w:r w:rsidRPr="004927D7">
              <w:rPr>
                <w:rFonts w:asciiTheme="minorHAnsi" w:eastAsia="Times New Roman" w:hAnsiTheme="minorHAnsi" w:cstheme="minorHAnsi"/>
                <w:color w:val="000000"/>
                <w:sz w:val="20"/>
                <w:szCs w:val="20"/>
              </w:rPr>
              <w:t>31,0</w:t>
            </w:r>
          </w:p>
        </w:tc>
        <w:tc>
          <w:tcPr>
            <w:tcW w:w="1232" w:type="dxa"/>
            <w:noWrap/>
            <w:hideMark/>
          </w:tcPr>
          <w:p w:rsidR="00732E43" w:rsidRPr="004927D7" w:rsidRDefault="00732E43" w:rsidP="00732E43">
            <w:pPr>
              <w:spacing w:after="200" w:line="240" w:lineRule="exact"/>
              <w:jc w:val="center"/>
              <w:cnfStyle w:val="000000100000"/>
              <w:rPr>
                <w:rFonts w:asciiTheme="minorHAnsi" w:eastAsia="Times New Roman" w:hAnsiTheme="minorHAnsi" w:cstheme="minorHAnsi"/>
                <w:color w:val="000000"/>
                <w:sz w:val="20"/>
                <w:szCs w:val="20"/>
              </w:rPr>
            </w:pPr>
            <w:r w:rsidRPr="004927D7">
              <w:rPr>
                <w:rFonts w:asciiTheme="minorHAnsi" w:eastAsia="Times New Roman" w:hAnsiTheme="minorHAnsi" w:cstheme="minorHAnsi"/>
                <w:color w:val="000000"/>
                <w:sz w:val="20"/>
                <w:szCs w:val="20"/>
              </w:rPr>
              <w:t>93,0</w:t>
            </w:r>
          </w:p>
        </w:tc>
      </w:tr>
      <w:tr w:rsidR="00732E43" w:rsidRPr="00732E43" w:rsidTr="00732E43">
        <w:trPr>
          <w:trHeight w:hRule="exact" w:val="263"/>
        </w:trPr>
        <w:tc>
          <w:tcPr>
            <w:cnfStyle w:val="001000000000"/>
            <w:tcW w:w="3251" w:type="dxa"/>
            <w:noWrap/>
            <w:hideMark/>
          </w:tcPr>
          <w:p w:rsidR="00732E43" w:rsidRPr="004927D7" w:rsidRDefault="00732E43" w:rsidP="00732E43">
            <w:pPr>
              <w:spacing w:after="200" w:line="240" w:lineRule="exact"/>
              <w:jc w:val="left"/>
              <w:rPr>
                <w:rFonts w:asciiTheme="minorHAnsi" w:eastAsia="Times New Roman" w:hAnsiTheme="minorHAnsi" w:cstheme="minorHAnsi"/>
                <w:color w:val="000000"/>
                <w:sz w:val="20"/>
                <w:szCs w:val="20"/>
              </w:rPr>
            </w:pPr>
            <w:r w:rsidRPr="004927D7">
              <w:rPr>
                <w:rFonts w:asciiTheme="minorHAnsi" w:eastAsia="Times New Roman" w:hAnsiTheme="minorHAnsi" w:cstheme="minorHAnsi"/>
                <w:color w:val="000000"/>
                <w:sz w:val="20"/>
                <w:szCs w:val="20"/>
              </w:rPr>
              <w:t>S+DS+DM+DM</w:t>
            </w:r>
          </w:p>
        </w:tc>
        <w:tc>
          <w:tcPr>
            <w:tcW w:w="1001" w:type="dxa"/>
            <w:noWrap/>
            <w:hideMark/>
          </w:tcPr>
          <w:p w:rsidR="00732E43" w:rsidRPr="004927D7" w:rsidRDefault="00732E43" w:rsidP="00732E43">
            <w:pPr>
              <w:spacing w:after="200" w:line="240" w:lineRule="exact"/>
              <w:jc w:val="center"/>
              <w:cnfStyle w:val="000000000000"/>
              <w:rPr>
                <w:rFonts w:asciiTheme="minorHAnsi" w:eastAsia="Times New Roman" w:hAnsiTheme="minorHAnsi" w:cstheme="minorHAnsi"/>
                <w:color w:val="000000"/>
                <w:sz w:val="20"/>
                <w:szCs w:val="20"/>
              </w:rPr>
            </w:pPr>
            <w:r w:rsidRPr="004927D7">
              <w:rPr>
                <w:rFonts w:asciiTheme="minorHAnsi" w:eastAsia="Times New Roman" w:hAnsiTheme="minorHAnsi" w:cstheme="minorHAnsi"/>
                <w:color w:val="000000"/>
                <w:sz w:val="20"/>
                <w:szCs w:val="20"/>
              </w:rPr>
              <w:t>31,7</w:t>
            </w:r>
          </w:p>
        </w:tc>
        <w:tc>
          <w:tcPr>
            <w:tcW w:w="1078" w:type="dxa"/>
            <w:noWrap/>
            <w:hideMark/>
          </w:tcPr>
          <w:p w:rsidR="00732E43" w:rsidRPr="004927D7" w:rsidRDefault="00732E43" w:rsidP="00732E43">
            <w:pPr>
              <w:spacing w:after="200" w:line="240" w:lineRule="exact"/>
              <w:jc w:val="center"/>
              <w:cnfStyle w:val="000000000000"/>
              <w:rPr>
                <w:rFonts w:asciiTheme="minorHAnsi" w:eastAsia="Times New Roman" w:hAnsiTheme="minorHAnsi" w:cstheme="minorHAnsi"/>
                <w:color w:val="000000"/>
                <w:sz w:val="20"/>
                <w:szCs w:val="20"/>
              </w:rPr>
            </w:pPr>
            <w:r w:rsidRPr="004927D7">
              <w:rPr>
                <w:rFonts w:asciiTheme="minorHAnsi" w:eastAsia="Times New Roman" w:hAnsiTheme="minorHAnsi" w:cstheme="minorHAnsi"/>
                <w:color w:val="000000"/>
                <w:sz w:val="20"/>
                <w:szCs w:val="20"/>
              </w:rPr>
              <w:t>126,9</w:t>
            </w:r>
          </w:p>
        </w:tc>
        <w:tc>
          <w:tcPr>
            <w:tcW w:w="1055" w:type="dxa"/>
            <w:noWrap/>
            <w:hideMark/>
          </w:tcPr>
          <w:p w:rsidR="00732E43" w:rsidRPr="004927D7" w:rsidRDefault="00732E43" w:rsidP="00732E43">
            <w:pPr>
              <w:spacing w:after="200" w:line="240" w:lineRule="exact"/>
              <w:jc w:val="center"/>
              <w:cnfStyle w:val="000000000000"/>
              <w:rPr>
                <w:rFonts w:asciiTheme="minorHAnsi" w:eastAsia="Times New Roman" w:hAnsiTheme="minorHAnsi" w:cstheme="minorHAnsi"/>
                <w:color w:val="000000"/>
                <w:sz w:val="20"/>
                <w:szCs w:val="20"/>
              </w:rPr>
            </w:pPr>
            <w:r w:rsidRPr="004927D7">
              <w:rPr>
                <w:rFonts w:asciiTheme="minorHAnsi" w:eastAsia="Times New Roman" w:hAnsiTheme="minorHAnsi" w:cstheme="minorHAnsi"/>
                <w:color w:val="000000"/>
                <w:sz w:val="20"/>
                <w:szCs w:val="20"/>
              </w:rPr>
              <w:t>36,8</w:t>
            </w:r>
          </w:p>
        </w:tc>
        <w:tc>
          <w:tcPr>
            <w:tcW w:w="1334" w:type="dxa"/>
            <w:noWrap/>
            <w:hideMark/>
          </w:tcPr>
          <w:p w:rsidR="00732E43" w:rsidRPr="004927D7" w:rsidRDefault="00732E43" w:rsidP="00732E43">
            <w:pPr>
              <w:spacing w:after="200" w:line="240" w:lineRule="exact"/>
              <w:jc w:val="center"/>
              <w:cnfStyle w:val="000000000000"/>
              <w:rPr>
                <w:rFonts w:asciiTheme="minorHAnsi" w:eastAsia="Times New Roman" w:hAnsiTheme="minorHAnsi" w:cstheme="minorHAnsi"/>
                <w:color w:val="000000"/>
                <w:sz w:val="20"/>
                <w:szCs w:val="20"/>
              </w:rPr>
            </w:pPr>
            <w:r w:rsidRPr="004927D7">
              <w:rPr>
                <w:rFonts w:asciiTheme="minorHAnsi" w:eastAsia="Times New Roman" w:hAnsiTheme="minorHAnsi" w:cstheme="minorHAnsi"/>
                <w:color w:val="000000"/>
                <w:sz w:val="20"/>
                <w:szCs w:val="20"/>
              </w:rPr>
              <w:t>147,4</w:t>
            </w:r>
          </w:p>
        </w:tc>
        <w:tc>
          <w:tcPr>
            <w:tcW w:w="974" w:type="dxa"/>
            <w:noWrap/>
            <w:hideMark/>
          </w:tcPr>
          <w:p w:rsidR="00732E43" w:rsidRPr="004927D7" w:rsidRDefault="00732E43" w:rsidP="00732E43">
            <w:pPr>
              <w:spacing w:after="200" w:line="240" w:lineRule="exact"/>
              <w:jc w:val="center"/>
              <w:cnfStyle w:val="000000000000"/>
              <w:rPr>
                <w:rFonts w:asciiTheme="minorHAnsi" w:eastAsia="Times New Roman" w:hAnsiTheme="minorHAnsi" w:cstheme="minorHAnsi"/>
                <w:color w:val="000000"/>
                <w:sz w:val="20"/>
                <w:szCs w:val="20"/>
              </w:rPr>
            </w:pPr>
            <w:r w:rsidRPr="004927D7">
              <w:rPr>
                <w:rFonts w:asciiTheme="minorHAnsi" w:eastAsia="Times New Roman" w:hAnsiTheme="minorHAnsi" w:cstheme="minorHAnsi"/>
                <w:color w:val="000000"/>
                <w:sz w:val="20"/>
                <w:szCs w:val="20"/>
              </w:rPr>
              <w:t>29,6</w:t>
            </w:r>
          </w:p>
        </w:tc>
        <w:tc>
          <w:tcPr>
            <w:tcW w:w="1232" w:type="dxa"/>
            <w:noWrap/>
            <w:hideMark/>
          </w:tcPr>
          <w:p w:rsidR="00732E43" w:rsidRPr="004927D7" w:rsidRDefault="00732E43" w:rsidP="00732E43">
            <w:pPr>
              <w:spacing w:after="200" w:line="240" w:lineRule="exact"/>
              <w:jc w:val="center"/>
              <w:cnfStyle w:val="000000000000"/>
              <w:rPr>
                <w:rFonts w:asciiTheme="minorHAnsi" w:eastAsia="Times New Roman" w:hAnsiTheme="minorHAnsi" w:cstheme="minorHAnsi"/>
                <w:color w:val="000000"/>
                <w:sz w:val="20"/>
                <w:szCs w:val="20"/>
              </w:rPr>
            </w:pPr>
            <w:r w:rsidRPr="004927D7">
              <w:rPr>
                <w:rFonts w:asciiTheme="minorHAnsi" w:eastAsia="Times New Roman" w:hAnsiTheme="minorHAnsi" w:cstheme="minorHAnsi"/>
                <w:color w:val="000000"/>
                <w:sz w:val="20"/>
                <w:szCs w:val="20"/>
              </w:rPr>
              <w:t>118,4</w:t>
            </w:r>
          </w:p>
        </w:tc>
      </w:tr>
      <w:tr w:rsidR="00732E43" w:rsidRPr="00732E43" w:rsidTr="00732E43">
        <w:trPr>
          <w:cnfStyle w:val="000000100000"/>
          <w:trHeight w:hRule="exact" w:val="263"/>
        </w:trPr>
        <w:tc>
          <w:tcPr>
            <w:cnfStyle w:val="001000000000"/>
            <w:tcW w:w="3251" w:type="dxa"/>
            <w:noWrap/>
            <w:hideMark/>
          </w:tcPr>
          <w:p w:rsidR="00732E43" w:rsidRPr="004927D7" w:rsidRDefault="00732E43" w:rsidP="00732E43">
            <w:pPr>
              <w:spacing w:after="200" w:line="240" w:lineRule="exact"/>
              <w:jc w:val="left"/>
              <w:rPr>
                <w:rFonts w:asciiTheme="minorHAnsi" w:eastAsia="Times New Roman" w:hAnsiTheme="minorHAnsi" w:cstheme="minorHAnsi"/>
                <w:color w:val="000000"/>
                <w:sz w:val="20"/>
                <w:szCs w:val="20"/>
              </w:rPr>
            </w:pPr>
            <w:r w:rsidRPr="004927D7">
              <w:rPr>
                <w:rFonts w:asciiTheme="minorHAnsi" w:eastAsia="Times New Roman" w:hAnsiTheme="minorHAnsi" w:cstheme="minorHAnsi"/>
                <w:color w:val="000000"/>
                <w:sz w:val="20"/>
                <w:szCs w:val="20"/>
              </w:rPr>
              <w:lastRenderedPageBreak/>
              <w:t>S+DS+DS+DM+DM</w:t>
            </w:r>
          </w:p>
        </w:tc>
        <w:tc>
          <w:tcPr>
            <w:tcW w:w="1001" w:type="dxa"/>
            <w:noWrap/>
            <w:hideMark/>
          </w:tcPr>
          <w:p w:rsidR="00732E43" w:rsidRPr="004927D7" w:rsidRDefault="00732E43" w:rsidP="00732E43">
            <w:pPr>
              <w:spacing w:after="200" w:line="240" w:lineRule="exact"/>
              <w:jc w:val="center"/>
              <w:cnfStyle w:val="000000100000"/>
              <w:rPr>
                <w:rFonts w:asciiTheme="minorHAnsi" w:eastAsia="Times New Roman" w:hAnsiTheme="minorHAnsi" w:cstheme="minorHAnsi"/>
                <w:color w:val="000000"/>
                <w:sz w:val="20"/>
                <w:szCs w:val="20"/>
              </w:rPr>
            </w:pPr>
            <w:r w:rsidRPr="004927D7">
              <w:rPr>
                <w:rFonts w:asciiTheme="minorHAnsi" w:eastAsia="Times New Roman" w:hAnsiTheme="minorHAnsi" w:cstheme="minorHAnsi"/>
                <w:color w:val="000000"/>
                <w:sz w:val="20"/>
                <w:szCs w:val="20"/>
              </w:rPr>
              <w:t>30,7</w:t>
            </w:r>
          </w:p>
        </w:tc>
        <w:tc>
          <w:tcPr>
            <w:tcW w:w="1078" w:type="dxa"/>
            <w:noWrap/>
            <w:hideMark/>
          </w:tcPr>
          <w:p w:rsidR="00732E43" w:rsidRPr="004927D7" w:rsidRDefault="00732E43" w:rsidP="00732E43">
            <w:pPr>
              <w:spacing w:after="200" w:line="240" w:lineRule="exact"/>
              <w:jc w:val="center"/>
              <w:cnfStyle w:val="000000100000"/>
              <w:rPr>
                <w:rFonts w:asciiTheme="minorHAnsi" w:eastAsia="Times New Roman" w:hAnsiTheme="minorHAnsi" w:cstheme="minorHAnsi"/>
                <w:color w:val="000000"/>
                <w:sz w:val="20"/>
                <w:szCs w:val="20"/>
              </w:rPr>
            </w:pPr>
            <w:r w:rsidRPr="004927D7">
              <w:rPr>
                <w:rFonts w:asciiTheme="minorHAnsi" w:eastAsia="Times New Roman" w:hAnsiTheme="minorHAnsi" w:cstheme="minorHAnsi"/>
                <w:color w:val="000000"/>
                <w:sz w:val="20"/>
                <w:szCs w:val="20"/>
              </w:rPr>
              <w:t>153,6</w:t>
            </w:r>
          </w:p>
        </w:tc>
        <w:tc>
          <w:tcPr>
            <w:tcW w:w="1055" w:type="dxa"/>
            <w:noWrap/>
            <w:hideMark/>
          </w:tcPr>
          <w:p w:rsidR="00732E43" w:rsidRPr="004927D7" w:rsidRDefault="00732E43" w:rsidP="00732E43">
            <w:pPr>
              <w:spacing w:after="200" w:line="240" w:lineRule="exact"/>
              <w:jc w:val="center"/>
              <w:cnfStyle w:val="000000100000"/>
              <w:rPr>
                <w:rFonts w:asciiTheme="minorHAnsi" w:eastAsia="Times New Roman" w:hAnsiTheme="minorHAnsi" w:cstheme="minorHAnsi"/>
                <w:color w:val="000000"/>
                <w:sz w:val="20"/>
                <w:szCs w:val="20"/>
              </w:rPr>
            </w:pPr>
            <w:r w:rsidRPr="004927D7">
              <w:rPr>
                <w:rFonts w:asciiTheme="minorHAnsi" w:eastAsia="Times New Roman" w:hAnsiTheme="minorHAnsi" w:cstheme="minorHAnsi"/>
                <w:color w:val="000000"/>
                <w:sz w:val="20"/>
                <w:szCs w:val="20"/>
              </w:rPr>
              <w:t>35,5</w:t>
            </w:r>
          </w:p>
        </w:tc>
        <w:tc>
          <w:tcPr>
            <w:tcW w:w="1334" w:type="dxa"/>
            <w:noWrap/>
            <w:hideMark/>
          </w:tcPr>
          <w:p w:rsidR="00732E43" w:rsidRPr="004927D7" w:rsidRDefault="00732E43" w:rsidP="00732E43">
            <w:pPr>
              <w:spacing w:after="200" w:line="240" w:lineRule="exact"/>
              <w:jc w:val="center"/>
              <w:cnfStyle w:val="000000100000"/>
              <w:rPr>
                <w:rFonts w:asciiTheme="minorHAnsi" w:eastAsia="Times New Roman" w:hAnsiTheme="minorHAnsi" w:cstheme="minorHAnsi"/>
                <w:color w:val="000000"/>
                <w:sz w:val="20"/>
                <w:szCs w:val="20"/>
              </w:rPr>
            </w:pPr>
            <w:r w:rsidRPr="004927D7">
              <w:rPr>
                <w:rFonts w:asciiTheme="minorHAnsi" w:eastAsia="Times New Roman" w:hAnsiTheme="minorHAnsi" w:cstheme="minorHAnsi"/>
                <w:color w:val="000000"/>
                <w:sz w:val="20"/>
                <w:szCs w:val="20"/>
              </w:rPr>
              <w:t>177,4</w:t>
            </w:r>
          </w:p>
        </w:tc>
        <w:tc>
          <w:tcPr>
            <w:tcW w:w="974" w:type="dxa"/>
            <w:noWrap/>
            <w:hideMark/>
          </w:tcPr>
          <w:p w:rsidR="00732E43" w:rsidRPr="004927D7" w:rsidRDefault="00732E43" w:rsidP="00732E43">
            <w:pPr>
              <w:spacing w:after="200" w:line="240" w:lineRule="exact"/>
              <w:jc w:val="center"/>
              <w:cnfStyle w:val="000000100000"/>
              <w:rPr>
                <w:rFonts w:asciiTheme="minorHAnsi" w:eastAsia="Times New Roman" w:hAnsiTheme="minorHAnsi" w:cstheme="minorHAnsi"/>
                <w:color w:val="000000"/>
                <w:sz w:val="20"/>
                <w:szCs w:val="20"/>
              </w:rPr>
            </w:pPr>
            <w:r w:rsidRPr="004927D7">
              <w:rPr>
                <w:rFonts w:asciiTheme="minorHAnsi" w:eastAsia="Times New Roman" w:hAnsiTheme="minorHAnsi" w:cstheme="minorHAnsi"/>
                <w:color w:val="000000"/>
                <w:sz w:val="20"/>
                <w:szCs w:val="20"/>
              </w:rPr>
              <w:t>28,7</w:t>
            </w:r>
          </w:p>
        </w:tc>
        <w:tc>
          <w:tcPr>
            <w:tcW w:w="1232" w:type="dxa"/>
            <w:noWrap/>
            <w:hideMark/>
          </w:tcPr>
          <w:p w:rsidR="00732E43" w:rsidRPr="004927D7" w:rsidRDefault="00732E43" w:rsidP="00732E43">
            <w:pPr>
              <w:spacing w:after="200" w:line="240" w:lineRule="exact"/>
              <w:jc w:val="center"/>
              <w:cnfStyle w:val="000000100000"/>
              <w:rPr>
                <w:rFonts w:asciiTheme="minorHAnsi" w:eastAsia="Times New Roman" w:hAnsiTheme="minorHAnsi" w:cstheme="minorHAnsi"/>
                <w:color w:val="000000"/>
                <w:sz w:val="20"/>
                <w:szCs w:val="20"/>
              </w:rPr>
            </w:pPr>
            <w:r w:rsidRPr="004927D7">
              <w:rPr>
                <w:rFonts w:asciiTheme="minorHAnsi" w:eastAsia="Times New Roman" w:hAnsiTheme="minorHAnsi" w:cstheme="minorHAnsi"/>
                <w:color w:val="000000"/>
                <w:sz w:val="20"/>
                <w:szCs w:val="20"/>
              </w:rPr>
              <w:t>143,6</w:t>
            </w:r>
          </w:p>
        </w:tc>
      </w:tr>
      <w:tr w:rsidR="00732E43" w:rsidRPr="00732E43" w:rsidTr="00732E43">
        <w:trPr>
          <w:trHeight w:hRule="exact" w:val="263"/>
        </w:trPr>
        <w:tc>
          <w:tcPr>
            <w:cnfStyle w:val="001000000000"/>
            <w:tcW w:w="3251" w:type="dxa"/>
            <w:noWrap/>
            <w:hideMark/>
          </w:tcPr>
          <w:p w:rsidR="00732E43" w:rsidRPr="004927D7" w:rsidRDefault="00732E43" w:rsidP="00732E43">
            <w:pPr>
              <w:spacing w:after="200" w:line="240" w:lineRule="exact"/>
              <w:jc w:val="left"/>
              <w:rPr>
                <w:rFonts w:asciiTheme="minorHAnsi" w:eastAsia="Times New Roman" w:hAnsiTheme="minorHAnsi" w:cstheme="minorHAnsi"/>
                <w:color w:val="000000"/>
                <w:sz w:val="20"/>
                <w:szCs w:val="20"/>
              </w:rPr>
            </w:pPr>
            <w:r w:rsidRPr="004927D7">
              <w:rPr>
                <w:rFonts w:asciiTheme="minorHAnsi" w:eastAsia="Times New Roman" w:hAnsiTheme="minorHAnsi" w:cstheme="minorHAnsi"/>
                <w:color w:val="000000"/>
                <w:sz w:val="20"/>
                <w:szCs w:val="20"/>
              </w:rPr>
              <w:t>M</w:t>
            </w:r>
          </w:p>
        </w:tc>
        <w:tc>
          <w:tcPr>
            <w:tcW w:w="1001" w:type="dxa"/>
            <w:noWrap/>
            <w:hideMark/>
          </w:tcPr>
          <w:p w:rsidR="00732E43" w:rsidRPr="004927D7" w:rsidRDefault="00732E43" w:rsidP="00732E43">
            <w:pPr>
              <w:spacing w:after="200" w:line="240" w:lineRule="exact"/>
              <w:jc w:val="center"/>
              <w:cnfStyle w:val="000000000000"/>
              <w:rPr>
                <w:rFonts w:asciiTheme="minorHAnsi" w:eastAsia="Times New Roman" w:hAnsiTheme="minorHAnsi" w:cstheme="minorHAnsi"/>
                <w:color w:val="000000"/>
                <w:sz w:val="20"/>
                <w:szCs w:val="20"/>
              </w:rPr>
            </w:pPr>
            <w:r w:rsidRPr="004927D7">
              <w:rPr>
                <w:rFonts w:asciiTheme="minorHAnsi" w:eastAsia="Times New Roman" w:hAnsiTheme="minorHAnsi" w:cstheme="minorHAnsi"/>
                <w:color w:val="000000"/>
                <w:sz w:val="20"/>
                <w:szCs w:val="20"/>
              </w:rPr>
              <w:t>36,3</w:t>
            </w:r>
          </w:p>
        </w:tc>
        <w:tc>
          <w:tcPr>
            <w:tcW w:w="1078" w:type="dxa"/>
            <w:noWrap/>
            <w:hideMark/>
          </w:tcPr>
          <w:p w:rsidR="00732E43" w:rsidRPr="004927D7" w:rsidRDefault="00732E43" w:rsidP="00732E43">
            <w:pPr>
              <w:spacing w:after="200" w:line="240" w:lineRule="exact"/>
              <w:jc w:val="center"/>
              <w:cnfStyle w:val="000000000000"/>
              <w:rPr>
                <w:rFonts w:asciiTheme="minorHAnsi" w:eastAsia="Times New Roman" w:hAnsiTheme="minorHAnsi" w:cstheme="minorHAnsi"/>
                <w:color w:val="000000"/>
                <w:sz w:val="20"/>
                <w:szCs w:val="20"/>
              </w:rPr>
            </w:pPr>
            <w:r w:rsidRPr="004927D7">
              <w:rPr>
                <w:rFonts w:asciiTheme="minorHAnsi" w:eastAsia="Times New Roman" w:hAnsiTheme="minorHAnsi" w:cstheme="minorHAnsi"/>
                <w:color w:val="000000"/>
                <w:sz w:val="20"/>
                <w:szCs w:val="20"/>
              </w:rPr>
              <w:t>72,6</w:t>
            </w:r>
          </w:p>
        </w:tc>
        <w:tc>
          <w:tcPr>
            <w:tcW w:w="1055" w:type="dxa"/>
            <w:noWrap/>
            <w:hideMark/>
          </w:tcPr>
          <w:p w:rsidR="00732E43" w:rsidRPr="004927D7" w:rsidRDefault="00732E43" w:rsidP="00732E43">
            <w:pPr>
              <w:spacing w:after="200" w:line="240" w:lineRule="exact"/>
              <w:jc w:val="center"/>
              <w:cnfStyle w:val="000000000000"/>
              <w:rPr>
                <w:rFonts w:asciiTheme="minorHAnsi" w:eastAsia="Times New Roman" w:hAnsiTheme="minorHAnsi" w:cstheme="minorHAnsi"/>
                <w:color w:val="000000"/>
                <w:sz w:val="20"/>
                <w:szCs w:val="20"/>
              </w:rPr>
            </w:pPr>
            <w:r w:rsidRPr="004927D7">
              <w:rPr>
                <w:rFonts w:asciiTheme="minorHAnsi" w:eastAsia="Times New Roman" w:hAnsiTheme="minorHAnsi" w:cstheme="minorHAnsi"/>
                <w:color w:val="000000"/>
                <w:sz w:val="20"/>
                <w:szCs w:val="20"/>
              </w:rPr>
              <w:t>43,1</w:t>
            </w:r>
          </w:p>
        </w:tc>
        <w:tc>
          <w:tcPr>
            <w:tcW w:w="1334" w:type="dxa"/>
            <w:noWrap/>
            <w:hideMark/>
          </w:tcPr>
          <w:p w:rsidR="00732E43" w:rsidRPr="004927D7" w:rsidRDefault="00732E43" w:rsidP="00732E43">
            <w:pPr>
              <w:spacing w:after="200" w:line="240" w:lineRule="exact"/>
              <w:jc w:val="center"/>
              <w:cnfStyle w:val="000000000000"/>
              <w:rPr>
                <w:rFonts w:asciiTheme="minorHAnsi" w:eastAsia="Times New Roman" w:hAnsiTheme="minorHAnsi" w:cstheme="minorHAnsi"/>
                <w:color w:val="000000"/>
                <w:sz w:val="20"/>
                <w:szCs w:val="20"/>
              </w:rPr>
            </w:pPr>
            <w:r w:rsidRPr="004927D7">
              <w:rPr>
                <w:rFonts w:asciiTheme="minorHAnsi" w:eastAsia="Times New Roman" w:hAnsiTheme="minorHAnsi" w:cstheme="minorHAnsi"/>
                <w:color w:val="000000"/>
                <w:sz w:val="20"/>
                <w:szCs w:val="20"/>
              </w:rPr>
              <w:t>86,2</w:t>
            </w:r>
          </w:p>
        </w:tc>
        <w:tc>
          <w:tcPr>
            <w:tcW w:w="974" w:type="dxa"/>
            <w:noWrap/>
            <w:hideMark/>
          </w:tcPr>
          <w:p w:rsidR="00732E43" w:rsidRPr="004927D7" w:rsidRDefault="00732E43" w:rsidP="00732E43">
            <w:pPr>
              <w:spacing w:after="200" w:line="240" w:lineRule="exact"/>
              <w:jc w:val="center"/>
              <w:cnfStyle w:val="000000000000"/>
              <w:rPr>
                <w:rFonts w:asciiTheme="minorHAnsi" w:eastAsia="Times New Roman" w:hAnsiTheme="minorHAnsi" w:cstheme="minorHAnsi"/>
                <w:color w:val="000000"/>
                <w:sz w:val="20"/>
                <w:szCs w:val="20"/>
              </w:rPr>
            </w:pPr>
            <w:r w:rsidRPr="004927D7">
              <w:rPr>
                <w:rFonts w:asciiTheme="minorHAnsi" w:eastAsia="Times New Roman" w:hAnsiTheme="minorHAnsi" w:cstheme="minorHAnsi"/>
                <w:color w:val="000000"/>
                <w:sz w:val="20"/>
                <w:szCs w:val="20"/>
              </w:rPr>
              <w:t>33,5</w:t>
            </w:r>
          </w:p>
        </w:tc>
        <w:tc>
          <w:tcPr>
            <w:tcW w:w="1232" w:type="dxa"/>
            <w:noWrap/>
            <w:hideMark/>
          </w:tcPr>
          <w:p w:rsidR="00732E43" w:rsidRPr="004927D7" w:rsidRDefault="00732E43" w:rsidP="00732E43">
            <w:pPr>
              <w:spacing w:after="200" w:line="240" w:lineRule="exact"/>
              <w:jc w:val="center"/>
              <w:cnfStyle w:val="000000000000"/>
              <w:rPr>
                <w:rFonts w:asciiTheme="minorHAnsi" w:eastAsia="Times New Roman" w:hAnsiTheme="minorHAnsi" w:cstheme="minorHAnsi"/>
                <w:color w:val="000000"/>
                <w:sz w:val="20"/>
                <w:szCs w:val="20"/>
              </w:rPr>
            </w:pPr>
            <w:r w:rsidRPr="004927D7">
              <w:rPr>
                <w:rFonts w:asciiTheme="minorHAnsi" w:eastAsia="Times New Roman" w:hAnsiTheme="minorHAnsi" w:cstheme="minorHAnsi"/>
                <w:color w:val="000000"/>
                <w:sz w:val="20"/>
                <w:szCs w:val="20"/>
              </w:rPr>
              <w:t>66,9</w:t>
            </w:r>
          </w:p>
        </w:tc>
      </w:tr>
      <w:tr w:rsidR="00732E43" w:rsidRPr="00732E43" w:rsidTr="00732E43">
        <w:trPr>
          <w:cnfStyle w:val="000000100000"/>
          <w:trHeight w:hRule="exact" w:val="263"/>
        </w:trPr>
        <w:tc>
          <w:tcPr>
            <w:cnfStyle w:val="001000000000"/>
            <w:tcW w:w="3251" w:type="dxa"/>
            <w:noWrap/>
            <w:hideMark/>
          </w:tcPr>
          <w:p w:rsidR="00732E43" w:rsidRPr="004927D7" w:rsidRDefault="00732E43" w:rsidP="00732E43">
            <w:pPr>
              <w:spacing w:after="200" w:line="240" w:lineRule="exact"/>
              <w:jc w:val="left"/>
              <w:rPr>
                <w:rFonts w:asciiTheme="minorHAnsi" w:eastAsia="Times New Roman" w:hAnsiTheme="minorHAnsi" w:cstheme="minorHAnsi"/>
                <w:color w:val="000000"/>
                <w:sz w:val="20"/>
                <w:szCs w:val="20"/>
              </w:rPr>
            </w:pPr>
            <w:r w:rsidRPr="004927D7">
              <w:rPr>
                <w:rFonts w:asciiTheme="minorHAnsi" w:eastAsia="Times New Roman" w:hAnsiTheme="minorHAnsi" w:cstheme="minorHAnsi"/>
                <w:color w:val="000000"/>
                <w:sz w:val="20"/>
                <w:szCs w:val="20"/>
              </w:rPr>
              <w:t>M+DM</w:t>
            </w:r>
          </w:p>
        </w:tc>
        <w:tc>
          <w:tcPr>
            <w:tcW w:w="1001" w:type="dxa"/>
            <w:noWrap/>
            <w:hideMark/>
          </w:tcPr>
          <w:p w:rsidR="00732E43" w:rsidRPr="004927D7" w:rsidRDefault="00732E43" w:rsidP="00732E43">
            <w:pPr>
              <w:spacing w:after="200" w:line="240" w:lineRule="exact"/>
              <w:jc w:val="center"/>
              <w:cnfStyle w:val="000000100000"/>
              <w:rPr>
                <w:rFonts w:asciiTheme="minorHAnsi" w:eastAsia="Times New Roman" w:hAnsiTheme="minorHAnsi" w:cstheme="minorHAnsi"/>
                <w:color w:val="000000"/>
                <w:sz w:val="20"/>
                <w:szCs w:val="20"/>
              </w:rPr>
            </w:pPr>
            <w:r w:rsidRPr="004927D7">
              <w:rPr>
                <w:rFonts w:asciiTheme="minorHAnsi" w:eastAsia="Times New Roman" w:hAnsiTheme="minorHAnsi" w:cstheme="minorHAnsi"/>
                <w:color w:val="000000"/>
                <w:sz w:val="20"/>
                <w:szCs w:val="20"/>
              </w:rPr>
              <w:t>34,2</w:t>
            </w:r>
          </w:p>
        </w:tc>
        <w:tc>
          <w:tcPr>
            <w:tcW w:w="1078" w:type="dxa"/>
            <w:noWrap/>
            <w:hideMark/>
          </w:tcPr>
          <w:p w:rsidR="00732E43" w:rsidRPr="004927D7" w:rsidRDefault="00732E43" w:rsidP="00732E43">
            <w:pPr>
              <w:spacing w:after="200" w:line="240" w:lineRule="exact"/>
              <w:jc w:val="center"/>
              <w:cnfStyle w:val="000000100000"/>
              <w:rPr>
                <w:rFonts w:asciiTheme="minorHAnsi" w:eastAsia="Times New Roman" w:hAnsiTheme="minorHAnsi" w:cstheme="minorHAnsi"/>
                <w:color w:val="000000"/>
                <w:sz w:val="20"/>
                <w:szCs w:val="20"/>
              </w:rPr>
            </w:pPr>
            <w:r w:rsidRPr="004927D7">
              <w:rPr>
                <w:rFonts w:asciiTheme="minorHAnsi" w:eastAsia="Times New Roman" w:hAnsiTheme="minorHAnsi" w:cstheme="minorHAnsi"/>
                <w:color w:val="000000"/>
                <w:sz w:val="20"/>
                <w:szCs w:val="20"/>
              </w:rPr>
              <w:t>102,5</w:t>
            </w:r>
          </w:p>
        </w:tc>
        <w:tc>
          <w:tcPr>
            <w:tcW w:w="1055" w:type="dxa"/>
            <w:noWrap/>
            <w:hideMark/>
          </w:tcPr>
          <w:p w:rsidR="00732E43" w:rsidRPr="004927D7" w:rsidRDefault="00732E43" w:rsidP="00732E43">
            <w:pPr>
              <w:spacing w:after="200" w:line="240" w:lineRule="exact"/>
              <w:jc w:val="center"/>
              <w:cnfStyle w:val="000000100000"/>
              <w:rPr>
                <w:rFonts w:asciiTheme="minorHAnsi" w:eastAsia="Times New Roman" w:hAnsiTheme="minorHAnsi" w:cstheme="minorHAnsi"/>
                <w:color w:val="000000"/>
                <w:sz w:val="20"/>
                <w:szCs w:val="20"/>
              </w:rPr>
            </w:pPr>
            <w:r w:rsidRPr="004927D7">
              <w:rPr>
                <w:rFonts w:asciiTheme="minorHAnsi" w:eastAsia="Times New Roman" w:hAnsiTheme="minorHAnsi" w:cstheme="minorHAnsi"/>
                <w:color w:val="000000"/>
                <w:sz w:val="20"/>
                <w:szCs w:val="20"/>
              </w:rPr>
              <w:t>39,8</w:t>
            </w:r>
          </w:p>
        </w:tc>
        <w:tc>
          <w:tcPr>
            <w:tcW w:w="1334" w:type="dxa"/>
            <w:noWrap/>
            <w:hideMark/>
          </w:tcPr>
          <w:p w:rsidR="00732E43" w:rsidRPr="004927D7" w:rsidRDefault="00732E43" w:rsidP="00732E43">
            <w:pPr>
              <w:spacing w:after="200" w:line="240" w:lineRule="exact"/>
              <w:jc w:val="center"/>
              <w:cnfStyle w:val="000000100000"/>
              <w:rPr>
                <w:rFonts w:asciiTheme="minorHAnsi" w:eastAsia="Times New Roman" w:hAnsiTheme="minorHAnsi" w:cstheme="minorHAnsi"/>
                <w:color w:val="000000"/>
                <w:sz w:val="20"/>
                <w:szCs w:val="20"/>
              </w:rPr>
            </w:pPr>
            <w:r w:rsidRPr="004927D7">
              <w:rPr>
                <w:rFonts w:asciiTheme="minorHAnsi" w:eastAsia="Times New Roman" w:hAnsiTheme="minorHAnsi" w:cstheme="minorHAnsi"/>
                <w:color w:val="000000"/>
                <w:sz w:val="20"/>
                <w:szCs w:val="20"/>
              </w:rPr>
              <w:t>119,5</w:t>
            </w:r>
          </w:p>
        </w:tc>
        <w:tc>
          <w:tcPr>
            <w:tcW w:w="974" w:type="dxa"/>
            <w:noWrap/>
            <w:hideMark/>
          </w:tcPr>
          <w:p w:rsidR="00732E43" w:rsidRPr="004927D7" w:rsidRDefault="00732E43" w:rsidP="00732E43">
            <w:pPr>
              <w:spacing w:after="200" w:line="240" w:lineRule="exact"/>
              <w:jc w:val="center"/>
              <w:cnfStyle w:val="000000100000"/>
              <w:rPr>
                <w:rFonts w:asciiTheme="minorHAnsi" w:eastAsia="Times New Roman" w:hAnsiTheme="minorHAnsi" w:cstheme="minorHAnsi"/>
                <w:color w:val="000000"/>
                <w:sz w:val="20"/>
                <w:szCs w:val="20"/>
              </w:rPr>
            </w:pPr>
            <w:r w:rsidRPr="004927D7">
              <w:rPr>
                <w:rFonts w:asciiTheme="minorHAnsi" w:eastAsia="Times New Roman" w:hAnsiTheme="minorHAnsi" w:cstheme="minorHAnsi"/>
                <w:color w:val="000000"/>
                <w:sz w:val="20"/>
                <w:szCs w:val="20"/>
              </w:rPr>
              <w:t>31,8</w:t>
            </w:r>
          </w:p>
        </w:tc>
        <w:tc>
          <w:tcPr>
            <w:tcW w:w="1232" w:type="dxa"/>
            <w:noWrap/>
            <w:hideMark/>
          </w:tcPr>
          <w:p w:rsidR="00732E43" w:rsidRPr="004927D7" w:rsidRDefault="00732E43" w:rsidP="00732E43">
            <w:pPr>
              <w:spacing w:after="200" w:line="240" w:lineRule="exact"/>
              <w:jc w:val="center"/>
              <w:cnfStyle w:val="000000100000"/>
              <w:rPr>
                <w:rFonts w:asciiTheme="minorHAnsi" w:eastAsia="Times New Roman" w:hAnsiTheme="minorHAnsi" w:cstheme="minorHAnsi"/>
                <w:color w:val="000000"/>
                <w:sz w:val="20"/>
                <w:szCs w:val="20"/>
              </w:rPr>
            </w:pPr>
            <w:r w:rsidRPr="004927D7">
              <w:rPr>
                <w:rFonts w:asciiTheme="minorHAnsi" w:eastAsia="Times New Roman" w:hAnsiTheme="minorHAnsi" w:cstheme="minorHAnsi"/>
                <w:color w:val="000000"/>
                <w:sz w:val="20"/>
                <w:szCs w:val="20"/>
              </w:rPr>
              <w:t>95,4</w:t>
            </w:r>
          </w:p>
        </w:tc>
      </w:tr>
      <w:tr w:rsidR="00732E43" w:rsidRPr="00732E43" w:rsidTr="00732E43">
        <w:trPr>
          <w:trHeight w:hRule="exact" w:val="263"/>
        </w:trPr>
        <w:tc>
          <w:tcPr>
            <w:cnfStyle w:val="001000000000"/>
            <w:tcW w:w="3251" w:type="dxa"/>
            <w:noWrap/>
            <w:hideMark/>
          </w:tcPr>
          <w:p w:rsidR="00732E43" w:rsidRPr="004927D7" w:rsidRDefault="00732E43" w:rsidP="00732E43">
            <w:pPr>
              <w:spacing w:after="200" w:line="240" w:lineRule="exact"/>
              <w:jc w:val="left"/>
              <w:rPr>
                <w:rFonts w:asciiTheme="minorHAnsi" w:eastAsia="Times New Roman" w:hAnsiTheme="minorHAnsi" w:cstheme="minorHAnsi"/>
                <w:color w:val="000000"/>
                <w:sz w:val="20"/>
                <w:szCs w:val="20"/>
              </w:rPr>
            </w:pPr>
            <w:r w:rsidRPr="004927D7">
              <w:rPr>
                <w:rFonts w:asciiTheme="minorHAnsi" w:eastAsia="Times New Roman" w:hAnsiTheme="minorHAnsi" w:cstheme="minorHAnsi"/>
                <w:color w:val="000000"/>
                <w:sz w:val="20"/>
                <w:szCs w:val="20"/>
              </w:rPr>
              <w:t>M+DM+DM</w:t>
            </w:r>
          </w:p>
        </w:tc>
        <w:tc>
          <w:tcPr>
            <w:tcW w:w="1001" w:type="dxa"/>
            <w:noWrap/>
            <w:hideMark/>
          </w:tcPr>
          <w:p w:rsidR="00732E43" w:rsidRPr="004927D7" w:rsidRDefault="00732E43" w:rsidP="00732E43">
            <w:pPr>
              <w:spacing w:after="200" w:line="240" w:lineRule="exact"/>
              <w:jc w:val="center"/>
              <w:cnfStyle w:val="000000000000"/>
              <w:rPr>
                <w:rFonts w:asciiTheme="minorHAnsi" w:eastAsia="Times New Roman" w:hAnsiTheme="minorHAnsi" w:cstheme="minorHAnsi"/>
                <w:color w:val="000000"/>
                <w:sz w:val="20"/>
                <w:szCs w:val="20"/>
              </w:rPr>
            </w:pPr>
            <w:r w:rsidRPr="004927D7">
              <w:rPr>
                <w:rFonts w:asciiTheme="minorHAnsi" w:eastAsia="Times New Roman" w:hAnsiTheme="minorHAnsi" w:cstheme="minorHAnsi"/>
                <w:color w:val="000000"/>
                <w:sz w:val="20"/>
                <w:szCs w:val="20"/>
              </w:rPr>
              <w:t>31,3</w:t>
            </w:r>
          </w:p>
        </w:tc>
        <w:tc>
          <w:tcPr>
            <w:tcW w:w="1078" w:type="dxa"/>
            <w:noWrap/>
            <w:hideMark/>
          </w:tcPr>
          <w:p w:rsidR="00732E43" w:rsidRPr="004927D7" w:rsidRDefault="00732E43" w:rsidP="00732E43">
            <w:pPr>
              <w:spacing w:after="200" w:line="240" w:lineRule="exact"/>
              <w:jc w:val="center"/>
              <w:cnfStyle w:val="000000000000"/>
              <w:rPr>
                <w:rFonts w:asciiTheme="minorHAnsi" w:eastAsia="Times New Roman" w:hAnsiTheme="minorHAnsi" w:cstheme="minorHAnsi"/>
                <w:color w:val="000000"/>
                <w:sz w:val="20"/>
                <w:szCs w:val="20"/>
              </w:rPr>
            </w:pPr>
            <w:r w:rsidRPr="004927D7">
              <w:rPr>
                <w:rFonts w:asciiTheme="minorHAnsi" w:eastAsia="Times New Roman" w:hAnsiTheme="minorHAnsi" w:cstheme="minorHAnsi"/>
                <w:color w:val="000000"/>
                <w:sz w:val="20"/>
                <w:szCs w:val="20"/>
              </w:rPr>
              <w:t>125,0</w:t>
            </w:r>
          </w:p>
        </w:tc>
        <w:tc>
          <w:tcPr>
            <w:tcW w:w="1055" w:type="dxa"/>
            <w:noWrap/>
            <w:hideMark/>
          </w:tcPr>
          <w:p w:rsidR="00732E43" w:rsidRPr="004927D7" w:rsidRDefault="00732E43" w:rsidP="00732E43">
            <w:pPr>
              <w:spacing w:after="200" w:line="240" w:lineRule="exact"/>
              <w:jc w:val="center"/>
              <w:cnfStyle w:val="000000000000"/>
              <w:rPr>
                <w:rFonts w:asciiTheme="minorHAnsi" w:eastAsia="Times New Roman" w:hAnsiTheme="minorHAnsi" w:cstheme="minorHAnsi"/>
                <w:color w:val="000000"/>
                <w:sz w:val="20"/>
                <w:szCs w:val="20"/>
              </w:rPr>
            </w:pPr>
            <w:r w:rsidRPr="004927D7">
              <w:rPr>
                <w:rFonts w:asciiTheme="minorHAnsi" w:eastAsia="Times New Roman" w:hAnsiTheme="minorHAnsi" w:cstheme="minorHAnsi"/>
                <w:color w:val="000000"/>
                <w:sz w:val="20"/>
                <w:szCs w:val="20"/>
              </w:rPr>
              <w:t>36,4</w:t>
            </w:r>
          </w:p>
        </w:tc>
        <w:tc>
          <w:tcPr>
            <w:tcW w:w="1334" w:type="dxa"/>
            <w:noWrap/>
            <w:hideMark/>
          </w:tcPr>
          <w:p w:rsidR="00732E43" w:rsidRPr="004927D7" w:rsidRDefault="00732E43" w:rsidP="00732E43">
            <w:pPr>
              <w:spacing w:after="200" w:line="240" w:lineRule="exact"/>
              <w:jc w:val="center"/>
              <w:cnfStyle w:val="000000000000"/>
              <w:rPr>
                <w:rFonts w:asciiTheme="minorHAnsi" w:eastAsia="Times New Roman" w:hAnsiTheme="minorHAnsi" w:cstheme="minorHAnsi"/>
                <w:color w:val="000000"/>
                <w:sz w:val="20"/>
                <w:szCs w:val="20"/>
              </w:rPr>
            </w:pPr>
            <w:r w:rsidRPr="004927D7">
              <w:rPr>
                <w:rFonts w:asciiTheme="minorHAnsi" w:eastAsia="Times New Roman" w:hAnsiTheme="minorHAnsi" w:cstheme="minorHAnsi"/>
                <w:color w:val="000000"/>
                <w:sz w:val="20"/>
                <w:szCs w:val="20"/>
              </w:rPr>
              <w:t>145,4</w:t>
            </w:r>
          </w:p>
        </w:tc>
        <w:tc>
          <w:tcPr>
            <w:tcW w:w="974" w:type="dxa"/>
            <w:noWrap/>
            <w:hideMark/>
          </w:tcPr>
          <w:p w:rsidR="00732E43" w:rsidRPr="004927D7" w:rsidRDefault="00732E43" w:rsidP="00732E43">
            <w:pPr>
              <w:spacing w:after="200" w:line="240" w:lineRule="exact"/>
              <w:jc w:val="center"/>
              <w:cnfStyle w:val="000000000000"/>
              <w:rPr>
                <w:rFonts w:asciiTheme="minorHAnsi" w:eastAsia="Times New Roman" w:hAnsiTheme="minorHAnsi" w:cstheme="minorHAnsi"/>
                <w:color w:val="000000"/>
                <w:sz w:val="20"/>
                <w:szCs w:val="20"/>
              </w:rPr>
            </w:pPr>
            <w:r w:rsidRPr="004927D7">
              <w:rPr>
                <w:rFonts w:asciiTheme="minorHAnsi" w:eastAsia="Times New Roman" w:hAnsiTheme="minorHAnsi" w:cstheme="minorHAnsi"/>
                <w:color w:val="000000"/>
                <w:sz w:val="20"/>
                <w:szCs w:val="20"/>
              </w:rPr>
              <w:t>29,1</w:t>
            </w:r>
          </w:p>
        </w:tc>
        <w:tc>
          <w:tcPr>
            <w:tcW w:w="1232" w:type="dxa"/>
            <w:noWrap/>
            <w:hideMark/>
          </w:tcPr>
          <w:p w:rsidR="00732E43" w:rsidRPr="004927D7" w:rsidRDefault="00732E43" w:rsidP="00732E43">
            <w:pPr>
              <w:spacing w:after="200" w:line="240" w:lineRule="exact"/>
              <w:jc w:val="center"/>
              <w:cnfStyle w:val="000000000000"/>
              <w:rPr>
                <w:rFonts w:asciiTheme="minorHAnsi" w:eastAsia="Times New Roman" w:hAnsiTheme="minorHAnsi" w:cstheme="minorHAnsi"/>
                <w:color w:val="000000"/>
                <w:sz w:val="20"/>
                <w:szCs w:val="20"/>
              </w:rPr>
            </w:pPr>
            <w:r w:rsidRPr="004927D7">
              <w:rPr>
                <w:rFonts w:asciiTheme="minorHAnsi" w:eastAsia="Times New Roman" w:hAnsiTheme="minorHAnsi" w:cstheme="minorHAnsi"/>
                <w:color w:val="000000"/>
                <w:sz w:val="20"/>
                <w:szCs w:val="20"/>
              </w:rPr>
              <w:t>116,4</w:t>
            </w:r>
          </w:p>
        </w:tc>
      </w:tr>
      <w:tr w:rsidR="00732E43" w:rsidRPr="00732E43" w:rsidTr="00732E43">
        <w:trPr>
          <w:cnfStyle w:val="000000100000"/>
          <w:trHeight w:hRule="exact" w:val="263"/>
        </w:trPr>
        <w:tc>
          <w:tcPr>
            <w:cnfStyle w:val="001000000000"/>
            <w:tcW w:w="3251" w:type="dxa"/>
            <w:noWrap/>
            <w:hideMark/>
          </w:tcPr>
          <w:p w:rsidR="00732E43" w:rsidRPr="004927D7" w:rsidRDefault="00732E43" w:rsidP="00732E43">
            <w:pPr>
              <w:spacing w:after="200" w:line="240" w:lineRule="exact"/>
              <w:jc w:val="left"/>
              <w:rPr>
                <w:rFonts w:asciiTheme="minorHAnsi" w:eastAsia="Times New Roman" w:hAnsiTheme="minorHAnsi" w:cstheme="minorHAnsi"/>
                <w:color w:val="000000"/>
                <w:sz w:val="20"/>
                <w:szCs w:val="20"/>
              </w:rPr>
            </w:pPr>
            <w:r w:rsidRPr="004927D7">
              <w:rPr>
                <w:rFonts w:asciiTheme="minorHAnsi" w:eastAsia="Times New Roman" w:hAnsiTheme="minorHAnsi" w:cstheme="minorHAnsi"/>
                <w:color w:val="000000"/>
                <w:sz w:val="20"/>
                <w:szCs w:val="20"/>
              </w:rPr>
              <w:t>M+DS+DM+DM</w:t>
            </w:r>
          </w:p>
        </w:tc>
        <w:tc>
          <w:tcPr>
            <w:tcW w:w="1001" w:type="dxa"/>
            <w:noWrap/>
            <w:hideMark/>
          </w:tcPr>
          <w:p w:rsidR="00732E43" w:rsidRPr="004927D7" w:rsidRDefault="00732E43" w:rsidP="00732E43">
            <w:pPr>
              <w:spacing w:after="200" w:line="240" w:lineRule="exact"/>
              <w:jc w:val="center"/>
              <w:cnfStyle w:val="000000100000"/>
              <w:rPr>
                <w:rFonts w:asciiTheme="minorHAnsi" w:eastAsia="Times New Roman" w:hAnsiTheme="minorHAnsi" w:cstheme="minorHAnsi"/>
                <w:color w:val="000000"/>
                <w:sz w:val="20"/>
                <w:szCs w:val="20"/>
              </w:rPr>
            </w:pPr>
            <w:r w:rsidRPr="004927D7">
              <w:rPr>
                <w:rFonts w:asciiTheme="minorHAnsi" w:eastAsia="Times New Roman" w:hAnsiTheme="minorHAnsi" w:cstheme="minorHAnsi"/>
                <w:color w:val="000000"/>
                <w:sz w:val="20"/>
                <w:szCs w:val="20"/>
              </w:rPr>
              <w:t>30,4</w:t>
            </w:r>
          </w:p>
        </w:tc>
        <w:tc>
          <w:tcPr>
            <w:tcW w:w="1078" w:type="dxa"/>
            <w:noWrap/>
            <w:hideMark/>
          </w:tcPr>
          <w:p w:rsidR="00732E43" w:rsidRPr="004927D7" w:rsidRDefault="00732E43" w:rsidP="00732E43">
            <w:pPr>
              <w:spacing w:after="200" w:line="240" w:lineRule="exact"/>
              <w:jc w:val="center"/>
              <w:cnfStyle w:val="000000100000"/>
              <w:rPr>
                <w:rFonts w:asciiTheme="minorHAnsi" w:eastAsia="Times New Roman" w:hAnsiTheme="minorHAnsi" w:cstheme="minorHAnsi"/>
                <w:color w:val="000000"/>
                <w:sz w:val="20"/>
                <w:szCs w:val="20"/>
              </w:rPr>
            </w:pPr>
            <w:r w:rsidRPr="004927D7">
              <w:rPr>
                <w:rFonts w:asciiTheme="minorHAnsi" w:eastAsia="Times New Roman" w:hAnsiTheme="minorHAnsi" w:cstheme="minorHAnsi"/>
                <w:color w:val="000000"/>
                <w:sz w:val="20"/>
                <w:szCs w:val="20"/>
              </w:rPr>
              <w:t>151,8</w:t>
            </w:r>
          </w:p>
        </w:tc>
        <w:tc>
          <w:tcPr>
            <w:tcW w:w="1055" w:type="dxa"/>
            <w:noWrap/>
            <w:hideMark/>
          </w:tcPr>
          <w:p w:rsidR="00732E43" w:rsidRPr="004927D7" w:rsidRDefault="00732E43" w:rsidP="00732E43">
            <w:pPr>
              <w:spacing w:after="200" w:line="240" w:lineRule="exact"/>
              <w:jc w:val="center"/>
              <w:cnfStyle w:val="000000100000"/>
              <w:rPr>
                <w:rFonts w:asciiTheme="minorHAnsi" w:eastAsia="Times New Roman" w:hAnsiTheme="minorHAnsi" w:cstheme="minorHAnsi"/>
                <w:color w:val="000000"/>
                <w:sz w:val="20"/>
                <w:szCs w:val="20"/>
              </w:rPr>
            </w:pPr>
            <w:r w:rsidRPr="004927D7">
              <w:rPr>
                <w:rFonts w:asciiTheme="minorHAnsi" w:eastAsia="Times New Roman" w:hAnsiTheme="minorHAnsi" w:cstheme="minorHAnsi"/>
                <w:color w:val="000000"/>
                <w:sz w:val="20"/>
                <w:szCs w:val="20"/>
              </w:rPr>
              <w:t>35,1</w:t>
            </w:r>
          </w:p>
        </w:tc>
        <w:tc>
          <w:tcPr>
            <w:tcW w:w="1334" w:type="dxa"/>
            <w:noWrap/>
            <w:hideMark/>
          </w:tcPr>
          <w:p w:rsidR="00732E43" w:rsidRPr="004927D7" w:rsidRDefault="00732E43" w:rsidP="00732E43">
            <w:pPr>
              <w:spacing w:after="200" w:line="240" w:lineRule="exact"/>
              <w:jc w:val="center"/>
              <w:cnfStyle w:val="000000100000"/>
              <w:rPr>
                <w:rFonts w:asciiTheme="minorHAnsi" w:eastAsia="Times New Roman" w:hAnsiTheme="minorHAnsi" w:cstheme="minorHAnsi"/>
                <w:color w:val="000000"/>
                <w:sz w:val="20"/>
                <w:szCs w:val="20"/>
              </w:rPr>
            </w:pPr>
            <w:r w:rsidRPr="004927D7">
              <w:rPr>
                <w:rFonts w:asciiTheme="minorHAnsi" w:eastAsia="Times New Roman" w:hAnsiTheme="minorHAnsi" w:cstheme="minorHAnsi"/>
                <w:color w:val="000000"/>
                <w:sz w:val="20"/>
                <w:szCs w:val="20"/>
              </w:rPr>
              <w:t>175,6</w:t>
            </w:r>
          </w:p>
        </w:tc>
        <w:tc>
          <w:tcPr>
            <w:tcW w:w="974" w:type="dxa"/>
            <w:noWrap/>
            <w:hideMark/>
          </w:tcPr>
          <w:p w:rsidR="00732E43" w:rsidRPr="004927D7" w:rsidRDefault="00732E43" w:rsidP="00732E43">
            <w:pPr>
              <w:spacing w:after="200" w:line="240" w:lineRule="exact"/>
              <w:jc w:val="center"/>
              <w:cnfStyle w:val="000000100000"/>
              <w:rPr>
                <w:rFonts w:asciiTheme="minorHAnsi" w:eastAsia="Times New Roman" w:hAnsiTheme="minorHAnsi" w:cstheme="minorHAnsi"/>
                <w:color w:val="000000"/>
                <w:sz w:val="20"/>
                <w:szCs w:val="20"/>
              </w:rPr>
            </w:pPr>
            <w:r w:rsidRPr="004927D7">
              <w:rPr>
                <w:rFonts w:asciiTheme="minorHAnsi" w:eastAsia="Times New Roman" w:hAnsiTheme="minorHAnsi" w:cstheme="minorHAnsi"/>
                <w:color w:val="000000"/>
                <w:sz w:val="20"/>
                <w:szCs w:val="20"/>
              </w:rPr>
              <w:t>28,4</w:t>
            </w:r>
          </w:p>
        </w:tc>
        <w:tc>
          <w:tcPr>
            <w:tcW w:w="1232" w:type="dxa"/>
            <w:noWrap/>
            <w:hideMark/>
          </w:tcPr>
          <w:p w:rsidR="00732E43" w:rsidRPr="004927D7" w:rsidRDefault="00732E43" w:rsidP="00732E43">
            <w:pPr>
              <w:spacing w:after="200" w:line="240" w:lineRule="exact"/>
              <w:jc w:val="center"/>
              <w:cnfStyle w:val="000000100000"/>
              <w:rPr>
                <w:rFonts w:asciiTheme="minorHAnsi" w:eastAsia="Times New Roman" w:hAnsiTheme="minorHAnsi" w:cstheme="minorHAnsi"/>
                <w:color w:val="000000"/>
                <w:sz w:val="20"/>
                <w:szCs w:val="20"/>
              </w:rPr>
            </w:pPr>
            <w:r w:rsidRPr="004927D7">
              <w:rPr>
                <w:rFonts w:asciiTheme="minorHAnsi" w:eastAsia="Times New Roman" w:hAnsiTheme="minorHAnsi" w:cstheme="minorHAnsi"/>
                <w:color w:val="000000"/>
                <w:sz w:val="20"/>
                <w:szCs w:val="20"/>
              </w:rPr>
              <w:t>141,8</w:t>
            </w:r>
          </w:p>
        </w:tc>
      </w:tr>
      <w:tr w:rsidR="00732E43" w:rsidRPr="00732E43" w:rsidTr="00732E43">
        <w:trPr>
          <w:trHeight w:hRule="exact" w:val="263"/>
        </w:trPr>
        <w:tc>
          <w:tcPr>
            <w:cnfStyle w:val="001000000000"/>
            <w:tcW w:w="3251" w:type="dxa"/>
            <w:noWrap/>
            <w:hideMark/>
          </w:tcPr>
          <w:p w:rsidR="00732E43" w:rsidRPr="004927D7" w:rsidRDefault="00732E43" w:rsidP="00732E43">
            <w:pPr>
              <w:spacing w:after="200" w:line="240" w:lineRule="exact"/>
              <w:jc w:val="left"/>
              <w:rPr>
                <w:rFonts w:asciiTheme="minorHAnsi" w:eastAsia="Times New Roman" w:hAnsiTheme="minorHAnsi" w:cstheme="minorHAnsi"/>
                <w:color w:val="000000"/>
                <w:sz w:val="20"/>
                <w:szCs w:val="20"/>
              </w:rPr>
            </w:pPr>
            <w:r w:rsidRPr="004927D7">
              <w:rPr>
                <w:rFonts w:asciiTheme="minorHAnsi" w:eastAsia="Times New Roman" w:hAnsiTheme="minorHAnsi" w:cstheme="minorHAnsi"/>
                <w:color w:val="000000"/>
                <w:sz w:val="20"/>
                <w:szCs w:val="20"/>
              </w:rPr>
              <w:t>M+DS+DS+DM+DM</w:t>
            </w:r>
          </w:p>
        </w:tc>
        <w:tc>
          <w:tcPr>
            <w:tcW w:w="1001" w:type="dxa"/>
            <w:noWrap/>
            <w:hideMark/>
          </w:tcPr>
          <w:p w:rsidR="00732E43" w:rsidRPr="004927D7" w:rsidRDefault="00732E43" w:rsidP="00732E43">
            <w:pPr>
              <w:spacing w:after="200" w:line="240" w:lineRule="exact"/>
              <w:jc w:val="center"/>
              <w:cnfStyle w:val="000000000000"/>
              <w:rPr>
                <w:rFonts w:asciiTheme="minorHAnsi" w:eastAsia="Times New Roman" w:hAnsiTheme="minorHAnsi" w:cstheme="minorHAnsi"/>
                <w:color w:val="000000"/>
                <w:sz w:val="20"/>
                <w:szCs w:val="20"/>
              </w:rPr>
            </w:pPr>
            <w:r w:rsidRPr="004927D7">
              <w:rPr>
                <w:rFonts w:asciiTheme="minorHAnsi" w:eastAsia="Times New Roman" w:hAnsiTheme="minorHAnsi" w:cstheme="minorHAnsi"/>
                <w:color w:val="000000"/>
                <w:sz w:val="20"/>
                <w:szCs w:val="20"/>
              </w:rPr>
              <w:t>29,7</w:t>
            </w:r>
          </w:p>
        </w:tc>
        <w:tc>
          <w:tcPr>
            <w:tcW w:w="1078" w:type="dxa"/>
            <w:noWrap/>
            <w:hideMark/>
          </w:tcPr>
          <w:p w:rsidR="00732E43" w:rsidRPr="004927D7" w:rsidRDefault="00732E43" w:rsidP="00732E43">
            <w:pPr>
              <w:spacing w:after="200" w:line="240" w:lineRule="exact"/>
              <w:jc w:val="center"/>
              <w:cnfStyle w:val="000000000000"/>
              <w:rPr>
                <w:rFonts w:asciiTheme="minorHAnsi" w:eastAsia="Times New Roman" w:hAnsiTheme="minorHAnsi" w:cstheme="minorHAnsi"/>
                <w:color w:val="000000"/>
                <w:sz w:val="20"/>
                <w:szCs w:val="20"/>
              </w:rPr>
            </w:pPr>
            <w:r w:rsidRPr="004927D7">
              <w:rPr>
                <w:rFonts w:asciiTheme="minorHAnsi" w:eastAsia="Times New Roman" w:hAnsiTheme="minorHAnsi" w:cstheme="minorHAnsi"/>
                <w:color w:val="000000"/>
                <w:sz w:val="20"/>
                <w:szCs w:val="20"/>
              </w:rPr>
              <w:t>178,4</w:t>
            </w:r>
          </w:p>
        </w:tc>
        <w:tc>
          <w:tcPr>
            <w:tcW w:w="1055" w:type="dxa"/>
            <w:noWrap/>
            <w:hideMark/>
          </w:tcPr>
          <w:p w:rsidR="00732E43" w:rsidRPr="004927D7" w:rsidRDefault="00732E43" w:rsidP="00732E43">
            <w:pPr>
              <w:spacing w:after="200" w:line="240" w:lineRule="exact"/>
              <w:jc w:val="center"/>
              <w:cnfStyle w:val="000000000000"/>
              <w:rPr>
                <w:rFonts w:asciiTheme="minorHAnsi" w:eastAsia="Times New Roman" w:hAnsiTheme="minorHAnsi" w:cstheme="minorHAnsi"/>
                <w:color w:val="000000"/>
                <w:sz w:val="20"/>
                <w:szCs w:val="20"/>
              </w:rPr>
            </w:pPr>
            <w:r w:rsidRPr="004927D7">
              <w:rPr>
                <w:rFonts w:asciiTheme="minorHAnsi" w:eastAsia="Times New Roman" w:hAnsiTheme="minorHAnsi" w:cstheme="minorHAnsi"/>
                <w:color w:val="000000"/>
                <w:sz w:val="20"/>
                <w:szCs w:val="20"/>
              </w:rPr>
              <w:t>34,3</w:t>
            </w:r>
          </w:p>
        </w:tc>
        <w:tc>
          <w:tcPr>
            <w:tcW w:w="1334" w:type="dxa"/>
            <w:noWrap/>
            <w:hideMark/>
          </w:tcPr>
          <w:p w:rsidR="00732E43" w:rsidRPr="004927D7" w:rsidRDefault="00732E43" w:rsidP="00732E43">
            <w:pPr>
              <w:spacing w:after="200" w:line="240" w:lineRule="exact"/>
              <w:jc w:val="center"/>
              <w:cnfStyle w:val="000000000000"/>
              <w:rPr>
                <w:rFonts w:asciiTheme="minorHAnsi" w:eastAsia="Times New Roman" w:hAnsiTheme="minorHAnsi" w:cstheme="minorHAnsi"/>
                <w:color w:val="000000"/>
                <w:sz w:val="20"/>
                <w:szCs w:val="20"/>
              </w:rPr>
            </w:pPr>
            <w:r w:rsidRPr="004927D7">
              <w:rPr>
                <w:rFonts w:asciiTheme="minorHAnsi" w:eastAsia="Times New Roman" w:hAnsiTheme="minorHAnsi" w:cstheme="minorHAnsi"/>
                <w:color w:val="000000"/>
                <w:sz w:val="20"/>
                <w:szCs w:val="20"/>
              </w:rPr>
              <w:t>205,6</w:t>
            </w:r>
          </w:p>
        </w:tc>
        <w:tc>
          <w:tcPr>
            <w:tcW w:w="974" w:type="dxa"/>
            <w:noWrap/>
            <w:hideMark/>
          </w:tcPr>
          <w:p w:rsidR="00732E43" w:rsidRPr="004927D7" w:rsidRDefault="00732E43" w:rsidP="00732E43">
            <w:pPr>
              <w:spacing w:after="200" w:line="240" w:lineRule="exact"/>
              <w:jc w:val="center"/>
              <w:cnfStyle w:val="000000000000"/>
              <w:rPr>
                <w:rFonts w:asciiTheme="minorHAnsi" w:eastAsia="Times New Roman" w:hAnsiTheme="minorHAnsi" w:cstheme="minorHAnsi"/>
                <w:color w:val="000000"/>
                <w:sz w:val="20"/>
                <w:szCs w:val="20"/>
              </w:rPr>
            </w:pPr>
            <w:r w:rsidRPr="004927D7">
              <w:rPr>
                <w:rFonts w:asciiTheme="minorHAnsi" w:eastAsia="Times New Roman" w:hAnsiTheme="minorHAnsi" w:cstheme="minorHAnsi"/>
                <w:color w:val="000000"/>
                <w:sz w:val="20"/>
                <w:szCs w:val="20"/>
              </w:rPr>
              <w:t>27,8</w:t>
            </w:r>
          </w:p>
        </w:tc>
        <w:tc>
          <w:tcPr>
            <w:tcW w:w="1232" w:type="dxa"/>
            <w:noWrap/>
            <w:hideMark/>
          </w:tcPr>
          <w:p w:rsidR="00732E43" w:rsidRPr="004927D7" w:rsidRDefault="00732E43" w:rsidP="00732E43">
            <w:pPr>
              <w:spacing w:after="200" w:line="240" w:lineRule="exact"/>
              <w:jc w:val="center"/>
              <w:cnfStyle w:val="000000000000"/>
              <w:rPr>
                <w:rFonts w:asciiTheme="minorHAnsi" w:eastAsia="Times New Roman" w:hAnsiTheme="minorHAnsi" w:cstheme="minorHAnsi"/>
                <w:color w:val="000000"/>
                <w:sz w:val="20"/>
                <w:szCs w:val="20"/>
              </w:rPr>
            </w:pPr>
            <w:r w:rsidRPr="004927D7">
              <w:rPr>
                <w:rFonts w:asciiTheme="minorHAnsi" w:eastAsia="Times New Roman" w:hAnsiTheme="minorHAnsi" w:cstheme="minorHAnsi"/>
                <w:color w:val="000000"/>
                <w:sz w:val="20"/>
                <w:szCs w:val="20"/>
              </w:rPr>
              <w:t>167,0</w:t>
            </w:r>
          </w:p>
        </w:tc>
      </w:tr>
    </w:tbl>
    <w:p w:rsidR="00732E43" w:rsidRDefault="00732E43" w:rsidP="00AE1163">
      <w:pPr>
        <w:pStyle w:val="Bezodstpw"/>
        <w:spacing w:after="240" w:line="240" w:lineRule="exact"/>
        <w:rPr>
          <w:rFonts w:asciiTheme="minorHAnsi" w:hAnsiTheme="minorHAnsi" w:cs="Arial"/>
          <w:sz w:val="22"/>
          <w:szCs w:val="22"/>
        </w:rPr>
      </w:pPr>
    </w:p>
    <w:p w:rsidR="000A7EDD" w:rsidRDefault="000A7EDD" w:rsidP="00AE1163">
      <w:pPr>
        <w:pStyle w:val="Bezodstpw"/>
        <w:spacing w:after="240" w:line="240" w:lineRule="exact"/>
        <w:rPr>
          <w:rFonts w:asciiTheme="minorHAnsi" w:hAnsiTheme="minorHAnsi" w:cs="Arial"/>
          <w:sz w:val="22"/>
          <w:szCs w:val="22"/>
        </w:rPr>
      </w:pPr>
      <w:r>
        <w:rPr>
          <w:rFonts w:asciiTheme="minorHAnsi" w:hAnsiTheme="minorHAnsi" w:cs="Arial"/>
          <w:sz w:val="22"/>
          <w:szCs w:val="22"/>
        </w:rPr>
        <w:t xml:space="preserve">Ostateczne propozycje limitów dochodowych, </w:t>
      </w:r>
      <w:r w:rsidR="00A21E9D">
        <w:rPr>
          <w:rFonts w:asciiTheme="minorHAnsi" w:hAnsiTheme="minorHAnsi" w:cs="Arial"/>
          <w:sz w:val="22"/>
          <w:szCs w:val="22"/>
        </w:rPr>
        <w:t xml:space="preserve">ustalonych </w:t>
      </w:r>
      <w:r>
        <w:rPr>
          <w:rFonts w:asciiTheme="minorHAnsi" w:hAnsiTheme="minorHAnsi" w:cs="Arial"/>
          <w:sz w:val="22"/>
          <w:szCs w:val="22"/>
        </w:rPr>
        <w:t xml:space="preserve">w oparciu o </w:t>
      </w:r>
      <w:r w:rsidR="004927D7">
        <w:rPr>
          <w:rFonts w:asciiTheme="minorHAnsi" w:hAnsiTheme="minorHAnsi" w:cs="Arial"/>
          <w:sz w:val="22"/>
          <w:szCs w:val="22"/>
        </w:rPr>
        <w:t>wyniki powyższej analizy i o</w:t>
      </w:r>
      <w:r w:rsidR="004927D7">
        <w:rPr>
          <w:rFonts w:asciiTheme="minorHAnsi" w:hAnsiTheme="minorHAnsi" w:cs="Arial"/>
          <w:sz w:val="22"/>
          <w:szCs w:val="22"/>
        </w:rPr>
        <w:t>d</w:t>
      </w:r>
      <w:r w:rsidR="004927D7">
        <w:rPr>
          <w:rFonts w:asciiTheme="minorHAnsi" w:hAnsiTheme="minorHAnsi" w:cs="Arial"/>
          <w:sz w:val="22"/>
          <w:szCs w:val="22"/>
        </w:rPr>
        <w:t>powiednio zaokrąglone w celu uwzględnienia wszystkich a</w:t>
      </w:r>
      <w:r w:rsidR="001B2220">
        <w:rPr>
          <w:rFonts w:asciiTheme="minorHAnsi" w:hAnsiTheme="minorHAnsi" w:cs="Arial"/>
          <w:sz w:val="22"/>
          <w:szCs w:val="22"/>
        </w:rPr>
        <w:t>nalizowanych przypadków (także W</w:t>
      </w:r>
      <w:r w:rsidR="004927D7">
        <w:rPr>
          <w:rFonts w:asciiTheme="minorHAnsi" w:hAnsiTheme="minorHAnsi" w:cs="Arial"/>
          <w:sz w:val="22"/>
          <w:szCs w:val="22"/>
        </w:rPr>
        <w:t>arsz</w:t>
      </w:r>
      <w:r w:rsidR="004927D7">
        <w:rPr>
          <w:rFonts w:asciiTheme="minorHAnsi" w:hAnsiTheme="minorHAnsi" w:cs="Arial"/>
          <w:sz w:val="22"/>
          <w:szCs w:val="22"/>
        </w:rPr>
        <w:t>a</w:t>
      </w:r>
      <w:r w:rsidR="004927D7">
        <w:rPr>
          <w:rFonts w:asciiTheme="minorHAnsi" w:hAnsiTheme="minorHAnsi" w:cs="Arial"/>
          <w:sz w:val="22"/>
          <w:szCs w:val="22"/>
        </w:rPr>
        <w:t>wy, gdzie ceny mieszkań są przeciętnie najwyższe)</w:t>
      </w:r>
      <w:r>
        <w:rPr>
          <w:rFonts w:asciiTheme="minorHAnsi" w:hAnsiTheme="minorHAnsi" w:cs="Arial"/>
          <w:sz w:val="22"/>
          <w:szCs w:val="22"/>
        </w:rPr>
        <w:t>, prezentuje poniższa tabela.</w:t>
      </w:r>
    </w:p>
    <w:p w:rsidR="000A7EDD" w:rsidRPr="000A7EDD" w:rsidRDefault="004927D7" w:rsidP="00AE1163">
      <w:pPr>
        <w:pStyle w:val="Bezodstpw"/>
        <w:spacing w:after="240" w:line="240" w:lineRule="exact"/>
        <w:rPr>
          <w:rFonts w:asciiTheme="minorHAnsi" w:hAnsiTheme="minorHAnsi" w:cs="Arial"/>
          <w:i/>
          <w:sz w:val="22"/>
          <w:szCs w:val="22"/>
        </w:rPr>
      </w:pPr>
      <w:r>
        <w:rPr>
          <w:rFonts w:asciiTheme="minorHAnsi" w:hAnsiTheme="minorHAnsi" w:cs="Arial"/>
          <w:i/>
          <w:sz w:val="22"/>
          <w:szCs w:val="22"/>
        </w:rPr>
        <w:t>Tab. 3</w:t>
      </w:r>
      <w:r w:rsidR="000A7EDD" w:rsidRPr="000A7EDD">
        <w:rPr>
          <w:rFonts w:asciiTheme="minorHAnsi" w:hAnsiTheme="minorHAnsi" w:cs="Arial"/>
          <w:i/>
          <w:sz w:val="22"/>
          <w:szCs w:val="22"/>
        </w:rPr>
        <w:t xml:space="preserve">. Progi dochodowe umożliwiające ubieganie się o dopłaty do czynszów, według danych </w:t>
      </w:r>
      <w:r w:rsidR="004705A9">
        <w:rPr>
          <w:rFonts w:asciiTheme="minorHAnsi" w:hAnsiTheme="minorHAnsi" w:cs="Arial"/>
          <w:i/>
          <w:sz w:val="22"/>
          <w:szCs w:val="22"/>
        </w:rPr>
        <w:br/>
      </w:r>
      <w:r w:rsidR="000A7EDD" w:rsidRPr="000A7EDD">
        <w:rPr>
          <w:rFonts w:asciiTheme="minorHAnsi" w:hAnsiTheme="minorHAnsi" w:cs="Arial"/>
          <w:i/>
          <w:sz w:val="22"/>
          <w:szCs w:val="22"/>
        </w:rPr>
        <w:t>za 2017 r.</w:t>
      </w:r>
    </w:p>
    <w:tbl>
      <w:tblPr>
        <w:tblW w:w="9060" w:type="dxa"/>
        <w:jc w:val="center"/>
        <w:tblCellMar>
          <w:left w:w="70" w:type="dxa"/>
          <w:right w:w="70" w:type="dxa"/>
        </w:tblCellMar>
        <w:tblLook w:val="04A0"/>
      </w:tblPr>
      <w:tblGrid>
        <w:gridCol w:w="3191"/>
        <w:gridCol w:w="1860"/>
        <w:gridCol w:w="2174"/>
        <w:gridCol w:w="1835"/>
      </w:tblGrid>
      <w:tr w:rsidR="000A7EDD" w:rsidRPr="000A7EDD" w:rsidTr="00AA6D61">
        <w:trPr>
          <w:trHeight w:val="287"/>
          <w:jc w:val="center"/>
        </w:trPr>
        <w:tc>
          <w:tcPr>
            <w:tcW w:w="3191" w:type="dxa"/>
            <w:vMerge w:val="restart"/>
            <w:tcBorders>
              <w:top w:val="single" w:sz="4" w:space="0" w:color="auto"/>
              <w:left w:val="single" w:sz="4" w:space="0" w:color="auto"/>
              <w:bottom w:val="single" w:sz="4" w:space="0" w:color="000000"/>
              <w:right w:val="single" w:sz="4" w:space="0" w:color="auto"/>
            </w:tcBorders>
            <w:shd w:val="clear" w:color="000000" w:fill="BEECF0"/>
            <w:vAlign w:val="center"/>
            <w:hideMark/>
          </w:tcPr>
          <w:p w:rsidR="000A7EDD" w:rsidRPr="00C14F07" w:rsidRDefault="000A7EDD" w:rsidP="000A7EDD">
            <w:pPr>
              <w:spacing w:line="240" w:lineRule="auto"/>
              <w:jc w:val="center"/>
              <w:rPr>
                <w:rFonts w:asciiTheme="minorHAnsi" w:eastAsia="Times New Roman" w:hAnsiTheme="minorHAnsi" w:cs="Arial"/>
                <w:b/>
                <w:color w:val="000000"/>
                <w:sz w:val="20"/>
                <w:szCs w:val="20"/>
              </w:rPr>
            </w:pPr>
            <w:r w:rsidRPr="00C14F07">
              <w:rPr>
                <w:rFonts w:asciiTheme="minorHAnsi" w:eastAsia="Times New Roman" w:hAnsiTheme="minorHAnsi" w:cs="Arial"/>
                <w:b/>
                <w:color w:val="000000"/>
                <w:sz w:val="20"/>
                <w:szCs w:val="20"/>
              </w:rPr>
              <w:t>Gospodarstwo domowe</w:t>
            </w:r>
          </w:p>
        </w:tc>
        <w:tc>
          <w:tcPr>
            <w:tcW w:w="5869" w:type="dxa"/>
            <w:gridSpan w:val="3"/>
            <w:tcBorders>
              <w:top w:val="single" w:sz="4" w:space="0" w:color="auto"/>
              <w:left w:val="nil"/>
              <w:bottom w:val="single" w:sz="4" w:space="0" w:color="auto"/>
              <w:right w:val="single" w:sz="4" w:space="0" w:color="auto"/>
            </w:tcBorders>
            <w:shd w:val="clear" w:color="000000" w:fill="BEECF0"/>
            <w:noWrap/>
            <w:vAlign w:val="center"/>
            <w:hideMark/>
          </w:tcPr>
          <w:p w:rsidR="000A7EDD" w:rsidRPr="00C14F07" w:rsidRDefault="000A7EDD" w:rsidP="000A7EDD">
            <w:pPr>
              <w:spacing w:line="240" w:lineRule="auto"/>
              <w:jc w:val="center"/>
              <w:rPr>
                <w:rFonts w:asciiTheme="minorHAnsi" w:eastAsia="Times New Roman" w:hAnsiTheme="minorHAnsi" w:cs="Arial"/>
                <w:b/>
                <w:color w:val="000000"/>
                <w:sz w:val="20"/>
                <w:szCs w:val="20"/>
              </w:rPr>
            </w:pPr>
            <w:r w:rsidRPr="00C14F07">
              <w:rPr>
                <w:rFonts w:asciiTheme="minorHAnsi" w:eastAsia="Times New Roman" w:hAnsiTheme="minorHAnsi" w:cs="Arial"/>
                <w:b/>
                <w:color w:val="000000"/>
                <w:sz w:val="20"/>
                <w:szCs w:val="20"/>
              </w:rPr>
              <w:t>Próg dochodowy</w:t>
            </w:r>
          </w:p>
        </w:tc>
      </w:tr>
      <w:tr w:rsidR="000A7EDD" w:rsidRPr="000A7EDD" w:rsidTr="00AA6D61">
        <w:trPr>
          <w:trHeight w:val="287"/>
          <w:jc w:val="center"/>
        </w:trPr>
        <w:tc>
          <w:tcPr>
            <w:tcW w:w="3191" w:type="dxa"/>
            <w:vMerge/>
            <w:tcBorders>
              <w:top w:val="single" w:sz="4" w:space="0" w:color="auto"/>
              <w:left w:val="single" w:sz="4" w:space="0" w:color="auto"/>
              <w:bottom w:val="single" w:sz="4" w:space="0" w:color="000000"/>
              <w:right w:val="single" w:sz="4" w:space="0" w:color="auto"/>
            </w:tcBorders>
            <w:vAlign w:val="center"/>
            <w:hideMark/>
          </w:tcPr>
          <w:p w:rsidR="000A7EDD" w:rsidRPr="00C14F07" w:rsidRDefault="000A7EDD" w:rsidP="000A7EDD">
            <w:pPr>
              <w:spacing w:line="240" w:lineRule="auto"/>
              <w:jc w:val="left"/>
              <w:rPr>
                <w:rFonts w:asciiTheme="minorHAnsi" w:eastAsia="Times New Roman" w:hAnsiTheme="minorHAnsi" w:cs="Arial"/>
                <w:color w:val="000000"/>
                <w:sz w:val="20"/>
                <w:szCs w:val="20"/>
              </w:rPr>
            </w:pPr>
          </w:p>
        </w:tc>
        <w:tc>
          <w:tcPr>
            <w:tcW w:w="1860" w:type="dxa"/>
            <w:tcBorders>
              <w:top w:val="nil"/>
              <w:left w:val="nil"/>
              <w:bottom w:val="single" w:sz="4" w:space="0" w:color="auto"/>
              <w:right w:val="single" w:sz="4" w:space="0" w:color="auto"/>
            </w:tcBorders>
            <w:shd w:val="clear" w:color="000000" w:fill="BEECF0"/>
            <w:noWrap/>
            <w:vAlign w:val="center"/>
            <w:hideMark/>
          </w:tcPr>
          <w:p w:rsidR="000A7EDD" w:rsidRPr="00C14F07" w:rsidRDefault="004927D7" w:rsidP="000A7EDD">
            <w:pPr>
              <w:spacing w:line="240" w:lineRule="auto"/>
              <w:jc w:val="center"/>
              <w:rPr>
                <w:rFonts w:asciiTheme="minorHAnsi" w:eastAsia="Times New Roman" w:hAnsiTheme="minorHAnsi" w:cs="Arial"/>
                <w:b/>
                <w:color w:val="000000"/>
                <w:sz w:val="20"/>
                <w:szCs w:val="20"/>
              </w:rPr>
            </w:pPr>
            <w:r w:rsidRPr="00C14F07">
              <w:rPr>
                <w:rFonts w:asciiTheme="minorHAnsi" w:eastAsia="Times New Roman" w:hAnsiTheme="minorHAnsi" w:cs="Arial"/>
                <w:b/>
                <w:color w:val="000000"/>
                <w:sz w:val="20"/>
                <w:szCs w:val="20"/>
              </w:rPr>
              <w:t>%*</w:t>
            </w:r>
          </w:p>
        </w:tc>
        <w:tc>
          <w:tcPr>
            <w:tcW w:w="2174" w:type="dxa"/>
            <w:tcBorders>
              <w:top w:val="nil"/>
              <w:left w:val="nil"/>
              <w:bottom w:val="single" w:sz="4" w:space="0" w:color="auto"/>
              <w:right w:val="single" w:sz="4" w:space="0" w:color="auto"/>
            </w:tcBorders>
            <w:shd w:val="clear" w:color="000000" w:fill="BEECF0"/>
            <w:noWrap/>
            <w:vAlign w:val="center"/>
            <w:hideMark/>
          </w:tcPr>
          <w:p w:rsidR="000A7EDD" w:rsidRPr="00C14F07" w:rsidRDefault="000A7EDD" w:rsidP="000A7EDD">
            <w:pPr>
              <w:spacing w:line="240" w:lineRule="auto"/>
              <w:jc w:val="center"/>
              <w:rPr>
                <w:rFonts w:asciiTheme="minorHAnsi" w:eastAsia="Times New Roman" w:hAnsiTheme="minorHAnsi" w:cs="Arial"/>
                <w:b/>
                <w:color w:val="000000"/>
                <w:sz w:val="20"/>
                <w:szCs w:val="20"/>
              </w:rPr>
            </w:pPr>
            <w:r w:rsidRPr="00C14F07">
              <w:rPr>
                <w:rFonts w:asciiTheme="minorHAnsi" w:eastAsia="Times New Roman" w:hAnsiTheme="minorHAnsi" w:cs="Arial"/>
                <w:b/>
                <w:color w:val="000000"/>
                <w:sz w:val="20"/>
                <w:szCs w:val="20"/>
              </w:rPr>
              <w:t>w zł</w:t>
            </w:r>
            <w:r w:rsidR="004927D7" w:rsidRPr="00C14F07">
              <w:rPr>
                <w:rFonts w:asciiTheme="minorHAnsi" w:eastAsia="Times New Roman" w:hAnsiTheme="minorHAnsi" w:cs="Arial"/>
                <w:b/>
                <w:color w:val="000000"/>
                <w:sz w:val="20"/>
                <w:szCs w:val="20"/>
              </w:rPr>
              <w:t>**</w:t>
            </w:r>
          </w:p>
        </w:tc>
        <w:tc>
          <w:tcPr>
            <w:tcW w:w="1835" w:type="dxa"/>
            <w:tcBorders>
              <w:top w:val="nil"/>
              <w:left w:val="nil"/>
              <w:bottom w:val="single" w:sz="4" w:space="0" w:color="auto"/>
              <w:right w:val="single" w:sz="4" w:space="0" w:color="auto"/>
            </w:tcBorders>
            <w:shd w:val="clear" w:color="000000" w:fill="BEECF0"/>
          </w:tcPr>
          <w:p w:rsidR="000A7EDD" w:rsidRPr="00C14F07" w:rsidRDefault="000A7EDD" w:rsidP="000A7EDD">
            <w:pPr>
              <w:spacing w:line="240" w:lineRule="auto"/>
              <w:jc w:val="center"/>
              <w:rPr>
                <w:rFonts w:asciiTheme="minorHAnsi" w:eastAsia="Times New Roman" w:hAnsiTheme="minorHAnsi" w:cs="Arial"/>
                <w:b/>
                <w:color w:val="000000"/>
                <w:sz w:val="20"/>
                <w:szCs w:val="20"/>
              </w:rPr>
            </w:pPr>
            <w:r w:rsidRPr="00C14F07">
              <w:rPr>
                <w:rFonts w:asciiTheme="minorHAnsi" w:eastAsia="Times New Roman" w:hAnsiTheme="minorHAnsi" w:cs="Arial"/>
                <w:b/>
                <w:color w:val="000000"/>
                <w:sz w:val="20"/>
                <w:szCs w:val="20"/>
              </w:rPr>
              <w:t>w zł/os</w:t>
            </w:r>
            <w:r w:rsidR="00C14F07" w:rsidRPr="00C14F07">
              <w:rPr>
                <w:rFonts w:asciiTheme="minorHAnsi" w:eastAsia="Times New Roman" w:hAnsiTheme="minorHAnsi" w:cs="Arial"/>
                <w:b/>
                <w:color w:val="000000"/>
                <w:sz w:val="20"/>
                <w:szCs w:val="20"/>
              </w:rPr>
              <w:t>**</w:t>
            </w:r>
          </w:p>
        </w:tc>
      </w:tr>
      <w:tr w:rsidR="000A7EDD" w:rsidRPr="000A7EDD" w:rsidTr="00AA6D61">
        <w:trPr>
          <w:trHeight w:val="287"/>
          <w:jc w:val="center"/>
        </w:trPr>
        <w:tc>
          <w:tcPr>
            <w:tcW w:w="3191" w:type="dxa"/>
            <w:tcBorders>
              <w:top w:val="nil"/>
              <w:left w:val="single" w:sz="4" w:space="0" w:color="auto"/>
              <w:bottom w:val="single" w:sz="4" w:space="0" w:color="auto"/>
              <w:right w:val="single" w:sz="4" w:space="0" w:color="auto"/>
            </w:tcBorders>
            <w:shd w:val="clear" w:color="auto" w:fill="auto"/>
            <w:noWrap/>
            <w:vAlign w:val="center"/>
            <w:hideMark/>
          </w:tcPr>
          <w:p w:rsidR="000A7EDD" w:rsidRPr="00C14F07" w:rsidRDefault="000A7EDD" w:rsidP="000A7EDD">
            <w:pPr>
              <w:spacing w:line="240" w:lineRule="auto"/>
              <w:jc w:val="center"/>
              <w:rPr>
                <w:rFonts w:asciiTheme="minorHAnsi" w:eastAsia="Times New Roman" w:hAnsiTheme="minorHAnsi" w:cs="Arial"/>
                <w:b/>
                <w:color w:val="000000"/>
                <w:sz w:val="20"/>
                <w:szCs w:val="20"/>
              </w:rPr>
            </w:pPr>
            <w:r w:rsidRPr="00C14F07">
              <w:rPr>
                <w:rFonts w:asciiTheme="minorHAnsi" w:eastAsia="Times New Roman" w:hAnsiTheme="minorHAnsi" w:cs="Arial"/>
                <w:b/>
                <w:color w:val="000000"/>
                <w:sz w:val="20"/>
                <w:szCs w:val="20"/>
              </w:rPr>
              <w:t>1-osobowe</w:t>
            </w:r>
          </w:p>
        </w:tc>
        <w:tc>
          <w:tcPr>
            <w:tcW w:w="1860" w:type="dxa"/>
            <w:tcBorders>
              <w:top w:val="nil"/>
              <w:left w:val="nil"/>
              <w:bottom w:val="single" w:sz="4" w:space="0" w:color="auto"/>
              <w:right w:val="single" w:sz="4" w:space="0" w:color="auto"/>
            </w:tcBorders>
            <w:shd w:val="clear" w:color="auto" w:fill="auto"/>
            <w:noWrap/>
            <w:vAlign w:val="center"/>
            <w:hideMark/>
          </w:tcPr>
          <w:p w:rsidR="000A7EDD" w:rsidRPr="00C14F07" w:rsidRDefault="000A7EDD" w:rsidP="000A7EDD">
            <w:pPr>
              <w:spacing w:line="240" w:lineRule="auto"/>
              <w:jc w:val="center"/>
              <w:rPr>
                <w:rFonts w:asciiTheme="minorHAnsi" w:eastAsia="Times New Roman" w:hAnsiTheme="minorHAnsi" w:cs="Arial"/>
                <w:color w:val="000000"/>
                <w:sz w:val="20"/>
                <w:szCs w:val="20"/>
              </w:rPr>
            </w:pPr>
            <w:r w:rsidRPr="00C14F07">
              <w:rPr>
                <w:rFonts w:asciiTheme="minorHAnsi" w:eastAsia="Times New Roman" w:hAnsiTheme="minorHAnsi" w:cs="Arial"/>
                <w:color w:val="000000"/>
                <w:sz w:val="20"/>
                <w:szCs w:val="20"/>
              </w:rPr>
              <w:t>60,0</w:t>
            </w:r>
          </w:p>
        </w:tc>
        <w:tc>
          <w:tcPr>
            <w:tcW w:w="2174" w:type="dxa"/>
            <w:tcBorders>
              <w:top w:val="nil"/>
              <w:left w:val="nil"/>
              <w:bottom w:val="single" w:sz="4" w:space="0" w:color="auto"/>
              <w:right w:val="single" w:sz="4" w:space="0" w:color="auto"/>
            </w:tcBorders>
            <w:shd w:val="clear" w:color="auto" w:fill="auto"/>
            <w:noWrap/>
            <w:vAlign w:val="center"/>
            <w:hideMark/>
          </w:tcPr>
          <w:p w:rsidR="000A7EDD" w:rsidRPr="00C14F07" w:rsidRDefault="000A7EDD" w:rsidP="000A7EDD">
            <w:pPr>
              <w:spacing w:line="240" w:lineRule="auto"/>
              <w:jc w:val="center"/>
              <w:rPr>
                <w:rFonts w:asciiTheme="minorHAnsi" w:eastAsia="Times New Roman" w:hAnsiTheme="minorHAnsi" w:cs="Arial"/>
                <w:color w:val="000000"/>
                <w:sz w:val="20"/>
                <w:szCs w:val="20"/>
              </w:rPr>
            </w:pPr>
            <w:r w:rsidRPr="00C14F07">
              <w:rPr>
                <w:rFonts w:asciiTheme="minorHAnsi" w:eastAsia="Times New Roman" w:hAnsiTheme="minorHAnsi" w:cs="Arial"/>
                <w:color w:val="000000"/>
                <w:sz w:val="20"/>
                <w:szCs w:val="20"/>
              </w:rPr>
              <w:t>2 562,91</w:t>
            </w:r>
          </w:p>
        </w:tc>
        <w:tc>
          <w:tcPr>
            <w:tcW w:w="1835" w:type="dxa"/>
            <w:tcBorders>
              <w:top w:val="nil"/>
              <w:left w:val="nil"/>
              <w:bottom w:val="single" w:sz="4" w:space="0" w:color="auto"/>
              <w:right w:val="single" w:sz="4" w:space="0" w:color="auto"/>
            </w:tcBorders>
          </w:tcPr>
          <w:p w:rsidR="000A7EDD" w:rsidRPr="00C14F07" w:rsidRDefault="000A7EDD" w:rsidP="000A7EDD">
            <w:pPr>
              <w:spacing w:line="240" w:lineRule="auto"/>
              <w:jc w:val="center"/>
              <w:rPr>
                <w:rFonts w:asciiTheme="minorHAnsi" w:eastAsia="Times New Roman" w:hAnsiTheme="minorHAnsi" w:cs="Arial"/>
                <w:color w:val="000000"/>
                <w:sz w:val="20"/>
                <w:szCs w:val="20"/>
              </w:rPr>
            </w:pPr>
            <w:r w:rsidRPr="00C14F07">
              <w:rPr>
                <w:rFonts w:asciiTheme="minorHAnsi" w:hAnsiTheme="minorHAnsi"/>
                <w:sz w:val="20"/>
                <w:szCs w:val="20"/>
              </w:rPr>
              <w:t>2 562,91</w:t>
            </w:r>
          </w:p>
        </w:tc>
      </w:tr>
      <w:tr w:rsidR="000A7EDD" w:rsidRPr="000A7EDD" w:rsidTr="00AA6D61">
        <w:trPr>
          <w:trHeight w:val="287"/>
          <w:jc w:val="center"/>
        </w:trPr>
        <w:tc>
          <w:tcPr>
            <w:tcW w:w="3191" w:type="dxa"/>
            <w:tcBorders>
              <w:top w:val="nil"/>
              <w:left w:val="single" w:sz="4" w:space="0" w:color="auto"/>
              <w:bottom w:val="single" w:sz="4" w:space="0" w:color="auto"/>
              <w:right w:val="single" w:sz="4" w:space="0" w:color="auto"/>
            </w:tcBorders>
            <w:shd w:val="clear" w:color="000000" w:fill="BEECF0"/>
            <w:noWrap/>
            <w:vAlign w:val="center"/>
            <w:hideMark/>
          </w:tcPr>
          <w:p w:rsidR="000A7EDD" w:rsidRPr="00C14F07" w:rsidRDefault="000A7EDD" w:rsidP="000A7EDD">
            <w:pPr>
              <w:spacing w:line="240" w:lineRule="auto"/>
              <w:jc w:val="center"/>
              <w:rPr>
                <w:rFonts w:asciiTheme="minorHAnsi" w:eastAsia="Times New Roman" w:hAnsiTheme="minorHAnsi" w:cs="Arial"/>
                <w:b/>
                <w:color w:val="000000"/>
                <w:sz w:val="20"/>
                <w:szCs w:val="20"/>
              </w:rPr>
            </w:pPr>
            <w:r w:rsidRPr="00C14F07">
              <w:rPr>
                <w:rFonts w:asciiTheme="minorHAnsi" w:eastAsia="Times New Roman" w:hAnsiTheme="minorHAnsi" w:cs="Arial"/>
                <w:b/>
                <w:color w:val="000000"/>
                <w:sz w:val="20"/>
                <w:szCs w:val="20"/>
              </w:rPr>
              <w:t>2-osobowe</w:t>
            </w:r>
          </w:p>
        </w:tc>
        <w:tc>
          <w:tcPr>
            <w:tcW w:w="1860" w:type="dxa"/>
            <w:tcBorders>
              <w:top w:val="nil"/>
              <w:left w:val="nil"/>
              <w:bottom w:val="single" w:sz="4" w:space="0" w:color="auto"/>
              <w:right w:val="single" w:sz="4" w:space="0" w:color="auto"/>
            </w:tcBorders>
            <w:shd w:val="clear" w:color="000000" w:fill="BEECF0"/>
            <w:noWrap/>
            <w:vAlign w:val="center"/>
            <w:hideMark/>
          </w:tcPr>
          <w:p w:rsidR="000A7EDD" w:rsidRPr="00C14F07" w:rsidRDefault="000A7EDD" w:rsidP="000A7EDD">
            <w:pPr>
              <w:spacing w:line="240" w:lineRule="auto"/>
              <w:jc w:val="center"/>
              <w:rPr>
                <w:rFonts w:asciiTheme="minorHAnsi" w:eastAsia="Times New Roman" w:hAnsiTheme="minorHAnsi" w:cs="Arial"/>
                <w:color w:val="000000"/>
                <w:sz w:val="20"/>
                <w:szCs w:val="20"/>
              </w:rPr>
            </w:pPr>
            <w:r w:rsidRPr="00C14F07">
              <w:rPr>
                <w:rFonts w:asciiTheme="minorHAnsi" w:eastAsia="Times New Roman" w:hAnsiTheme="minorHAnsi" w:cs="Arial"/>
                <w:color w:val="000000"/>
                <w:sz w:val="20"/>
                <w:szCs w:val="20"/>
              </w:rPr>
              <w:t>90,0</w:t>
            </w:r>
          </w:p>
        </w:tc>
        <w:tc>
          <w:tcPr>
            <w:tcW w:w="2174" w:type="dxa"/>
            <w:tcBorders>
              <w:top w:val="nil"/>
              <w:left w:val="nil"/>
              <w:bottom w:val="single" w:sz="4" w:space="0" w:color="auto"/>
              <w:right w:val="single" w:sz="4" w:space="0" w:color="auto"/>
            </w:tcBorders>
            <w:shd w:val="clear" w:color="000000" w:fill="BEECF0"/>
            <w:noWrap/>
            <w:vAlign w:val="center"/>
            <w:hideMark/>
          </w:tcPr>
          <w:p w:rsidR="000A7EDD" w:rsidRPr="00C14F07" w:rsidRDefault="000A7EDD" w:rsidP="000A7EDD">
            <w:pPr>
              <w:spacing w:line="240" w:lineRule="auto"/>
              <w:jc w:val="center"/>
              <w:rPr>
                <w:rFonts w:asciiTheme="minorHAnsi" w:eastAsia="Times New Roman" w:hAnsiTheme="minorHAnsi" w:cs="Arial"/>
                <w:color w:val="000000"/>
                <w:sz w:val="20"/>
                <w:szCs w:val="20"/>
              </w:rPr>
            </w:pPr>
            <w:r w:rsidRPr="00C14F07">
              <w:rPr>
                <w:rFonts w:asciiTheme="minorHAnsi" w:eastAsia="Times New Roman" w:hAnsiTheme="minorHAnsi" w:cs="Arial"/>
                <w:color w:val="000000"/>
                <w:sz w:val="20"/>
                <w:szCs w:val="20"/>
              </w:rPr>
              <w:t>3 844,36</w:t>
            </w:r>
          </w:p>
        </w:tc>
        <w:tc>
          <w:tcPr>
            <w:tcW w:w="1835" w:type="dxa"/>
            <w:tcBorders>
              <w:top w:val="nil"/>
              <w:left w:val="nil"/>
              <w:bottom w:val="single" w:sz="4" w:space="0" w:color="auto"/>
              <w:right w:val="single" w:sz="4" w:space="0" w:color="auto"/>
            </w:tcBorders>
            <w:shd w:val="clear" w:color="000000" w:fill="BEECF0"/>
          </w:tcPr>
          <w:p w:rsidR="000A7EDD" w:rsidRPr="00C14F07" w:rsidRDefault="000A7EDD" w:rsidP="000A7EDD">
            <w:pPr>
              <w:spacing w:line="240" w:lineRule="auto"/>
              <w:jc w:val="center"/>
              <w:rPr>
                <w:rFonts w:asciiTheme="minorHAnsi" w:eastAsia="Times New Roman" w:hAnsiTheme="minorHAnsi" w:cs="Arial"/>
                <w:color w:val="000000"/>
                <w:sz w:val="20"/>
                <w:szCs w:val="20"/>
              </w:rPr>
            </w:pPr>
            <w:r w:rsidRPr="00C14F07">
              <w:rPr>
                <w:rFonts w:asciiTheme="minorHAnsi" w:hAnsiTheme="minorHAnsi"/>
                <w:sz w:val="20"/>
                <w:szCs w:val="20"/>
              </w:rPr>
              <w:t>1 922,18</w:t>
            </w:r>
          </w:p>
        </w:tc>
      </w:tr>
      <w:tr w:rsidR="000A7EDD" w:rsidRPr="000A7EDD" w:rsidTr="00AA6D61">
        <w:trPr>
          <w:trHeight w:val="287"/>
          <w:jc w:val="center"/>
        </w:trPr>
        <w:tc>
          <w:tcPr>
            <w:tcW w:w="3191" w:type="dxa"/>
            <w:tcBorders>
              <w:top w:val="nil"/>
              <w:left w:val="single" w:sz="4" w:space="0" w:color="auto"/>
              <w:bottom w:val="single" w:sz="4" w:space="0" w:color="auto"/>
              <w:right w:val="single" w:sz="4" w:space="0" w:color="auto"/>
            </w:tcBorders>
            <w:shd w:val="clear" w:color="auto" w:fill="auto"/>
            <w:noWrap/>
            <w:vAlign w:val="center"/>
            <w:hideMark/>
          </w:tcPr>
          <w:p w:rsidR="000A7EDD" w:rsidRPr="00C14F07" w:rsidRDefault="000A7EDD" w:rsidP="000A7EDD">
            <w:pPr>
              <w:spacing w:line="240" w:lineRule="auto"/>
              <w:jc w:val="center"/>
              <w:rPr>
                <w:rFonts w:asciiTheme="minorHAnsi" w:eastAsia="Times New Roman" w:hAnsiTheme="minorHAnsi" w:cs="Arial"/>
                <w:b/>
                <w:color w:val="000000"/>
                <w:sz w:val="20"/>
                <w:szCs w:val="20"/>
              </w:rPr>
            </w:pPr>
            <w:r w:rsidRPr="00C14F07">
              <w:rPr>
                <w:rFonts w:asciiTheme="minorHAnsi" w:eastAsia="Times New Roman" w:hAnsiTheme="minorHAnsi" w:cs="Arial"/>
                <w:b/>
                <w:color w:val="000000"/>
                <w:sz w:val="20"/>
                <w:szCs w:val="20"/>
              </w:rPr>
              <w:t>3-osobowe</w:t>
            </w:r>
          </w:p>
        </w:tc>
        <w:tc>
          <w:tcPr>
            <w:tcW w:w="1860" w:type="dxa"/>
            <w:tcBorders>
              <w:top w:val="nil"/>
              <w:left w:val="nil"/>
              <w:bottom w:val="single" w:sz="4" w:space="0" w:color="auto"/>
              <w:right w:val="single" w:sz="4" w:space="0" w:color="auto"/>
            </w:tcBorders>
            <w:shd w:val="clear" w:color="auto" w:fill="auto"/>
            <w:noWrap/>
            <w:vAlign w:val="center"/>
            <w:hideMark/>
          </w:tcPr>
          <w:p w:rsidR="000A7EDD" w:rsidRPr="00C14F07" w:rsidRDefault="000A7EDD" w:rsidP="000A7EDD">
            <w:pPr>
              <w:spacing w:line="240" w:lineRule="auto"/>
              <w:jc w:val="center"/>
              <w:rPr>
                <w:rFonts w:asciiTheme="minorHAnsi" w:eastAsia="Times New Roman" w:hAnsiTheme="minorHAnsi" w:cs="Arial"/>
                <w:color w:val="000000"/>
                <w:sz w:val="20"/>
                <w:szCs w:val="20"/>
              </w:rPr>
            </w:pPr>
            <w:r w:rsidRPr="00C14F07">
              <w:rPr>
                <w:rFonts w:asciiTheme="minorHAnsi" w:eastAsia="Times New Roman" w:hAnsiTheme="minorHAnsi" w:cs="Arial"/>
                <w:color w:val="000000"/>
                <w:sz w:val="20"/>
                <w:szCs w:val="20"/>
              </w:rPr>
              <w:t>120,0</w:t>
            </w:r>
          </w:p>
        </w:tc>
        <w:tc>
          <w:tcPr>
            <w:tcW w:w="2174" w:type="dxa"/>
            <w:tcBorders>
              <w:top w:val="nil"/>
              <w:left w:val="nil"/>
              <w:bottom w:val="single" w:sz="4" w:space="0" w:color="auto"/>
              <w:right w:val="single" w:sz="4" w:space="0" w:color="auto"/>
            </w:tcBorders>
            <w:shd w:val="clear" w:color="auto" w:fill="auto"/>
            <w:noWrap/>
            <w:vAlign w:val="center"/>
            <w:hideMark/>
          </w:tcPr>
          <w:p w:rsidR="000A7EDD" w:rsidRPr="00C14F07" w:rsidRDefault="000A7EDD" w:rsidP="000A7EDD">
            <w:pPr>
              <w:spacing w:line="240" w:lineRule="auto"/>
              <w:jc w:val="center"/>
              <w:rPr>
                <w:rFonts w:asciiTheme="minorHAnsi" w:eastAsia="Times New Roman" w:hAnsiTheme="minorHAnsi" w:cs="Arial"/>
                <w:color w:val="000000"/>
                <w:sz w:val="20"/>
                <w:szCs w:val="20"/>
              </w:rPr>
            </w:pPr>
            <w:r w:rsidRPr="00C14F07">
              <w:rPr>
                <w:rFonts w:asciiTheme="minorHAnsi" w:eastAsia="Times New Roman" w:hAnsiTheme="minorHAnsi" w:cs="Arial"/>
                <w:color w:val="000000"/>
                <w:sz w:val="20"/>
                <w:szCs w:val="20"/>
              </w:rPr>
              <w:t>5 125,81</w:t>
            </w:r>
          </w:p>
        </w:tc>
        <w:tc>
          <w:tcPr>
            <w:tcW w:w="1835" w:type="dxa"/>
            <w:tcBorders>
              <w:top w:val="nil"/>
              <w:left w:val="nil"/>
              <w:bottom w:val="single" w:sz="4" w:space="0" w:color="auto"/>
              <w:right w:val="single" w:sz="4" w:space="0" w:color="auto"/>
            </w:tcBorders>
          </w:tcPr>
          <w:p w:rsidR="000A7EDD" w:rsidRPr="00C14F07" w:rsidRDefault="000A7EDD" w:rsidP="000A7EDD">
            <w:pPr>
              <w:spacing w:line="240" w:lineRule="auto"/>
              <w:jc w:val="center"/>
              <w:rPr>
                <w:rFonts w:asciiTheme="minorHAnsi" w:eastAsia="Times New Roman" w:hAnsiTheme="minorHAnsi" w:cs="Arial"/>
                <w:color w:val="000000"/>
                <w:sz w:val="20"/>
                <w:szCs w:val="20"/>
              </w:rPr>
            </w:pPr>
            <w:r w:rsidRPr="00C14F07">
              <w:rPr>
                <w:rFonts w:asciiTheme="minorHAnsi" w:hAnsiTheme="minorHAnsi"/>
                <w:sz w:val="20"/>
                <w:szCs w:val="20"/>
              </w:rPr>
              <w:t>1 708,60</w:t>
            </w:r>
          </w:p>
        </w:tc>
      </w:tr>
      <w:tr w:rsidR="000A7EDD" w:rsidRPr="000A7EDD" w:rsidTr="00AA6D61">
        <w:trPr>
          <w:trHeight w:val="287"/>
          <w:jc w:val="center"/>
        </w:trPr>
        <w:tc>
          <w:tcPr>
            <w:tcW w:w="3191" w:type="dxa"/>
            <w:tcBorders>
              <w:top w:val="nil"/>
              <w:left w:val="single" w:sz="4" w:space="0" w:color="auto"/>
              <w:bottom w:val="single" w:sz="4" w:space="0" w:color="auto"/>
              <w:right w:val="single" w:sz="4" w:space="0" w:color="auto"/>
            </w:tcBorders>
            <w:shd w:val="clear" w:color="000000" w:fill="BEECF0"/>
            <w:noWrap/>
            <w:vAlign w:val="center"/>
            <w:hideMark/>
          </w:tcPr>
          <w:p w:rsidR="000A7EDD" w:rsidRPr="00C14F07" w:rsidRDefault="000A7EDD" w:rsidP="000A7EDD">
            <w:pPr>
              <w:spacing w:line="240" w:lineRule="auto"/>
              <w:jc w:val="center"/>
              <w:rPr>
                <w:rFonts w:asciiTheme="minorHAnsi" w:eastAsia="Times New Roman" w:hAnsiTheme="minorHAnsi" w:cs="Arial"/>
                <w:b/>
                <w:color w:val="000000"/>
                <w:sz w:val="20"/>
                <w:szCs w:val="20"/>
              </w:rPr>
            </w:pPr>
            <w:r w:rsidRPr="00C14F07">
              <w:rPr>
                <w:rFonts w:asciiTheme="minorHAnsi" w:eastAsia="Times New Roman" w:hAnsiTheme="minorHAnsi" w:cs="Arial"/>
                <w:b/>
                <w:color w:val="000000"/>
                <w:sz w:val="20"/>
                <w:szCs w:val="20"/>
              </w:rPr>
              <w:t>4-osobowe</w:t>
            </w:r>
          </w:p>
        </w:tc>
        <w:tc>
          <w:tcPr>
            <w:tcW w:w="1860" w:type="dxa"/>
            <w:tcBorders>
              <w:top w:val="nil"/>
              <w:left w:val="nil"/>
              <w:bottom w:val="single" w:sz="4" w:space="0" w:color="auto"/>
              <w:right w:val="single" w:sz="4" w:space="0" w:color="auto"/>
            </w:tcBorders>
            <w:shd w:val="clear" w:color="000000" w:fill="BEECF0"/>
            <w:noWrap/>
            <w:vAlign w:val="center"/>
            <w:hideMark/>
          </w:tcPr>
          <w:p w:rsidR="000A7EDD" w:rsidRPr="00C14F07" w:rsidRDefault="000A7EDD" w:rsidP="000A7EDD">
            <w:pPr>
              <w:spacing w:line="240" w:lineRule="auto"/>
              <w:jc w:val="center"/>
              <w:rPr>
                <w:rFonts w:asciiTheme="minorHAnsi" w:eastAsia="Times New Roman" w:hAnsiTheme="minorHAnsi" w:cs="Arial"/>
                <w:color w:val="000000"/>
                <w:sz w:val="20"/>
                <w:szCs w:val="20"/>
              </w:rPr>
            </w:pPr>
            <w:r w:rsidRPr="00C14F07">
              <w:rPr>
                <w:rFonts w:asciiTheme="minorHAnsi" w:eastAsia="Times New Roman" w:hAnsiTheme="minorHAnsi" w:cs="Arial"/>
                <w:color w:val="000000"/>
                <w:sz w:val="20"/>
                <w:szCs w:val="20"/>
              </w:rPr>
              <w:t>150,0</w:t>
            </w:r>
          </w:p>
        </w:tc>
        <w:tc>
          <w:tcPr>
            <w:tcW w:w="2174" w:type="dxa"/>
            <w:tcBorders>
              <w:top w:val="nil"/>
              <w:left w:val="nil"/>
              <w:bottom w:val="single" w:sz="4" w:space="0" w:color="auto"/>
              <w:right w:val="single" w:sz="4" w:space="0" w:color="auto"/>
            </w:tcBorders>
            <w:shd w:val="clear" w:color="000000" w:fill="BEECF0"/>
            <w:noWrap/>
            <w:vAlign w:val="center"/>
            <w:hideMark/>
          </w:tcPr>
          <w:p w:rsidR="000A7EDD" w:rsidRPr="00C14F07" w:rsidRDefault="000A7EDD" w:rsidP="000A7EDD">
            <w:pPr>
              <w:spacing w:line="240" w:lineRule="auto"/>
              <w:jc w:val="center"/>
              <w:rPr>
                <w:rFonts w:asciiTheme="minorHAnsi" w:eastAsia="Times New Roman" w:hAnsiTheme="minorHAnsi" w:cs="Arial"/>
                <w:color w:val="000000"/>
                <w:sz w:val="20"/>
                <w:szCs w:val="20"/>
              </w:rPr>
            </w:pPr>
            <w:r w:rsidRPr="00C14F07">
              <w:rPr>
                <w:rFonts w:asciiTheme="minorHAnsi" w:eastAsia="Times New Roman" w:hAnsiTheme="minorHAnsi" w:cs="Arial"/>
                <w:color w:val="000000"/>
                <w:sz w:val="20"/>
                <w:szCs w:val="20"/>
              </w:rPr>
              <w:t>6 407,27</w:t>
            </w:r>
          </w:p>
        </w:tc>
        <w:tc>
          <w:tcPr>
            <w:tcW w:w="1835" w:type="dxa"/>
            <w:tcBorders>
              <w:top w:val="nil"/>
              <w:left w:val="nil"/>
              <w:bottom w:val="single" w:sz="4" w:space="0" w:color="auto"/>
              <w:right w:val="single" w:sz="4" w:space="0" w:color="auto"/>
            </w:tcBorders>
            <w:shd w:val="clear" w:color="000000" w:fill="BEECF0"/>
          </w:tcPr>
          <w:p w:rsidR="000A7EDD" w:rsidRPr="00C14F07" w:rsidRDefault="000A7EDD" w:rsidP="000A7EDD">
            <w:pPr>
              <w:spacing w:line="240" w:lineRule="auto"/>
              <w:jc w:val="center"/>
              <w:rPr>
                <w:rFonts w:asciiTheme="minorHAnsi" w:eastAsia="Times New Roman" w:hAnsiTheme="minorHAnsi" w:cs="Arial"/>
                <w:color w:val="000000"/>
                <w:sz w:val="20"/>
                <w:szCs w:val="20"/>
              </w:rPr>
            </w:pPr>
            <w:r w:rsidRPr="00C14F07">
              <w:rPr>
                <w:rFonts w:asciiTheme="minorHAnsi" w:hAnsiTheme="minorHAnsi"/>
                <w:sz w:val="20"/>
                <w:szCs w:val="20"/>
              </w:rPr>
              <w:t>1 601,82</w:t>
            </w:r>
          </w:p>
        </w:tc>
      </w:tr>
      <w:tr w:rsidR="000A7EDD" w:rsidRPr="000A7EDD" w:rsidTr="00AA6D61">
        <w:trPr>
          <w:trHeight w:val="287"/>
          <w:jc w:val="center"/>
        </w:trPr>
        <w:tc>
          <w:tcPr>
            <w:tcW w:w="3191" w:type="dxa"/>
            <w:tcBorders>
              <w:top w:val="nil"/>
              <w:left w:val="single" w:sz="4" w:space="0" w:color="auto"/>
              <w:bottom w:val="single" w:sz="4" w:space="0" w:color="auto"/>
              <w:right w:val="single" w:sz="4" w:space="0" w:color="auto"/>
            </w:tcBorders>
            <w:shd w:val="clear" w:color="auto" w:fill="auto"/>
            <w:noWrap/>
            <w:vAlign w:val="center"/>
            <w:hideMark/>
          </w:tcPr>
          <w:p w:rsidR="000A7EDD" w:rsidRPr="00C14F07" w:rsidRDefault="000A7EDD" w:rsidP="000A7EDD">
            <w:pPr>
              <w:spacing w:line="240" w:lineRule="auto"/>
              <w:jc w:val="center"/>
              <w:rPr>
                <w:rFonts w:asciiTheme="minorHAnsi" w:eastAsia="Times New Roman" w:hAnsiTheme="minorHAnsi" w:cs="Arial"/>
                <w:b/>
                <w:color w:val="000000"/>
                <w:sz w:val="20"/>
                <w:szCs w:val="20"/>
              </w:rPr>
            </w:pPr>
            <w:r w:rsidRPr="00C14F07">
              <w:rPr>
                <w:rFonts w:asciiTheme="minorHAnsi" w:eastAsia="Times New Roman" w:hAnsiTheme="minorHAnsi" w:cs="Arial"/>
                <w:b/>
                <w:color w:val="000000"/>
                <w:sz w:val="20"/>
                <w:szCs w:val="20"/>
              </w:rPr>
              <w:t>5-osobowe</w:t>
            </w:r>
          </w:p>
        </w:tc>
        <w:tc>
          <w:tcPr>
            <w:tcW w:w="1860" w:type="dxa"/>
            <w:tcBorders>
              <w:top w:val="nil"/>
              <w:left w:val="nil"/>
              <w:bottom w:val="single" w:sz="4" w:space="0" w:color="auto"/>
              <w:right w:val="single" w:sz="4" w:space="0" w:color="auto"/>
            </w:tcBorders>
            <w:shd w:val="clear" w:color="auto" w:fill="auto"/>
            <w:noWrap/>
            <w:vAlign w:val="center"/>
            <w:hideMark/>
          </w:tcPr>
          <w:p w:rsidR="000A7EDD" w:rsidRPr="00C14F07" w:rsidRDefault="000A7EDD" w:rsidP="000A7EDD">
            <w:pPr>
              <w:spacing w:line="240" w:lineRule="auto"/>
              <w:jc w:val="center"/>
              <w:rPr>
                <w:rFonts w:asciiTheme="minorHAnsi" w:eastAsia="Times New Roman" w:hAnsiTheme="minorHAnsi" w:cs="Arial"/>
                <w:color w:val="000000"/>
                <w:sz w:val="20"/>
                <w:szCs w:val="20"/>
              </w:rPr>
            </w:pPr>
            <w:r w:rsidRPr="00C14F07">
              <w:rPr>
                <w:rFonts w:asciiTheme="minorHAnsi" w:eastAsia="Times New Roman" w:hAnsiTheme="minorHAnsi" w:cs="Arial"/>
                <w:color w:val="000000"/>
                <w:sz w:val="20"/>
                <w:szCs w:val="20"/>
              </w:rPr>
              <w:t>180,0</w:t>
            </w:r>
          </w:p>
        </w:tc>
        <w:tc>
          <w:tcPr>
            <w:tcW w:w="2174" w:type="dxa"/>
            <w:tcBorders>
              <w:top w:val="nil"/>
              <w:left w:val="nil"/>
              <w:bottom w:val="single" w:sz="4" w:space="0" w:color="auto"/>
              <w:right w:val="single" w:sz="4" w:space="0" w:color="auto"/>
            </w:tcBorders>
            <w:shd w:val="clear" w:color="auto" w:fill="auto"/>
            <w:noWrap/>
            <w:vAlign w:val="center"/>
            <w:hideMark/>
          </w:tcPr>
          <w:p w:rsidR="000A7EDD" w:rsidRPr="00C14F07" w:rsidRDefault="000A7EDD" w:rsidP="000A7EDD">
            <w:pPr>
              <w:spacing w:line="240" w:lineRule="auto"/>
              <w:jc w:val="center"/>
              <w:rPr>
                <w:rFonts w:asciiTheme="minorHAnsi" w:eastAsia="Times New Roman" w:hAnsiTheme="minorHAnsi" w:cs="Arial"/>
                <w:color w:val="000000"/>
                <w:sz w:val="20"/>
                <w:szCs w:val="20"/>
              </w:rPr>
            </w:pPr>
            <w:r w:rsidRPr="00C14F07">
              <w:rPr>
                <w:rFonts w:asciiTheme="minorHAnsi" w:eastAsia="Times New Roman" w:hAnsiTheme="minorHAnsi" w:cs="Arial"/>
                <w:color w:val="000000"/>
                <w:sz w:val="20"/>
                <w:szCs w:val="20"/>
              </w:rPr>
              <w:t>7 688,72</w:t>
            </w:r>
          </w:p>
        </w:tc>
        <w:tc>
          <w:tcPr>
            <w:tcW w:w="1835" w:type="dxa"/>
            <w:tcBorders>
              <w:top w:val="nil"/>
              <w:left w:val="nil"/>
              <w:bottom w:val="single" w:sz="4" w:space="0" w:color="auto"/>
              <w:right w:val="single" w:sz="4" w:space="0" w:color="auto"/>
            </w:tcBorders>
          </w:tcPr>
          <w:p w:rsidR="000A7EDD" w:rsidRPr="00C14F07" w:rsidRDefault="000A7EDD" w:rsidP="000A7EDD">
            <w:pPr>
              <w:spacing w:line="240" w:lineRule="auto"/>
              <w:jc w:val="center"/>
              <w:rPr>
                <w:rFonts w:asciiTheme="minorHAnsi" w:eastAsia="Times New Roman" w:hAnsiTheme="minorHAnsi" w:cs="Arial"/>
                <w:color w:val="000000"/>
                <w:sz w:val="20"/>
                <w:szCs w:val="20"/>
              </w:rPr>
            </w:pPr>
            <w:r w:rsidRPr="00C14F07">
              <w:rPr>
                <w:rFonts w:asciiTheme="minorHAnsi" w:hAnsiTheme="minorHAnsi"/>
                <w:sz w:val="20"/>
                <w:szCs w:val="20"/>
              </w:rPr>
              <w:t>1 537,74</w:t>
            </w:r>
          </w:p>
        </w:tc>
      </w:tr>
      <w:tr w:rsidR="000A7EDD" w:rsidRPr="000A7EDD" w:rsidTr="00AA6D61">
        <w:trPr>
          <w:trHeight w:val="287"/>
          <w:jc w:val="center"/>
        </w:trPr>
        <w:tc>
          <w:tcPr>
            <w:tcW w:w="3191" w:type="dxa"/>
            <w:tcBorders>
              <w:top w:val="nil"/>
              <w:left w:val="single" w:sz="4" w:space="0" w:color="auto"/>
              <w:bottom w:val="single" w:sz="4" w:space="0" w:color="auto"/>
              <w:right w:val="single" w:sz="4" w:space="0" w:color="auto"/>
            </w:tcBorders>
            <w:shd w:val="clear" w:color="000000" w:fill="BEECF0"/>
            <w:noWrap/>
            <w:vAlign w:val="center"/>
            <w:hideMark/>
          </w:tcPr>
          <w:p w:rsidR="000A7EDD" w:rsidRPr="00C14F07" w:rsidRDefault="000A7EDD" w:rsidP="000A7EDD">
            <w:pPr>
              <w:spacing w:line="240" w:lineRule="auto"/>
              <w:jc w:val="center"/>
              <w:rPr>
                <w:rFonts w:asciiTheme="minorHAnsi" w:eastAsia="Times New Roman" w:hAnsiTheme="minorHAnsi" w:cs="Arial"/>
                <w:b/>
                <w:color w:val="000000"/>
                <w:sz w:val="20"/>
                <w:szCs w:val="20"/>
              </w:rPr>
            </w:pPr>
            <w:r w:rsidRPr="00C14F07">
              <w:rPr>
                <w:rFonts w:asciiTheme="minorHAnsi" w:eastAsia="Times New Roman" w:hAnsiTheme="minorHAnsi" w:cs="Arial"/>
                <w:b/>
                <w:color w:val="000000"/>
                <w:sz w:val="20"/>
                <w:szCs w:val="20"/>
              </w:rPr>
              <w:t>6-osobowe</w:t>
            </w:r>
          </w:p>
        </w:tc>
        <w:tc>
          <w:tcPr>
            <w:tcW w:w="1860" w:type="dxa"/>
            <w:tcBorders>
              <w:top w:val="nil"/>
              <w:left w:val="nil"/>
              <w:bottom w:val="single" w:sz="4" w:space="0" w:color="auto"/>
              <w:right w:val="single" w:sz="4" w:space="0" w:color="auto"/>
            </w:tcBorders>
            <w:shd w:val="clear" w:color="000000" w:fill="BEECF0"/>
            <w:noWrap/>
            <w:vAlign w:val="center"/>
            <w:hideMark/>
          </w:tcPr>
          <w:p w:rsidR="000A7EDD" w:rsidRPr="00C14F07" w:rsidRDefault="000A7EDD" w:rsidP="000A7EDD">
            <w:pPr>
              <w:spacing w:line="240" w:lineRule="auto"/>
              <w:jc w:val="center"/>
              <w:rPr>
                <w:rFonts w:asciiTheme="minorHAnsi" w:eastAsia="Times New Roman" w:hAnsiTheme="minorHAnsi" w:cs="Arial"/>
                <w:color w:val="000000"/>
                <w:sz w:val="20"/>
                <w:szCs w:val="20"/>
              </w:rPr>
            </w:pPr>
            <w:r w:rsidRPr="00C14F07">
              <w:rPr>
                <w:rFonts w:asciiTheme="minorHAnsi" w:eastAsia="Times New Roman" w:hAnsiTheme="minorHAnsi" w:cs="Arial"/>
                <w:color w:val="000000"/>
                <w:sz w:val="20"/>
                <w:szCs w:val="20"/>
              </w:rPr>
              <w:t>210,0</w:t>
            </w:r>
          </w:p>
        </w:tc>
        <w:tc>
          <w:tcPr>
            <w:tcW w:w="2174" w:type="dxa"/>
            <w:tcBorders>
              <w:top w:val="nil"/>
              <w:left w:val="nil"/>
              <w:bottom w:val="single" w:sz="4" w:space="0" w:color="auto"/>
              <w:right w:val="single" w:sz="4" w:space="0" w:color="auto"/>
            </w:tcBorders>
            <w:shd w:val="clear" w:color="000000" w:fill="BEECF0"/>
            <w:noWrap/>
            <w:vAlign w:val="center"/>
            <w:hideMark/>
          </w:tcPr>
          <w:p w:rsidR="000A7EDD" w:rsidRPr="00C14F07" w:rsidRDefault="000A7EDD" w:rsidP="000A7EDD">
            <w:pPr>
              <w:spacing w:line="240" w:lineRule="auto"/>
              <w:jc w:val="center"/>
              <w:rPr>
                <w:rFonts w:asciiTheme="minorHAnsi" w:eastAsia="Times New Roman" w:hAnsiTheme="minorHAnsi" w:cs="Arial"/>
                <w:color w:val="000000"/>
                <w:sz w:val="20"/>
                <w:szCs w:val="20"/>
              </w:rPr>
            </w:pPr>
            <w:r w:rsidRPr="00C14F07">
              <w:rPr>
                <w:rFonts w:asciiTheme="minorHAnsi" w:eastAsia="Times New Roman" w:hAnsiTheme="minorHAnsi" w:cs="Arial"/>
                <w:color w:val="000000"/>
                <w:sz w:val="20"/>
                <w:szCs w:val="20"/>
              </w:rPr>
              <w:t>8 970,17</w:t>
            </w:r>
          </w:p>
        </w:tc>
        <w:tc>
          <w:tcPr>
            <w:tcW w:w="1835" w:type="dxa"/>
            <w:tcBorders>
              <w:top w:val="nil"/>
              <w:left w:val="nil"/>
              <w:bottom w:val="single" w:sz="4" w:space="0" w:color="auto"/>
              <w:right w:val="single" w:sz="4" w:space="0" w:color="auto"/>
            </w:tcBorders>
            <w:shd w:val="clear" w:color="000000" w:fill="BEECF0"/>
          </w:tcPr>
          <w:p w:rsidR="000A7EDD" w:rsidRPr="00C14F07" w:rsidRDefault="000A7EDD" w:rsidP="000A7EDD">
            <w:pPr>
              <w:spacing w:line="240" w:lineRule="auto"/>
              <w:jc w:val="center"/>
              <w:rPr>
                <w:rFonts w:asciiTheme="minorHAnsi" w:eastAsia="Times New Roman" w:hAnsiTheme="minorHAnsi" w:cs="Arial"/>
                <w:color w:val="000000"/>
                <w:sz w:val="20"/>
                <w:szCs w:val="20"/>
              </w:rPr>
            </w:pPr>
            <w:r w:rsidRPr="00C14F07">
              <w:rPr>
                <w:rFonts w:asciiTheme="minorHAnsi" w:hAnsiTheme="minorHAnsi"/>
                <w:sz w:val="20"/>
                <w:szCs w:val="20"/>
              </w:rPr>
              <w:t>1 495,03</w:t>
            </w:r>
          </w:p>
        </w:tc>
      </w:tr>
    </w:tbl>
    <w:p w:rsidR="000A7EDD" w:rsidRPr="00C14F07" w:rsidRDefault="004927D7" w:rsidP="00C14F07">
      <w:pPr>
        <w:pStyle w:val="Bezodstpw"/>
        <w:spacing w:line="240" w:lineRule="exact"/>
        <w:rPr>
          <w:rFonts w:asciiTheme="minorHAnsi" w:hAnsiTheme="minorHAnsi" w:cs="Arial"/>
          <w:sz w:val="20"/>
          <w:szCs w:val="20"/>
        </w:rPr>
      </w:pPr>
      <w:r w:rsidRPr="00C14F07">
        <w:rPr>
          <w:rFonts w:asciiTheme="minorHAnsi" w:hAnsiTheme="minorHAnsi" w:cs="Arial"/>
          <w:sz w:val="20"/>
          <w:szCs w:val="20"/>
        </w:rPr>
        <w:t>* W stosunku do przeciętnego wynagrodzenia w gospodarce narodowej</w:t>
      </w:r>
    </w:p>
    <w:p w:rsidR="00C14F07" w:rsidRDefault="001B2220" w:rsidP="001B2220">
      <w:pPr>
        <w:pStyle w:val="Bezodstpw"/>
        <w:spacing w:line="240" w:lineRule="exact"/>
        <w:rPr>
          <w:rFonts w:asciiTheme="minorHAnsi" w:hAnsiTheme="minorHAnsi" w:cs="Arial"/>
          <w:sz w:val="20"/>
          <w:szCs w:val="20"/>
        </w:rPr>
      </w:pPr>
      <w:r>
        <w:rPr>
          <w:rFonts w:asciiTheme="minorHAnsi" w:hAnsiTheme="minorHAnsi" w:cs="Arial"/>
          <w:sz w:val="20"/>
          <w:szCs w:val="20"/>
        </w:rPr>
        <w:t>** Dochody „netto”</w:t>
      </w:r>
    </w:p>
    <w:p w:rsidR="001B2220" w:rsidRPr="001B2220" w:rsidRDefault="001B2220" w:rsidP="001B2220">
      <w:pPr>
        <w:pStyle w:val="Bezodstpw"/>
        <w:spacing w:line="240" w:lineRule="exact"/>
        <w:rPr>
          <w:rFonts w:asciiTheme="minorHAnsi" w:hAnsiTheme="minorHAnsi" w:cs="Arial"/>
          <w:sz w:val="20"/>
          <w:szCs w:val="20"/>
        </w:rPr>
      </w:pPr>
    </w:p>
    <w:p w:rsidR="00A21E9D" w:rsidRDefault="00CD55CC" w:rsidP="00820019">
      <w:pPr>
        <w:pStyle w:val="Bezodstpw"/>
        <w:spacing w:after="240" w:line="240" w:lineRule="exact"/>
        <w:rPr>
          <w:rFonts w:asciiTheme="minorHAnsi" w:hAnsiTheme="minorHAnsi" w:cs="Arial"/>
          <w:sz w:val="22"/>
          <w:szCs w:val="22"/>
        </w:rPr>
      </w:pPr>
      <w:r>
        <w:rPr>
          <w:rFonts w:asciiTheme="minorHAnsi" w:hAnsiTheme="minorHAnsi" w:cs="Arial"/>
          <w:sz w:val="22"/>
          <w:szCs w:val="22"/>
        </w:rPr>
        <w:t>Omawiając zagadnienie ograniczeń dochodowych, należy zauważyć, że ze względów praktycznych, motywowanych terminami wynikającymi z procedury rozliczeń podatkowych, projektodawca zróżn</w:t>
      </w:r>
      <w:r>
        <w:rPr>
          <w:rFonts w:asciiTheme="minorHAnsi" w:hAnsiTheme="minorHAnsi" w:cs="Arial"/>
          <w:sz w:val="22"/>
          <w:szCs w:val="22"/>
        </w:rPr>
        <w:t>i</w:t>
      </w:r>
      <w:r>
        <w:rPr>
          <w:rFonts w:asciiTheme="minorHAnsi" w:hAnsiTheme="minorHAnsi" w:cs="Arial"/>
          <w:sz w:val="22"/>
          <w:szCs w:val="22"/>
        </w:rPr>
        <w:t xml:space="preserve">cował okresy podlegające badaniu pod </w:t>
      </w:r>
      <w:r w:rsidR="00803214">
        <w:rPr>
          <w:rFonts w:asciiTheme="minorHAnsi" w:hAnsiTheme="minorHAnsi" w:cs="Arial"/>
          <w:sz w:val="22"/>
          <w:szCs w:val="22"/>
        </w:rPr>
        <w:t xml:space="preserve">kątem </w:t>
      </w:r>
      <w:r>
        <w:rPr>
          <w:rFonts w:asciiTheme="minorHAnsi" w:hAnsiTheme="minorHAnsi" w:cs="Arial"/>
          <w:sz w:val="22"/>
          <w:szCs w:val="22"/>
        </w:rPr>
        <w:t xml:space="preserve">spełniania </w:t>
      </w:r>
      <w:r w:rsidR="008A72A9">
        <w:rPr>
          <w:rFonts w:asciiTheme="minorHAnsi" w:hAnsiTheme="minorHAnsi" w:cs="Arial"/>
          <w:sz w:val="22"/>
          <w:szCs w:val="22"/>
        </w:rPr>
        <w:t xml:space="preserve">przez gospodarstwo domowe najemcy </w:t>
      </w:r>
      <w:r>
        <w:rPr>
          <w:rFonts w:asciiTheme="minorHAnsi" w:hAnsiTheme="minorHAnsi" w:cs="Arial"/>
          <w:sz w:val="22"/>
          <w:szCs w:val="22"/>
        </w:rPr>
        <w:t>kr</w:t>
      </w:r>
      <w:r>
        <w:rPr>
          <w:rFonts w:asciiTheme="minorHAnsi" w:hAnsiTheme="minorHAnsi" w:cs="Arial"/>
          <w:sz w:val="22"/>
          <w:szCs w:val="22"/>
        </w:rPr>
        <w:t>y</w:t>
      </w:r>
      <w:r>
        <w:rPr>
          <w:rFonts w:asciiTheme="minorHAnsi" w:hAnsiTheme="minorHAnsi" w:cs="Arial"/>
          <w:sz w:val="22"/>
          <w:szCs w:val="22"/>
        </w:rPr>
        <w:t>terium dochodowego w zależności od daty złożenia wniosku o dopłaty. W przypadku wniosków zł</w:t>
      </w:r>
      <w:r>
        <w:rPr>
          <w:rFonts w:asciiTheme="minorHAnsi" w:hAnsiTheme="minorHAnsi" w:cs="Arial"/>
          <w:sz w:val="22"/>
          <w:szCs w:val="22"/>
        </w:rPr>
        <w:t>o</w:t>
      </w:r>
      <w:r>
        <w:rPr>
          <w:rFonts w:asciiTheme="minorHAnsi" w:hAnsiTheme="minorHAnsi" w:cs="Arial"/>
          <w:sz w:val="22"/>
          <w:szCs w:val="22"/>
        </w:rPr>
        <w:t xml:space="preserve">żonych </w:t>
      </w:r>
      <w:r w:rsidR="001B2220">
        <w:rPr>
          <w:rFonts w:asciiTheme="minorHAnsi" w:hAnsiTheme="minorHAnsi" w:cs="Arial"/>
          <w:sz w:val="22"/>
          <w:szCs w:val="22"/>
        </w:rPr>
        <w:br/>
      </w:r>
      <w:r>
        <w:rPr>
          <w:rFonts w:asciiTheme="minorHAnsi" w:hAnsiTheme="minorHAnsi" w:cs="Arial"/>
          <w:sz w:val="22"/>
          <w:szCs w:val="22"/>
        </w:rPr>
        <w:t>w okresie od 1 stycznia do 31 lipca danego roku średni miesięczny dochód gospodarstwa domowego ustala się w oparciu o dane z roku kalendarzowego poprzedzającego</w:t>
      </w:r>
      <w:r w:rsidRPr="00CD55CC">
        <w:rPr>
          <w:rFonts w:asciiTheme="minorHAnsi" w:hAnsiTheme="minorHAnsi" w:cs="Arial"/>
          <w:sz w:val="22"/>
          <w:szCs w:val="22"/>
        </w:rPr>
        <w:t xml:space="preserve"> rok, po upływie którego naje</w:t>
      </w:r>
      <w:r w:rsidRPr="00CD55CC">
        <w:rPr>
          <w:rFonts w:asciiTheme="minorHAnsi" w:hAnsiTheme="minorHAnsi" w:cs="Arial"/>
          <w:sz w:val="22"/>
          <w:szCs w:val="22"/>
        </w:rPr>
        <w:t>m</w:t>
      </w:r>
      <w:r w:rsidRPr="00CD55CC">
        <w:rPr>
          <w:rFonts w:asciiTheme="minorHAnsi" w:hAnsiTheme="minorHAnsi" w:cs="Arial"/>
          <w:sz w:val="22"/>
          <w:szCs w:val="22"/>
        </w:rPr>
        <w:t xml:space="preserve">ca składa wniosek </w:t>
      </w:r>
      <w:r>
        <w:rPr>
          <w:rFonts w:asciiTheme="minorHAnsi" w:hAnsiTheme="minorHAnsi" w:cs="Arial"/>
          <w:sz w:val="22"/>
          <w:szCs w:val="22"/>
        </w:rPr>
        <w:t>(w przypadku wniosku złożonego w marcu 2022</w:t>
      </w:r>
      <w:r w:rsidR="00820019">
        <w:rPr>
          <w:rFonts w:asciiTheme="minorHAnsi" w:hAnsiTheme="minorHAnsi" w:cs="Arial"/>
          <w:sz w:val="22"/>
          <w:szCs w:val="22"/>
        </w:rPr>
        <w:t xml:space="preserve"> r.</w:t>
      </w:r>
      <w:r>
        <w:rPr>
          <w:rFonts w:asciiTheme="minorHAnsi" w:hAnsiTheme="minorHAnsi" w:cs="Arial"/>
          <w:sz w:val="22"/>
          <w:szCs w:val="22"/>
        </w:rPr>
        <w:t xml:space="preserve"> punktem odniesienia będą z</w:t>
      </w:r>
      <w:r>
        <w:rPr>
          <w:rFonts w:asciiTheme="minorHAnsi" w:hAnsiTheme="minorHAnsi" w:cs="Arial"/>
          <w:sz w:val="22"/>
          <w:szCs w:val="22"/>
        </w:rPr>
        <w:t>a</w:t>
      </w:r>
      <w:r>
        <w:rPr>
          <w:rFonts w:asciiTheme="minorHAnsi" w:hAnsiTheme="minorHAnsi" w:cs="Arial"/>
          <w:sz w:val="22"/>
          <w:szCs w:val="22"/>
        </w:rPr>
        <w:t xml:space="preserve">tem dochody za rok 2020), </w:t>
      </w:r>
      <w:r w:rsidR="00820019">
        <w:rPr>
          <w:rFonts w:asciiTheme="minorHAnsi" w:hAnsiTheme="minorHAnsi" w:cs="Arial"/>
          <w:sz w:val="22"/>
          <w:szCs w:val="22"/>
        </w:rPr>
        <w:t xml:space="preserve">natomiast </w:t>
      </w:r>
      <w:r>
        <w:rPr>
          <w:rFonts w:asciiTheme="minorHAnsi" w:hAnsiTheme="minorHAnsi" w:cs="Arial"/>
          <w:sz w:val="22"/>
          <w:szCs w:val="22"/>
        </w:rPr>
        <w:t xml:space="preserve">w przypadku </w:t>
      </w:r>
      <w:r w:rsidRPr="00CD55CC">
        <w:rPr>
          <w:rFonts w:asciiTheme="minorHAnsi" w:hAnsiTheme="minorHAnsi" w:cs="Arial"/>
          <w:sz w:val="22"/>
          <w:szCs w:val="22"/>
        </w:rPr>
        <w:t xml:space="preserve">wniosków złożonych w okresie od 1 </w:t>
      </w:r>
      <w:r>
        <w:rPr>
          <w:rFonts w:asciiTheme="minorHAnsi" w:hAnsiTheme="minorHAnsi" w:cs="Arial"/>
          <w:sz w:val="22"/>
          <w:szCs w:val="22"/>
        </w:rPr>
        <w:t>sierpnia do 31 grudnia</w:t>
      </w:r>
      <w:r w:rsidRPr="00CD55CC">
        <w:rPr>
          <w:rFonts w:asciiTheme="minorHAnsi" w:hAnsiTheme="minorHAnsi" w:cs="Arial"/>
          <w:sz w:val="22"/>
          <w:szCs w:val="22"/>
        </w:rPr>
        <w:t xml:space="preserve"> danego roku</w:t>
      </w:r>
      <w:r>
        <w:rPr>
          <w:rFonts w:asciiTheme="minorHAnsi" w:hAnsiTheme="minorHAnsi" w:cs="Arial"/>
          <w:sz w:val="22"/>
          <w:szCs w:val="22"/>
        </w:rPr>
        <w:t xml:space="preserve"> – dane za rok kalendarzowy, po </w:t>
      </w:r>
      <w:r w:rsidRPr="00CD55CC">
        <w:rPr>
          <w:rFonts w:asciiTheme="minorHAnsi" w:hAnsiTheme="minorHAnsi" w:cs="Arial"/>
          <w:sz w:val="22"/>
          <w:szCs w:val="22"/>
        </w:rPr>
        <w:t>upływie którego najemca składa wniosek</w:t>
      </w:r>
      <w:r w:rsidR="00820019">
        <w:rPr>
          <w:rFonts w:asciiTheme="minorHAnsi" w:hAnsiTheme="minorHAnsi" w:cs="Arial"/>
          <w:sz w:val="22"/>
          <w:szCs w:val="22"/>
        </w:rPr>
        <w:t xml:space="preserve"> (w przypadku wniosku złożonego we wrześniu</w:t>
      </w:r>
      <w:r w:rsidR="00820019" w:rsidRPr="00820019">
        <w:rPr>
          <w:rFonts w:asciiTheme="minorHAnsi" w:hAnsiTheme="minorHAnsi" w:cs="Arial"/>
          <w:sz w:val="22"/>
          <w:szCs w:val="22"/>
        </w:rPr>
        <w:t xml:space="preserve"> 2022 r. punktem odniesienia będą za</w:t>
      </w:r>
      <w:r w:rsidR="00820019">
        <w:rPr>
          <w:rFonts w:asciiTheme="minorHAnsi" w:hAnsiTheme="minorHAnsi" w:cs="Arial"/>
          <w:sz w:val="22"/>
          <w:szCs w:val="22"/>
        </w:rPr>
        <w:t>tem dochody za rok 2021</w:t>
      </w:r>
      <w:r w:rsidR="00820019" w:rsidRPr="00820019">
        <w:rPr>
          <w:rFonts w:asciiTheme="minorHAnsi" w:hAnsiTheme="minorHAnsi" w:cs="Arial"/>
          <w:sz w:val="22"/>
          <w:szCs w:val="22"/>
        </w:rPr>
        <w:t>)</w:t>
      </w:r>
      <w:r w:rsidR="00820019">
        <w:rPr>
          <w:rFonts w:asciiTheme="minorHAnsi" w:hAnsiTheme="minorHAnsi" w:cs="Arial"/>
          <w:sz w:val="22"/>
          <w:szCs w:val="22"/>
        </w:rPr>
        <w:t xml:space="preserve">. </w:t>
      </w:r>
    </w:p>
    <w:p w:rsidR="00803214" w:rsidRDefault="00820019" w:rsidP="00820019">
      <w:pPr>
        <w:pStyle w:val="Bezodstpw"/>
        <w:spacing w:after="240" w:line="240" w:lineRule="exact"/>
        <w:rPr>
          <w:rFonts w:asciiTheme="minorHAnsi" w:hAnsiTheme="minorHAnsi" w:cs="Arial"/>
          <w:sz w:val="22"/>
          <w:szCs w:val="22"/>
        </w:rPr>
      </w:pPr>
      <w:r>
        <w:rPr>
          <w:rFonts w:asciiTheme="minorHAnsi" w:hAnsiTheme="minorHAnsi" w:cs="Arial"/>
          <w:sz w:val="22"/>
          <w:szCs w:val="22"/>
        </w:rPr>
        <w:t xml:space="preserve">W celu zapewnienia </w:t>
      </w:r>
      <w:r w:rsidR="00F80242">
        <w:rPr>
          <w:rFonts w:asciiTheme="minorHAnsi" w:hAnsiTheme="minorHAnsi" w:cs="Arial"/>
          <w:sz w:val="22"/>
          <w:szCs w:val="22"/>
        </w:rPr>
        <w:t xml:space="preserve">adekwatnego do aktualnej sytuacji dochodowej gospodarstwa domowego </w:t>
      </w:r>
      <w:r>
        <w:rPr>
          <w:rFonts w:asciiTheme="minorHAnsi" w:hAnsiTheme="minorHAnsi" w:cs="Arial"/>
          <w:sz w:val="22"/>
          <w:szCs w:val="22"/>
        </w:rPr>
        <w:t>o</w:t>
      </w:r>
      <w:r>
        <w:rPr>
          <w:rFonts w:asciiTheme="minorHAnsi" w:hAnsiTheme="minorHAnsi" w:cs="Arial"/>
          <w:sz w:val="22"/>
          <w:szCs w:val="22"/>
        </w:rPr>
        <w:t>d</w:t>
      </w:r>
      <w:r>
        <w:rPr>
          <w:rFonts w:asciiTheme="minorHAnsi" w:hAnsiTheme="minorHAnsi" w:cs="Arial"/>
          <w:sz w:val="22"/>
          <w:szCs w:val="22"/>
        </w:rPr>
        <w:t>niesienia dla oceny spełniania przez gospodarstwo domowe najemcy kryterium dochodowego pr</w:t>
      </w:r>
      <w:r>
        <w:rPr>
          <w:rFonts w:asciiTheme="minorHAnsi" w:hAnsiTheme="minorHAnsi" w:cs="Arial"/>
          <w:sz w:val="22"/>
          <w:szCs w:val="22"/>
        </w:rPr>
        <w:t>o</w:t>
      </w:r>
      <w:r>
        <w:rPr>
          <w:rFonts w:asciiTheme="minorHAnsi" w:hAnsiTheme="minorHAnsi" w:cs="Arial"/>
          <w:sz w:val="22"/>
          <w:szCs w:val="22"/>
        </w:rPr>
        <w:t xml:space="preserve">jektodawca wprowadził ponadto </w:t>
      </w:r>
      <w:r w:rsidR="00F80242">
        <w:rPr>
          <w:rFonts w:asciiTheme="minorHAnsi" w:hAnsiTheme="minorHAnsi" w:cs="Arial"/>
          <w:sz w:val="22"/>
          <w:szCs w:val="22"/>
        </w:rPr>
        <w:t xml:space="preserve">obowiązek korekty wysokości dochodów tego gospodarstwa w oparciu </w:t>
      </w:r>
      <w:r w:rsidR="001B2220">
        <w:rPr>
          <w:rFonts w:asciiTheme="minorHAnsi" w:hAnsiTheme="minorHAnsi" w:cs="Arial"/>
          <w:sz w:val="22"/>
          <w:szCs w:val="22"/>
        </w:rPr>
        <w:br/>
      </w:r>
      <w:r w:rsidR="00F80242">
        <w:rPr>
          <w:rFonts w:asciiTheme="minorHAnsi" w:hAnsiTheme="minorHAnsi" w:cs="Arial"/>
          <w:sz w:val="22"/>
          <w:szCs w:val="22"/>
        </w:rPr>
        <w:t xml:space="preserve">o wysokość </w:t>
      </w:r>
      <w:r w:rsidR="00C207AE">
        <w:rPr>
          <w:rFonts w:asciiTheme="minorHAnsi" w:hAnsiTheme="minorHAnsi" w:cs="Arial"/>
          <w:sz w:val="22"/>
          <w:szCs w:val="22"/>
        </w:rPr>
        <w:t>dochodu utraconego i uzyskanego,</w:t>
      </w:r>
      <w:r w:rsidR="00C207AE" w:rsidRPr="00C207AE">
        <w:t xml:space="preserve"> </w:t>
      </w:r>
      <w:r w:rsidR="00C207AE" w:rsidRPr="00C207AE">
        <w:rPr>
          <w:rFonts w:asciiTheme="minorHAnsi" w:hAnsiTheme="minorHAnsi" w:cs="Arial"/>
          <w:sz w:val="22"/>
          <w:szCs w:val="22"/>
        </w:rPr>
        <w:t>na wzór rozwiązań stosowanych przy przyznawaniu świadczeń społecznych, w tym również świadczeń w ramach programu „Rodzina 500+”</w:t>
      </w:r>
      <w:r w:rsidR="00C207AE">
        <w:rPr>
          <w:rFonts w:asciiTheme="minorHAnsi" w:hAnsiTheme="minorHAnsi" w:cs="Arial"/>
          <w:sz w:val="22"/>
          <w:szCs w:val="22"/>
        </w:rPr>
        <w:t>.</w:t>
      </w:r>
      <w:r w:rsidR="00F80242">
        <w:rPr>
          <w:rFonts w:asciiTheme="minorHAnsi" w:hAnsiTheme="minorHAnsi" w:cs="Arial"/>
          <w:sz w:val="22"/>
          <w:szCs w:val="22"/>
        </w:rPr>
        <w:t xml:space="preserve"> </w:t>
      </w:r>
      <w:r w:rsidR="002B4A10">
        <w:rPr>
          <w:rFonts w:asciiTheme="minorHAnsi" w:hAnsiTheme="minorHAnsi" w:cs="Arial"/>
          <w:sz w:val="22"/>
          <w:szCs w:val="22"/>
        </w:rPr>
        <w:t xml:space="preserve">W przypadku gdy członek gospodarstwa domowego w analizowanym okresie </w:t>
      </w:r>
      <w:r w:rsidR="00803214">
        <w:rPr>
          <w:rFonts w:asciiTheme="minorHAnsi" w:hAnsiTheme="minorHAnsi" w:cs="Arial"/>
          <w:sz w:val="22"/>
          <w:szCs w:val="22"/>
        </w:rPr>
        <w:t>lub w okresie od 1 stycznia roku n</w:t>
      </w:r>
      <w:r w:rsidR="00803214">
        <w:rPr>
          <w:rFonts w:asciiTheme="minorHAnsi" w:hAnsiTheme="minorHAnsi" w:cs="Arial"/>
          <w:sz w:val="22"/>
          <w:szCs w:val="22"/>
        </w:rPr>
        <w:t>a</w:t>
      </w:r>
      <w:r w:rsidR="00803214">
        <w:rPr>
          <w:rFonts w:asciiTheme="minorHAnsi" w:hAnsiTheme="minorHAnsi" w:cs="Arial"/>
          <w:sz w:val="22"/>
          <w:szCs w:val="22"/>
        </w:rPr>
        <w:t xml:space="preserve">stępującego po analizowanym okresie do dnia złożenia wniosku o dopłaty </w:t>
      </w:r>
      <w:r w:rsidR="002B4A10">
        <w:rPr>
          <w:rFonts w:asciiTheme="minorHAnsi" w:hAnsiTheme="minorHAnsi" w:cs="Arial"/>
          <w:sz w:val="22"/>
          <w:szCs w:val="22"/>
        </w:rPr>
        <w:t>utracił dochód</w:t>
      </w:r>
      <w:r w:rsidR="00803214">
        <w:rPr>
          <w:rFonts w:asciiTheme="minorHAnsi" w:hAnsiTheme="minorHAnsi" w:cs="Arial"/>
          <w:sz w:val="22"/>
          <w:szCs w:val="22"/>
        </w:rPr>
        <w:t xml:space="preserve"> uzyskiwany </w:t>
      </w:r>
      <w:r w:rsidR="001B2220">
        <w:rPr>
          <w:rFonts w:asciiTheme="minorHAnsi" w:hAnsiTheme="minorHAnsi" w:cs="Arial"/>
          <w:sz w:val="22"/>
          <w:szCs w:val="22"/>
        </w:rPr>
        <w:br/>
      </w:r>
      <w:r w:rsidR="00803214">
        <w:rPr>
          <w:rFonts w:asciiTheme="minorHAnsi" w:hAnsiTheme="minorHAnsi" w:cs="Arial"/>
          <w:sz w:val="22"/>
          <w:szCs w:val="22"/>
        </w:rPr>
        <w:t>w analizowanym okresie</w:t>
      </w:r>
      <w:r w:rsidR="002B4A10">
        <w:rPr>
          <w:rFonts w:asciiTheme="minorHAnsi" w:hAnsiTheme="minorHAnsi" w:cs="Arial"/>
          <w:sz w:val="22"/>
          <w:szCs w:val="22"/>
        </w:rPr>
        <w:t xml:space="preserve">, dochodu tego nie uwzględnia się przy obliczaniu średniego miesięcznego dochodu gospodarstwa domowego. Przy dokonywaniu takiego obliczenia uwzględnia się natomiast </w:t>
      </w:r>
      <w:r w:rsidR="00383C10">
        <w:rPr>
          <w:rFonts w:asciiTheme="minorHAnsi" w:hAnsiTheme="minorHAnsi" w:cs="Arial"/>
          <w:sz w:val="22"/>
          <w:szCs w:val="22"/>
        </w:rPr>
        <w:t>wysokość dochodu uzyskanego przez członka gospodarstwa domowego pod warunkiem, że dochód ten jest nadal uzyskiwany przez tę osobę</w:t>
      </w:r>
      <w:r w:rsidR="00803214">
        <w:rPr>
          <w:rFonts w:asciiTheme="minorHAnsi" w:hAnsiTheme="minorHAnsi" w:cs="Arial"/>
          <w:sz w:val="22"/>
          <w:szCs w:val="22"/>
        </w:rPr>
        <w:t>.</w:t>
      </w:r>
      <w:r w:rsidR="00F923B6">
        <w:rPr>
          <w:rFonts w:asciiTheme="minorHAnsi" w:hAnsiTheme="minorHAnsi" w:cs="Arial"/>
          <w:sz w:val="22"/>
          <w:szCs w:val="22"/>
        </w:rPr>
        <w:t xml:space="preserve"> </w:t>
      </w:r>
      <w:r w:rsidR="00803214">
        <w:rPr>
          <w:rFonts w:asciiTheme="minorHAnsi" w:hAnsiTheme="minorHAnsi" w:cs="Arial"/>
          <w:sz w:val="22"/>
          <w:szCs w:val="22"/>
        </w:rPr>
        <w:t>Z</w:t>
      </w:r>
      <w:r w:rsidR="00F923B6">
        <w:rPr>
          <w:rFonts w:asciiTheme="minorHAnsi" w:hAnsiTheme="minorHAnsi" w:cs="Arial"/>
          <w:sz w:val="22"/>
          <w:szCs w:val="22"/>
        </w:rPr>
        <w:t xml:space="preserve"> uwagi na </w:t>
      </w:r>
      <w:r w:rsidR="008A72A9">
        <w:rPr>
          <w:rFonts w:asciiTheme="minorHAnsi" w:hAnsiTheme="minorHAnsi" w:cs="Arial"/>
          <w:sz w:val="22"/>
          <w:szCs w:val="22"/>
        </w:rPr>
        <w:t>ww.</w:t>
      </w:r>
      <w:r w:rsidR="00F923B6">
        <w:rPr>
          <w:rFonts w:asciiTheme="minorHAnsi" w:hAnsiTheme="minorHAnsi" w:cs="Arial"/>
          <w:sz w:val="22"/>
          <w:szCs w:val="22"/>
        </w:rPr>
        <w:t xml:space="preserve"> cel przepisu i </w:t>
      </w:r>
      <w:r w:rsidR="008A72A9">
        <w:rPr>
          <w:rFonts w:asciiTheme="minorHAnsi" w:hAnsiTheme="minorHAnsi" w:cs="Arial"/>
          <w:sz w:val="22"/>
          <w:szCs w:val="22"/>
        </w:rPr>
        <w:t>wspomniany</w:t>
      </w:r>
      <w:r w:rsidR="00F923B6">
        <w:rPr>
          <w:rFonts w:asciiTheme="minorHAnsi" w:hAnsiTheme="minorHAnsi" w:cs="Arial"/>
          <w:sz w:val="22"/>
          <w:szCs w:val="22"/>
        </w:rPr>
        <w:t xml:space="preserve"> warunek </w:t>
      </w:r>
      <w:r w:rsidR="008D7697">
        <w:rPr>
          <w:rFonts w:asciiTheme="minorHAnsi" w:hAnsiTheme="minorHAnsi" w:cs="Arial"/>
          <w:sz w:val="22"/>
          <w:szCs w:val="22"/>
        </w:rPr>
        <w:t>uwzględniany</w:t>
      </w:r>
      <w:r w:rsidR="008D7697" w:rsidRPr="008D7697">
        <w:t xml:space="preserve"> </w:t>
      </w:r>
      <w:r w:rsidR="008D7697" w:rsidRPr="008D7697">
        <w:rPr>
          <w:rFonts w:asciiTheme="minorHAnsi" w:hAnsiTheme="minorHAnsi" w:cs="Arial"/>
          <w:sz w:val="22"/>
          <w:szCs w:val="22"/>
        </w:rPr>
        <w:t xml:space="preserve">przy obliczaniu średniego miesięcznego dochodu gospodarstwa domowego dochód </w:t>
      </w:r>
      <w:r w:rsidR="001E69B3">
        <w:rPr>
          <w:rFonts w:asciiTheme="minorHAnsi" w:hAnsiTheme="minorHAnsi" w:cs="Arial"/>
          <w:sz w:val="22"/>
          <w:szCs w:val="22"/>
        </w:rPr>
        <w:t>ustala</w:t>
      </w:r>
      <w:r w:rsidR="00EF3228">
        <w:rPr>
          <w:rFonts w:asciiTheme="minorHAnsi" w:hAnsiTheme="minorHAnsi" w:cs="Arial"/>
          <w:sz w:val="22"/>
          <w:szCs w:val="22"/>
        </w:rPr>
        <w:t xml:space="preserve"> się</w:t>
      </w:r>
      <w:r w:rsidR="001E69B3">
        <w:rPr>
          <w:rFonts w:asciiTheme="minorHAnsi" w:hAnsiTheme="minorHAnsi" w:cs="Arial"/>
          <w:sz w:val="22"/>
          <w:szCs w:val="22"/>
        </w:rPr>
        <w:t xml:space="preserve"> </w:t>
      </w:r>
      <w:r w:rsidR="001B2220">
        <w:rPr>
          <w:rFonts w:asciiTheme="minorHAnsi" w:hAnsiTheme="minorHAnsi" w:cs="Arial"/>
          <w:sz w:val="22"/>
          <w:szCs w:val="22"/>
        </w:rPr>
        <w:br/>
      </w:r>
      <w:r w:rsidR="001E69B3">
        <w:rPr>
          <w:rFonts w:asciiTheme="minorHAnsi" w:hAnsiTheme="minorHAnsi" w:cs="Arial"/>
          <w:sz w:val="22"/>
          <w:szCs w:val="22"/>
        </w:rPr>
        <w:t>w następujący sposób</w:t>
      </w:r>
      <w:r w:rsidR="00803214">
        <w:rPr>
          <w:rFonts w:asciiTheme="minorHAnsi" w:hAnsiTheme="minorHAnsi" w:cs="Arial"/>
          <w:sz w:val="22"/>
          <w:szCs w:val="22"/>
        </w:rPr>
        <w:t>:</w:t>
      </w:r>
    </w:p>
    <w:p w:rsidR="00820019" w:rsidRDefault="001E69B3" w:rsidP="00EF3228">
      <w:pPr>
        <w:pStyle w:val="Bezodstpw"/>
        <w:numPr>
          <w:ilvl w:val="0"/>
          <w:numId w:val="56"/>
        </w:numPr>
        <w:spacing w:after="240" w:line="240" w:lineRule="exact"/>
        <w:rPr>
          <w:rFonts w:asciiTheme="minorHAnsi" w:hAnsiTheme="minorHAnsi" w:cs="Arial"/>
          <w:sz w:val="22"/>
          <w:szCs w:val="22"/>
        </w:rPr>
      </w:pPr>
      <w:r>
        <w:rPr>
          <w:rFonts w:asciiTheme="minorHAnsi" w:hAnsiTheme="minorHAnsi" w:cs="Arial"/>
          <w:sz w:val="22"/>
          <w:szCs w:val="22"/>
        </w:rPr>
        <w:lastRenderedPageBreak/>
        <w:t xml:space="preserve">jeżeli </w:t>
      </w:r>
      <w:r w:rsidR="00803214">
        <w:rPr>
          <w:rFonts w:asciiTheme="minorHAnsi" w:hAnsiTheme="minorHAnsi" w:cs="Arial"/>
          <w:sz w:val="22"/>
          <w:szCs w:val="22"/>
        </w:rPr>
        <w:t xml:space="preserve">dochód </w:t>
      </w:r>
      <w:r>
        <w:rPr>
          <w:rFonts w:asciiTheme="minorHAnsi" w:hAnsiTheme="minorHAnsi" w:cs="Arial"/>
          <w:sz w:val="22"/>
          <w:szCs w:val="22"/>
        </w:rPr>
        <w:t xml:space="preserve">został uzyskany </w:t>
      </w:r>
      <w:r w:rsidR="00803214">
        <w:rPr>
          <w:rFonts w:asciiTheme="minorHAnsi" w:hAnsiTheme="minorHAnsi" w:cs="Arial"/>
          <w:sz w:val="22"/>
          <w:szCs w:val="22"/>
        </w:rPr>
        <w:t>w analizowanym roku</w:t>
      </w:r>
      <w:r>
        <w:rPr>
          <w:rFonts w:asciiTheme="minorHAnsi" w:hAnsiTheme="minorHAnsi" w:cs="Arial"/>
          <w:sz w:val="22"/>
          <w:szCs w:val="22"/>
        </w:rPr>
        <w:t>, dochód ten</w:t>
      </w:r>
      <w:r w:rsidR="00803214">
        <w:rPr>
          <w:rFonts w:asciiTheme="minorHAnsi" w:hAnsiTheme="minorHAnsi" w:cs="Arial"/>
          <w:sz w:val="22"/>
          <w:szCs w:val="22"/>
        </w:rPr>
        <w:t xml:space="preserve"> </w:t>
      </w:r>
      <w:r>
        <w:rPr>
          <w:rFonts w:asciiTheme="minorHAnsi" w:hAnsiTheme="minorHAnsi" w:cs="Arial"/>
          <w:sz w:val="22"/>
          <w:szCs w:val="22"/>
        </w:rPr>
        <w:t xml:space="preserve">dzieli się </w:t>
      </w:r>
      <w:r w:rsidR="008D7697" w:rsidRPr="008D7697">
        <w:rPr>
          <w:rFonts w:asciiTheme="minorHAnsi" w:hAnsiTheme="minorHAnsi" w:cs="Arial"/>
          <w:sz w:val="22"/>
          <w:szCs w:val="22"/>
        </w:rPr>
        <w:t xml:space="preserve">przez liczbę miesięcy, </w:t>
      </w:r>
      <w:r w:rsidR="001B2220">
        <w:rPr>
          <w:rFonts w:asciiTheme="minorHAnsi" w:hAnsiTheme="minorHAnsi" w:cs="Arial"/>
          <w:sz w:val="22"/>
          <w:szCs w:val="22"/>
        </w:rPr>
        <w:br/>
      </w:r>
      <w:r w:rsidR="008D7697" w:rsidRPr="008D7697">
        <w:rPr>
          <w:rFonts w:asciiTheme="minorHAnsi" w:hAnsiTheme="minorHAnsi" w:cs="Arial"/>
          <w:sz w:val="22"/>
          <w:szCs w:val="22"/>
        </w:rPr>
        <w:t>w których był uzyskiwany</w:t>
      </w:r>
      <w:r w:rsidR="00EF3228">
        <w:rPr>
          <w:rFonts w:asciiTheme="minorHAnsi" w:hAnsiTheme="minorHAnsi" w:cs="Arial"/>
          <w:sz w:val="22"/>
          <w:szCs w:val="22"/>
        </w:rPr>
        <w:t>,</w:t>
      </w:r>
    </w:p>
    <w:p w:rsidR="00C207AE" w:rsidRDefault="001E69B3" w:rsidP="00C207AE">
      <w:pPr>
        <w:pStyle w:val="Bezodstpw"/>
        <w:numPr>
          <w:ilvl w:val="0"/>
          <w:numId w:val="56"/>
        </w:numPr>
        <w:spacing w:after="240" w:line="240" w:lineRule="exact"/>
        <w:rPr>
          <w:rFonts w:asciiTheme="minorHAnsi" w:hAnsiTheme="minorHAnsi" w:cs="Arial"/>
          <w:sz w:val="22"/>
          <w:szCs w:val="22"/>
        </w:rPr>
      </w:pPr>
      <w:r>
        <w:rPr>
          <w:rFonts w:asciiTheme="minorHAnsi" w:hAnsiTheme="minorHAnsi" w:cs="Arial"/>
          <w:sz w:val="22"/>
          <w:szCs w:val="22"/>
        </w:rPr>
        <w:t xml:space="preserve"> jeżeli dochód został uzyskany po analizowanym </w:t>
      </w:r>
      <w:r w:rsidR="00C3471C">
        <w:rPr>
          <w:rFonts w:asciiTheme="minorHAnsi" w:hAnsiTheme="minorHAnsi" w:cs="Arial"/>
          <w:sz w:val="22"/>
          <w:szCs w:val="22"/>
        </w:rPr>
        <w:t>roku</w:t>
      </w:r>
      <w:r>
        <w:rPr>
          <w:rFonts w:asciiTheme="minorHAnsi" w:hAnsiTheme="minorHAnsi" w:cs="Arial"/>
          <w:sz w:val="22"/>
          <w:szCs w:val="22"/>
        </w:rPr>
        <w:t xml:space="preserve">, </w:t>
      </w:r>
      <w:r w:rsidRPr="001E69B3">
        <w:rPr>
          <w:rFonts w:asciiTheme="minorHAnsi" w:hAnsiTheme="minorHAnsi" w:cs="Arial"/>
          <w:sz w:val="22"/>
          <w:szCs w:val="22"/>
        </w:rPr>
        <w:t>średni miesięczny dochód tej osoby</w:t>
      </w:r>
      <w:r>
        <w:rPr>
          <w:rFonts w:asciiTheme="minorHAnsi" w:hAnsiTheme="minorHAnsi" w:cs="Arial"/>
          <w:sz w:val="22"/>
          <w:szCs w:val="22"/>
        </w:rPr>
        <w:t xml:space="preserve"> z anal</w:t>
      </w:r>
      <w:r>
        <w:rPr>
          <w:rFonts w:asciiTheme="minorHAnsi" w:hAnsiTheme="minorHAnsi" w:cs="Arial"/>
          <w:sz w:val="22"/>
          <w:szCs w:val="22"/>
        </w:rPr>
        <w:t>i</w:t>
      </w:r>
      <w:r>
        <w:rPr>
          <w:rFonts w:asciiTheme="minorHAnsi" w:hAnsiTheme="minorHAnsi" w:cs="Arial"/>
          <w:sz w:val="22"/>
          <w:szCs w:val="22"/>
        </w:rPr>
        <w:t xml:space="preserve">zowanego okresu </w:t>
      </w:r>
      <w:r w:rsidRPr="001E69B3">
        <w:rPr>
          <w:rFonts w:asciiTheme="minorHAnsi" w:hAnsiTheme="minorHAnsi" w:cs="Arial"/>
          <w:sz w:val="22"/>
          <w:szCs w:val="22"/>
        </w:rPr>
        <w:t>powiększa się o kwotę uzyskanego dochodu za miesiąc następujący po miesi</w:t>
      </w:r>
      <w:r w:rsidRPr="001E69B3">
        <w:rPr>
          <w:rFonts w:asciiTheme="minorHAnsi" w:hAnsiTheme="minorHAnsi" w:cs="Arial"/>
          <w:sz w:val="22"/>
          <w:szCs w:val="22"/>
        </w:rPr>
        <w:t>ą</w:t>
      </w:r>
      <w:r w:rsidRPr="001E69B3">
        <w:rPr>
          <w:rFonts w:asciiTheme="minorHAnsi" w:hAnsiTheme="minorHAnsi" w:cs="Arial"/>
          <w:sz w:val="22"/>
          <w:szCs w:val="22"/>
        </w:rPr>
        <w:t>cu, w którym nastąpiło uzyskanie dochodu.</w:t>
      </w:r>
    </w:p>
    <w:p w:rsidR="00C207AE" w:rsidRPr="00C207AE" w:rsidRDefault="00C207AE" w:rsidP="001B2220">
      <w:pPr>
        <w:pStyle w:val="Bezodstpw"/>
        <w:spacing w:after="240" w:line="240" w:lineRule="exact"/>
        <w:rPr>
          <w:rFonts w:asciiTheme="minorHAnsi" w:hAnsiTheme="minorHAnsi" w:cs="Arial"/>
          <w:sz w:val="22"/>
          <w:szCs w:val="22"/>
        </w:rPr>
      </w:pPr>
      <w:r>
        <w:rPr>
          <w:rFonts w:asciiTheme="minorHAnsi" w:hAnsiTheme="minorHAnsi" w:cs="Arial"/>
          <w:sz w:val="22"/>
          <w:szCs w:val="22"/>
        </w:rPr>
        <w:t>Należy przy tym zaznaczyć, że pojęcia „uzyskania” i „utraty” dochodów są stosowane na wzór przep</w:t>
      </w:r>
      <w:r>
        <w:rPr>
          <w:rFonts w:asciiTheme="minorHAnsi" w:hAnsiTheme="minorHAnsi" w:cs="Arial"/>
          <w:sz w:val="22"/>
          <w:szCs w:val="22"/>
        </w:rPr>
        <w:t>i</w:t>
      </w:r>
      <w:r>
        <w:rPr>
          <w:rFonts w:asciiTheme="minorHAnsi" w:hAnsiTheme="minorHAnsi" w:cs="Arial"/>
          <w:sz w:val="22"/>
          <w:szCs w:val="22"/>
        </w:rPr>
        <w:t>sów regulujących zasady przyznawania świadczeń społecznych, w tym również świadczeń w ramach programu „Rodzina 500+”.</w:t>
      </w:r>
    </w:p>
    <w:p w:rsidR="0023159C" w:rsidRDefault="00CC091D" w:rsidP="005A318B">
      <w:pPr>
        <w:pStyle w:val="Bezodstpw"/>
        <w:spacing w:after="240" w:line="240" w:lineRule="exact"/>
        <w:rPr>
          <w:rFonts w:asciiTheme="minorHAnsi" w:hAnsiTheme="minorHAnsi" w:cs="Arial"/>
          <w:sz w:val="22"/>
          <w:szCs w:val="22"/>
        </w:rPr>
      </w:pPr>
      <w:r w:rsidRPr="00CC091D">
        <w:rPr>
          <w:rFonts w:asciiTheme="minorHAnsi" w:hAnsiTheme="minorHAnsi" w:cs="Arial"/>
          <w:b/>
          <w:sz w:val="22"/>
          <w:szCs w:val="22"/>
        </w:rPr>
        <w:t>Art. 6</w:t>
      </w:r>
      <w:r>
        <w:rPr>
          <w:rFonts w:asciiTheme="minorHAnsi" w:hAnsiTheme="minorHAnsi" w:cs="Arial"/>
          <w:sz w:val="22"/>
          <w:szCs w:val="22"/>
        </w:rPr>
        <w:t xml:space="preserve"> wprowadza natomiast warunki dotyczące mieszkania. </w:t>
      </w:r>
      <w:r w:rsidR="00B555DD">
        <w:rPr>
          <w:rFonts w:asciiTheme="minorHAnsi" w:hAnsiTheme="minorHAnsi" w:cs="Arial"/>
          <w:sz w:val="22"/>
          <w:szCs w:val="22"/>
        </w:rPr>
        <w:t>Lokal</w:t>
      </w:r>
      <w:r w:rsidR="005A318B">
        <w:rPr>
          <w:rFonts w:asciiTheme="minorHAnsi" w:hAnsiTheme="minorHAnsi" w:cs="Arial"/>
          <w:sz w:val="22"/>
          <w:szCs w:val="22"/>
        </w:rPr>
        <w:t xml:space="preserve"> </w:t>
      </w:r>
      <w:r w:rsidR="00B555DD">
        <w:rPr>
          <w:rFonts w:asciiTheme="minorHAnsi" w:hAnsiTheme="minorHAnsi" w:cs="Arial"/>
          <w:sz w:val="22"/>
          <w:szCs w:val="22"/>
        </w:rPr>
        <w:t>mieszkalny objęty</w:t>
      </w:r>
      <w:r w:rsidR="005A318B">
        <w:rPr>
          <w:rFonts w:asciiTheme="minorHAnsi" w:hAnsiTheme="minorHAnsi" w:cs="Arial"/>
          <w:sz w:val="22"/>
          <w:szCs w:val="22"/>
        </w:rPr>
        <w:t xml:space="preserve"> możliwością stosowania dopłat </w:t>
      </w:r>
      <w:r w:rsidR="009E7B60">
        <w:rPr>
          <w:rFonts w:asciiTheme="minorHAnsi" w:hAnsiTheme="minorHAnsi" w:cs="Arial"/>
          <w:sz w:val="22"/>
          <w:szCs w:val="22"/>
        </w:rPr>
        <w:t>charakteryzuje się tym, że</w:t>
      </w:r>
      <w:r w:rsidR="0023159C">
        <w:rPr>
          <w:rFonts w:asciiTheme="minorHAnsi" w:hAnsiTheme="minorHAnsi" w:cs="Arial"/>
          <w:sz w:val="22"/>
          <w:szCs w:val="22"/>
        </w:rPr>
        <w:t>:</w:t>
      </w:r>
    </w:p>
    <w:p w:rsidR="005A318B" w:rsidRPr="005A318B" w:rsidRDefault="005A318B" w:rsidP="0023159C">
      <w:pPr>
        <w:pStyle w:val="Bezodstpw"/>
        <w:numPr>
          <w:ilvl w:val="0"/>
          <w:numId w:val="37"/>
        </w:numPr>
        <w:spacing w:after="240" w:line="240" w:lineRule="exact"/>
        <w:rPr>
          <w:rFonts w:asciiTheme="minorHAnsi" w:hAnsiTheme="minorHAnsi" w:cs="Arial"/>
          <w:sz w:val="22"/>
          <w:szCs w:val="22"/>
        </w:rPr>
      </w:pPr>
      <w:r w:rsidRPr="005A318B">
        <w:rPr>
          <w:rFonts w:asciiTheme="minorHAnsi" w:hAnsiTheme="minorHAnsi" w:cs="Arial"/>
          <w:sz w:val="22"/>
          <w:szCs w:val="22"/>
        </w:rPr>
        <w:t>służy zaspokojeniu własnych potrzeb mieszkaniowych najemcy i pozostałych osób wchodz</w:t>
      </w:r>
      <w:r w:rsidRPr="005A318B">
        <w:rPr>
          <w:rFonts w:asciiTheme="minorHAnsi" w:hAnsiTheme="minorHAnsi" w:cs="Arial"/>
          <w:sz w:val="22"/>
          <w:szCs w:val="22"/>
        </w:rPr>
        <w:t>ą</w:t>
      </w:r>
      <w:r w:rsidRPr="005A318B">
        <w:rPr>
          <w:rFonts w:asciiTheme="minorHAnsi" w:hAnsiTheme="minorHAnsi" w:cs="Arial"/>
          <w:sz w:val="22"/>
          <w:szCs w:val="22"/>
        </w:rPr>
        <w:t>cych w skła</w:t>
      </w:r>
      <w:r w:rsidR="004B64D9">
        <w:rPr>
          <w:rFonts w:asciiTheme="minorHAnsi" w:hAnsiTheme="minorHAnsi" w:cs="Arial"/>
          <w:sz w:val="22"/>
          <w:szCs w:val="22"/>
        </w:rPr>
        <w:t>d gospodarstwa domowego najemcy (oznacza to, że najemca i pozostałe osoby, których dochody brane są pod uwagę przy ustalaniu spełnienia przez beneficjenta dopłat w</w:t>
      </w:r>
      <w:r w:rsidR="004B64D9">
        <w:rPr>
          <w:rFonts w:asciiTheme="minorHAnsi" w:hAnsiTheme="minorHAnsi" w:cs="Arial"/>
          <w:sz w:val="22"/>
          <w:szCs w:val="22"/>
        </w:rPr>
        <w:t>a</w:t>
      </w:r>
      <w:r w:rsidR="004B64D9">
        <w:rPr>
          <w:rFonts w:asciiTheme="minorHAnsi" w:hAnsiTheme="minorHAnsi" w:cs="Arial"/>
          <w:sz w:val="22"/>
          <w:szCs w:val="22"/>
        </w:rPr>
        <w:t>runku dochodowego, faktycznie w tym mieszkaniu zamieszkują; wyklucza to możliwość fi</w:t>
      </w:r>
      <w:r w:rsidR="004B64D9">
        <w:rPr>
          <w:rFonts w:asciiTheme="minorHAnsi" w:hAnsiTheme="minorHAnsi" w:cs="Arial"/>
          <w:sz w:val="22"/>
          <w:szCs w:val="22"/>
        </w:rPr>
        <w:t>k</w:t>
      </w:r>
      <w:r w:rsidR="004B64D9">
        <w:rPr>
          <w:rFonts w:asciiTheme="minorHAnsi" w:hAnsiTheme="minorHAnsi" w:cs="Arial"/>
          <w:sz w:val="22"/>
          <w:szCs w:val="22"/>
        </w:rPr>
        <w:t>cyjnego dokwaterowywania w celu zwiększenia limitu dochodowego uprawniającego do d</w:t>
      </w:r>
      <w:r w:rsidR="004B64D9">
        <w:rPr>
          <w:rFonts w:asciiTheme="minorHAnsi" w:hAnsiTheme="minorHAnsi" w:cs="Arial"/>
          <w:sz w:val="22"/>
          <w:szCs w:val="22"/>
        </w:rPr>
        <w:t>o</w:t>
      </w:r>
      <w:r w:rsidR="004B64D9">
        <w:rPr>
          <w:rFonts w:asciiTheme="minorHAnsi" w:hAnsiTheme="minorHAnsi" w:cs="Arial"/>
          <w:sz w:val="22"/>
          <w:szCs w:val="22"/>
        </w:rPr>
        <w:t xml:space="preserve">płat </w:t>
      </w:r>
      <w:r w:rsidR="007E2E93">
        <w:rPr>
          <w:rFonts w:asciiTheme="minorHAnsi" w:hAnsiTheme="minorHAnsi" w:cs="Arial"/>
          <w:sz w:val="22"/>
          <w:szCs w:val="22"/>
        </w:rPr>
        <w:t xml:space="preserve">oraz </w:t>
      </w:r>
      <w:r w:rsidR="00B63E7C">
        <w:rPr>
          <w:rFonts w:asciiTheme="minorHAnsi" w:hAnsiTheme="minorHAnsi" w:cs="Arial"/>
          <w:sz w:val="22"/>
          <w:szCs w:val="22"/>
        </w:rPr>
        <w:t xml:space="preserve">równoczesnego </w:t>
      </w:r>
      <w:r w:rsidR="007E2E93">
        <w:rPr>
          <w:rFonts w:asciiTheme="minorHAnsi" w:hAnsiTheme="minorHAnsi" w:cs="Arial"/>
          <w:sz w:val="22"/>
          <w:szCs w:val="22"/>
        </w:rPr>
        <w:t xml:space="preserve">uwzględniania dochodów </w:t>
      </w:r>
      <w:r w:rsidR="00B63E7C">
        <w:rPr>
          <w:rFonts w:asciiTheme="minorHAnsi" w:hAnsiTheme="minorHAnsi" w:cs="Arial"/>
          <w:sz w:val="22"/>
          <w:szCs w:val="22"/>
        </w:rPr>
        <w:t>danej osoby</w:t>
      </w:r>
      <w:r w:rsidR="007E2E93">
        <w:rPr>
          <w:rFonts w:asciiTheme="minorHAnsi" w:hAnsiTheme="minorHAnsi" w:cs="Arial"/>
          <w:sz w:val="22"/>
          <w:szCs w:val="22"/>
        </w:rPr>
        <w:t xml:space="preserve"> przy ustalaniu prawa </w:t>
      </w:r>
      <w:r w:rsidR="001C494C">
        <w:rPr>
          <w:rFonts w:asciiTheme="minorHAnsi" w:hAnsiTheme="minorHAnsi" w:cs="Arial"/>
          <w:sz w:val="22"/>
          <w:szCs w:val="22"/>
        </w:rPr>
        <w:br/>
      </w:r>
      <w:r w:rsidR="007E2E93">
        <w:rPr>
          <w:rFonts w:asciiTheme="minorHAnsi" w:hAnsiTheme="minorHAnsi" w:cs="Arial"/>
          <w:sz w:val="22"/>
          <w:szCs w:val="22"/>
        </w:rPr>
        <w:t xml:space="preserve">do dopłat w kontekście np. dwóch </w:t>
      </w:r>
      <w:r w:rsidR="000E40BF">
        <w:rPr>
          <w:rFonts w:asciiTheme="minorHAnsi" w:hAnsiTheme="minorHAnsi" w:cs="Arial"/>
          <w:sz w:val="22"/>
          <w:szCs w:val="22"/>
        </w:rPr>
        <w:t xml:space="preserve">lokali </w:t>
      </w:r>
      <w:r w:rsidR="007E2E93">
        <w:rPr>
          <w:rFonts w:asciiTheme="minorHAnsi" w:hAnsiTheme="minorHAnsi" w:cs="Arial"/>
          <w:sz w:val="22"/>
          <w:szCs w:val="22"/>
        </w:rPr>
        <w:t>objętych możliwością ich stosowania),</w:t>
      </w:r>
    </w:p>
    <w:p w:rsidR="005A318B" w:rsidRPr="005A318B" w:rsidRDefault="009E7B60" w:rsidP="008915A6">
      <w:pPr>
        <w:pStyle w:val="Bezodstpw"/>
        <w:numPr>
          <w:ilvl w:val="0"/>
          <w:numId w:val="37"/>
        </w:numPr>
        <w:spacing w:after="240" w:line="240" w:lineRule="exact"/>
        <w:rPr>
          <w:rFonts w:asciiTheme="minorHAnsi" w:hAnsiTheme="minorHAnsi" w:cs="Arial"/>
          <w:sz w:val="22"/>
          <w:szCs w:val="22"/>
        </w:rPr>
      </w:pPr>
      <w:r>
        <w:rPr>
          <w:rFonts w:asciiTheme="minorHAnsi" w:hAnsiTheme="minorHAnsi" w:cs="Arial"/>
          <w:sz w:val="22"/>
          <w:szCs w:val="22"/>
        </w:rPr>
        <w:t xml:space="preserve">jest </w:t>
      </w:r>
      <w:r w:rsidR="00B555DD">
        <w:rPr>
          <w:rFonts w:asciiTheme="minorHAnsi" w:hAnsiTheme="minorHAnsi" w:cs="Arial"/>
          <w:sz w:val="22"/>
          <w:szCs w:val="22"/>
        </w:rPr>
        <w:t>używany</w:t>
      </w:r>
      <w:r w:rsidR="005A318B" w:rsidRPr="005A318B">
        <w:rPr>
          <w:rFonts w:asciiTheme="minorHAnsi" w:hAnsiTheme="minorHAnsi" w:cs="Arial"/>
          <w:sz w:val="22"/>
          <w:szCs w:val="22"/>
        </w:rPr>
        <w:t xml:space="preserve"> przez najemcę na </w:t>
      </w:r>
      <w:r w:rsidR="000E40BF">
        <w:rPr>
          <w:rFonts w:asciiTheme="minorHAnsi" w:hAnsiTheme="minorHAnsi" w:cs="Arial"/>
          <w:sz w:val="22"/>
          <w:szCs w:val="22"/>
        </w:rPr>
        <w:t xml:space="preserve">zasadzie </w:t>
      </w:r>
      <w:r w:rsidR="0023159C">
        <w:rPr>
          <w:rFonts w:asciiTheme="minorHAnsi" w:hAnsiTheme="minorHAnsi" w:cs="Arial"/>
          <w:sz w:val="22"/>
          <w:szCs w:val="22"/>
        </w:rPr>
        <w:t>pierwszego</w:t>
      </w:r>
      <w:r w:rsidR="008915A6" w:rsidRPr="008915A6">
        <w:t xml:space="preserve"> </w:t>
      </w:r>
      <w:r w:rsidR="008915A6" w:rsidRPr="008915A6">
        <w:rPr>
          <w:rFonts w:asciiTheme="minorHAnsi" w:hAnsiTheme="minorHAnsi" w:cs="Arial"/>
          <w:sz w:val="22"/>
          <w:szCs w:val="22"/>
        </w:rPr>
        <w:t>zasiedlenia</w:t>
      </w:r>
      <w:r w:rsidR="00C8122A">
        <w:rPr>
          <w:rFonts w:asciiTheme="minorHAnsi" w:hAnsiTheme="minorHAnsi" w:cs="Arial"/>
          <w:sz w:val="22"/>
          <w:szCs w:val="22"/>
        </w:rPr>
        <w:t xml:space="preserve"> (zgodnie z definicją zawartą </w:t>
      </w:r>
      <w:r w:rsidR="00362500">
        <w:rPr>
          <w:rFonts w:asciiTheme="minorHAnsi" w:hAnsiTheme="minorHAnsi" w:cs="Arial"/>
          <w:sz w:val="22"/>
          <w:szCs w:val="22"/>
        </w:rPr>
        <w:br/>
      </w:r>
      <w:r w:rsidR="00C8122A">
        <w:rPr>
          <w:rFonts w:asciiTheme="minorHAnsi" w:hAnsiTheme="minorHAnsi" w:cs="Arial"/>
          <w:sz w:val="22"/>
          <w:szCs w:val="22"/>
        </w:rPr>
        <w:t xml:space="preserve">w słowniczku do </w:t>
      </w:r>
      <w:r w:rsidR="000E40BF">
        <w:rPr>
          <w:rFonts w:asciiTheme="minorHAnsi" w:hAnsiTheme="minorHAnsi" w:cs="Arial"/>
          <w:sz w:val="22"/>
          <w:szCs w:val="22"/>
        </w:rPr>
        <w:t xml:space="preserve">projektowanej </w:t>
      </w:r>
      <w:r w:rsidR="00C8122A">
        <w:rPr>
          <w:rFonts w:asciiTheme="minorHAnsi" w:hAnsiTheme="minorHAnsi" w:cs="Arial"/>
          <w:sz w:val="22"/>
          <w:szCs w:val="22"/>
        </w:rPr>
        <w:t>ustawy)</w:t>
      </w:r>
      <w:r w:rsidR="0023159C" w:rsidRPr="008915A6">
        <w:rPr>
          <w:rFonts w:asciiTheme="minorHAnsi" w:hAnsiTheme="minorHAnsi" w:cs="Arial"/>
          <w:sz w:val="22"/>
          <w:szCs w:val="22"/>
        </w:rPr>
        <w:t>,</w:t>
      </w:r>
      <w:r w:rsidR="005A318B" w:rsidRPr="005A318B">
        <w:rPr>
          <w:rFonts w:asciiTheme="minorHAnsi" w:hAnsiTheme="minorHAnsi" w:cs="Arial"/>
          <w:sz w:val="22"/>
          <w:szCs w:val="22"/>
        </w:rPr>
        <w:t xml:space="preserve"> </w:t>
      </w:r>
    </w:p>
    <w:p w:rsidR="005A318B" w:rsidRPr="005A318B" w:rsidRDefault="009E7B60" w:rsidP="006C13C3">
      <w:pPr>
        <w:pStyle w:val="Bezodstpw"/>
        <w:numPr>
          <w:ilvl w:val="0"/>
          <w:numId w:val="37"/>
        </w:numPr>
        <w:spacing w:after="240" w:line="240" w:lineRule="exact"/>
        <w:rPr>
          <w:rFonts w:asciiTheme="minorHAnsi" w:hAnsiTheme="minorHAnsi" w:cs="Arial"/>
          <w:sz w:val="22"/>
          <w:szCs w:val="22"/>
        </w:rPr>
      </w:pPr>
      <w:r>
        <w:rPr>
          <w:rFonts w:asciiTheme="minorHAnsi" w:hAnsiTheme="minorHAnsi" w:cs="Arial"/>
          <w:sz w:val="22"/>
          <w:szCs w:val="22"/>
        </w:rPr>
        <w:t>jest</w:t>
      </w:r>
      <w:r w:rsidR="00B555DD">
        <w:rPr>
          <w:rFonts w:asciiTheme="minorHAnsi" w:hAnsiTheme="minorHAnsi" w:cs="Arial"/>
          <w:sz w:val="22"/>
          <w:szCs w:val="22"/>
        </w:rPr>
        <w:t xml:space="preserve"> położony</w:t>
      </w:r>
      <w:r w:rsidR="005A318B" w:rsidRPr="005A318B">
        <w:rPr>
          <w:rFonts w:asciiTheme="minorHAnsi" w:hAnsiTheme="minorHAnsi" w:cs="Arial"/>
          <w:sz w:val="22"/>
          <w:szCs w:val="22"/>
        </w:rPr>
        <w:t xml:space="preserve"> na teryt</w:t>
      </w:r>
      <w:r w:rsidR="0023159C">
        <w:rPr>
          <w:rFonts w:asciiTheme="minorHAnsi" w:hAnsiTheme="minorHAnsi" w:cs="Arial"/>
          <w:sz w:val="22"/>
          <w:szCs w:val="22"/>
        </w:rPr>
        <w:t>orium Rzeczypospolitej Polskiej</w:t>
      </w:r>
      <w:r w:rsidR="007E2E93">
        <w:rPr>
          <w:rFonts w:asciiTheme="minorHAnsi" w:hAnsiTheme="minorHAnsi" w:cs="Arial"/>
          <w:sz w:val="22"/>
          <w:szCs w:val="22"/>
        </w:rPr>
        <w:t xml:space="preserve"> (jest to motywowane m. in. potrzebą rozwijania rodzimego rynku najmu oraz zapewniania </w:t>
      </w:r>
      <w:r w:rsidR="007E33B5" w:rsidRPr="007E33B5">
        <w:rPr>
          <w:rFonts w:asciiTheme="minorHAnsi" w:hAnsiTheme="minorHAnsi" w:cs="Arial"/>
          <w:sz w:val="22"/>
          <w:szCs w:val="22"/>
        </w:rPr>
        <w:t xml:space="preserve">celowego i oszczędnego </w:t>
      </w:r>
      <w:r w:rsidR="007E2E93">
        <w:rPr>
          <w:rFonts w:asciiTheme="minorHAnsi" w:hAnsiTheme="minorHAnsi" w:cs="Arial"/>
          <w:sz w:val="22"/>
          <w:szCs w:val="22"/>
        </w:rPr>
        <w:t>wydatkowania środków publicznych)</w:t>
      </w:r>
      <w:r w:rsidR="0023159C">
        <w:rPr>
          <w:rFonts w:asciiTheme="minorHAnsi" w:hAnsiTheme="minorHAnsi" w:cs="Arial"/>
          <w:sz w:val="22"/>
          <w:szCs w:val="22"/>
        </w:rPr>
        <w:t>,</w:t>
      </w:r>
    </w:p>
    <w:p w:rsidR="00CC091D" w:rsidRPr="005049BB" w:rsidRDefault="009E7B60" w:rsidP="0023159C">
      <w:pPr>
        <w:pStyle w:val="Bezodstpw"/>
        <w:numPr>
          <w:ilvl w:val="0"/>
          <w:numId w:val="37"/>
        </w:numPr>
        <w:spacing w:after="240" w:line="240" w:lineRule="exact"/>
        <w:rPr>
          <w:rFonts w:asciiTheme="minorHAnsi" w:hAnsiTheme="minorHAnsi" w:cs="Arial"/>
          <w:sz w:val="22"/>
          <w:szCs w:val="22"/>
        </w:rPr>
      </w:pPr>
      <w:r>
        <w:rPr>
          <w:rFonts w:asciiTheme="minorHAnsi" w:hAnsiTheme="minorHAnsi" w:cs="Arial"/>
          <w:sz w:val="22"/>
          <w:szCs w:val="22"/>
        </w:rPr>
        <w:t>nie jest</w:t>
      </w:r>
      <w:r w:rsidR="005A318B" w:rsidRPr="005A318B">
        <w:rPr>
          <w:rFonts w:asciiTheme="minorHAnsi" w:hAnsiTheme="minorHAnsi" w:cs="Arial"/>
          <w:sz w:val="22"/>
          <w:szCs w:val="22"/>
        </w:rPr>
        <w:t xml:space="preserve"> lokalem wchodzącym w skład mieszkaniowego zasobu gminy</w:t>
      </w:r>
      <w:r w:rsidR="007E2E93">
        <w:rPr>
          <w:rFonts w:asciiTheme="minorHAnsi" w:hAnsiTheme="minorHAnsi" w:cs="Arial"/>
          <w:sz w:val="22"/>
          <w:szCs w:val="22"/>
        </w:rPr>
        <w:t xml:space="preserve"> </w:t>
      </w:r>
      <w:r w:rsidR="000E40BF">
        <w:rPr>
          <w:rFonts w:asciiTheme="minorHAnsi" w:hAnsiTheme="minorHAnsi" w:cs="Arial"/>
          <w:sz w:val="22"/>
          <w:szCs w:val="22"/>
        </w:rPr>
        <w:t xml:space="preserve">za wyjątkiem mieszkań wybudowanych przez spółki gminne z wykorzystaniem finansowania zwrotnego udzielonego na mocy </w:t>
      </w:r>
      <w:r w:rsidR="000E40BF" w:rsidRPr="000E40BF">
        <w:rPr>
          <w:rFonts w:asciiTheme="minorHAnsi" w:hAnsiTheme="minorHAnsi" w:cs="Arial"/>
          <w:i/>
          <w:sz w:val="22"/>
          <w:szCs w:val="22"/>
        </w:rPr>
        <w:t>ustawy z dnia 26 października 1995 r. o niektórych formach popierania budowni</w:t>
      </w:r>
      <w:r w:rsidR="000E40BF" w:rsidRPr="000E40BF">
        <w:rPr>
          <w:rFonts w:asciiTheme="minorHAnsi" w:hAnsiTheme="minorHAnsi" w:cs="Arial"/>
          <w:i/>
          <w:sz w:val="22"/>
          <w:szCs w:val="22"/>
        </w:rPr>
        <w:t>c</w:t>
      </w:r>
      <w:r w:rsidR="000E40BF" w:rsidRPr="000E40BF">
        <w:rPr>
          <w:rFonts w:asciiTheme="minorHAnsi" w:hAnsiTheme="minorHAnsi" w:cs="Arial"/>
          <w:i/>
          <w:sz w:val="22"/>
          <w:szCs w:val="22"/>
        </w:rPr>
        <w:t>twa mieszkaniowego</w:t>
      </w:r>
      <w:r w:rsidR="000E40BF">
        <w:rPr>
          <w:rFonts w:asciiTheme="minorHAnsi" w:hAnsiTheme="minorHAnsi" w:cs="Arial"/>
          <w:sz w:val="22"/>
          <w:szCs w:val="22"/>
        </w:rPr>
        <w:t xml:space="preserve"> </w:t>
      </w:r>
      <w:r w:rsidR="007E2E93">
        <w:rPr>
          <w:rFonts w:asciiTheme="minorHAnsi" w:hAnsiTheme="minorHAnsi" w:cs="Arial"/>
          <w:sz w:val="22"/>
          <w:szCs w:val="22"/>
        </w:rPr>
        <w:t>(cele tego przesądzenia zostały omówione w kontekście warunków m</w:t>
      </w:r>
      <w:r w:rsidR="007E2E93">
        <w:rPr>
          <w:rFonts w:asciiTheme="minorHAnsi" w:hAnsiTheme="minorHAnsi" w:cs="Arial"/>
          <w:sz w:val="22"/>
          <w:szCs w:val="22"/>
        </w:rPr>
        <w:t>a</w:t>
      </w:r>
      <w:r w:rsidR="007E2E93">
        <w:rPr>
          <w:rFonts w:asciiTheme="minorHAnsi" w:hAnsiTheme="minorHAnsi" w:cs="Arial"/>
          <w:sz w:val="22"/>
          <w:szCs w:val="22"/>
        </w:rPr>
        <w:t>jątkowych dla beneficjentów)</w:t>
      </w:r>
      <w:r w:rsidR="0023159C">
        <w:rPr>
          <w:rFonts w:asciiTheme="minorHAnsi" w:hAnsiTheme="minorHAnsi" w:cs="Arial"/>
          <w:sz w:val="22"/>
          <w:szCs w:val="22"/>
        </w:rPr>
        <w:t>.</w:t>
      </w:r>
    </w:p>
    <w:p w:rsidR="008915A6" w:rsidRDefault="008915A6" w:rsidP="00730411">
      <w:pPr>
        <w:tabs>
          <w:tab w:val="left" w:pos="540"/>
        </w:tabs>
        <w:spacing w:after="240" w:line="240" w:lineRule="exact"/>
        <w:rPr>
          <w:rFonts w:asciiTheme="minorHAnsi" w:hAnsiTheme="minorHAnsi" w:cs="Arial"/>
          <w:sz w:val="22"/>
          <w:szCs w:val="22"/>
        </w:rPr>
      </w:pPr>
      <w:r>
        <w:rPr>
          <w:rFonts w:asciiTheme="minorHAnsi" w:hAnsiTheme="minorHAnsi" w:cs="Arial"/>
          <w:sz w:val="22"/>
          <w:szCs w:val="22"/>
        </w:rPr>
        <w:t xml:space="preserve">W kontekście warunku wskazanego w </w:t>
      </w:r>
      <w:r w:rsidR="00B26738">
        <w:rPr>
          <w:rFonts w:asciiTheme="minorHAnsi" w:hAnsiTheme="minorHAnsi" w:cs="Arial"/>
          <w:sz w:val="22"/>
          <w:szCs w:val="22"/>
        </w:rPr>
        <w:t>pu</w:t>
      </w:r>
      <w:r w:rsidR="00C60E6A">
        <w:rPr>
          <w:rFonts w:asciiTheme="minorHAnsi" w:hAnsiTheme="minorHAnsi" w:cs="Arial"/>
          <w:sz w:val="22"/>
          <w:szCs w:val="22"/>
        </w:rPr>
        <w:t>n</w:t>
      </w:r>
      <w:r w:rsidR="00B26738">
        <w:rPr>
          <w:rFonts w:asciiTheme="minorHAnsi" w:hAnsiTheme="minorHAnsi" w:cs="Arial"/>
          <w:sz w:val="22"/>
          <w:szCs w:val="22"/>
        </w:rPr>
        <w:t>kcie</w:t>
      </w:r>
      <w:r>
        <w:rPr>
          <w:rFonts w:asciiTheme="minorHAnsi" w:hAnsiTheme="minorHAnsi" w:cs="Arial"/>
          <w:sz w:val="22"/>
          <w:szCs w:val="22"/>
        </w:rPr>
        <w:t xml:space="preserve"> drugim należy zauważyć, że </w:t>
      </w:r>
      <w:r w:rsidRPr="008915A6">
        <w:rPr>
          <w:rFonts w:asciiTheme="minorHAnsi" w:hAnsiTheme="minorHAnsi" w:cs="Arial"/>
          <w:sz w:val="22"/>
          <w:szCs w:val="22"/>
        </w:rPr>
        <w:t xml:space="preserve">uzasadnieniem </w:t>
      </w:r>
      <w:r w:rsidR="00EB16EA">
        <w:rPr>
          <w:rFonts w:asciiTheme="minorHAnsi" w:hAnsiTheme="minorHAnsi" w:cs="Arial"/>
          <w:sz w:val="22"/>
          <w:szCs w:val="22"/>
        </w:rPr>
        <w:t>dla ogran</w:t>
      </w:r>
      <w:r w:rsidR="00EB16EA">
        <w:rPr>
          <w:rFonts w:asciiTheme="minorHAnsi" w:hAnsiTheme="minorHAnsi" w:cs="Arial"/>
          <w:sz w:val="22"/>
          <w:szCs w:val="22"/>
        </w:rPr>
        <w:t>i</w:t>
      </w:r>
      <w:r w:rsidR="00EB16EA">
        <w:rPr>
          <w:rFonts w:asciiTheme="minorHAnsi" w:hAnsiTheme="minorHAnsi" w:cs="Arial"/>
          <w:sz w:val="22"/>
          <w:szCs w:val="22"/>
        </w:rPr>
        <w:t xml:space="preserve">czenia zakresu stosowania dopłat do rynku pierwotnego </w:t>
      </w:r>
      <w:r w:rsidRPr="008915A6">
        <w:rPr>
          <w:rFonts w:asciiTheme="minorHAnsi" w:hAnsiTheme="minorHAnsi" w:cs="Arial"/>
          <w:sz w:val="22"/>
          <w:szCs w:val="22"/>
        </w:rPr>
        <w:t>jest proinwestycyjny cel projektowanej ustawy</w:t>
      </w:r>
      <w:r w:rsidR="00EB16EA">
        <w:rPr>
          <w:rFonts w:asciiTheme="minorHAnsi" w:hAnsiTheme="minorHAnsi" w:cs="Arial"/>
          <w:sz w:val="22"/>
          <w:szCs w:val="22"/>
        </w:rPr>
        <w:t>. Jak wspomniano we wstępie,</w:t>
      </w:r>
      <w:r w:rsidRPr="008915A6">
        <w:rPr>
          <w:rFonts w:asciiTheme="minorHAnsi" w:hAnsiTheme="minorHAnsi" w:cs="Arial"/>
          <w:sz w:val="22"/>
          <w:szCs w:val="22"/>
        </w:rPr>
        <w:t xml:space="preserve"> ma </w:t>
      </w:r>
      <w:r w:rsidR="00EB16EA">
        <w:rPr>
          <w:rFonts w:asciiTheme="minorHAnsi" w:hAnsiTheme="minorHAnsi" w:cs="Arial"/>
          <w:sz w:val="22"/>
          <w:szCs w:val="22"/>
        </w:rPr>
        <w:t xml:space="preserve">ona </w:t>
      </w:r>
      <w:r w:rsidRPr="008915A6">
        <w:rPr>
          <w:rFonts w:asciiTheme="minorHAnsi" w:hAnsiTheme="minorHAnsi" w:cs="Arial"/>
          <w:sz w:val="22"/>
          <w:szCs w:val="22"/>
        </w:rPr>
        <w:t>za zadanie pobudzić inwestorów do większego zaang</w:t>
      </w:r>
      <w:r w:rsidRPr="008915A6">
        <w:rPr>
          <w:rFonts w:asciiTheme="minorHAnsi" w:hAnsiTheme="minorHAnsi" w:cs="Arial"/>
          <w:sz w:val="22"/>
          <w:szCs w:val="22"/>
        </w:rPr>
        <w:t>a</w:t>
      </w:r>
      <w:r w:rsidRPr="008915A6">
        <w:rPr>
          <w:rFonts w:asciiTheme="minorHAnsi" w:hAnsiTheme="minorHAnsi" w:cs="Arial"/>
          <w:sz w:val="22"/>
          <w:szCs w:val="22"/>
        </w:rPr>
        <w:t>żowania się w</w:t>
      </w:r>
      <w:r w:rsidR="00EB16EA">
        <w:rPr>
          <w:rFonts w:asciiTheme="minorHAnsi" w:hAnsiTheme="minorHAnsi" w:cs="Arial"/>
          <w:sz w:val="22"/>
          <w:szCs w:val="22"/>
        </w:rPr>
        <w:t xml:space="preserve"> realizację inwestycji mieszkaniowych skutkujących rozwojem rynku </w:t>
      </w:r>
      <w:r w:rsidR="0006458D">
        <w:rPr>
          <w:rFonts w:asciiTheme="minorHAnsi" w:hAnsiTheme="minorHAnsi" w:cs="Arial"/>
          <w:sz w:val="22"/>
          <w:szCs w:val="22"/>
        </w:rPr>
        <w:t>lokali mieszkalnych</w:t>
      </w:r>
      <w:r w:rsidR="00EB16EA">
        <w:rPr>
          <w:rFonts w:asciiTheme="minorHAnsi" w:hAnsiTheme="minorHAnsi" w:cs="Arial"/>
          <w:sz w:val="22"/>
          <w:szCs w:val="22"/>
        </w:rPr>
        <w:t xml:space="preserve"> na wynajem</w:t>
      </w:r>
      <w:r w:rsidR="0006458D">
        <w:rPr>
          <w:rFonts w:asciiTheme="minorHAnsi" w:hAnsiTheme="minorHAnsi" w:cs="Arial"/>
          <w:sz w:val="22"/>
          <w:szCs w:val="22"/>
        </w:rPr>
        <w:t xml:space="preserve"> (w tym</w:t>
      </w:r>
      <w:r w:rsidR="00C8122A">
        <w:rPr>
          <w:rFonts w:asciiTheme="minorHAnsi" w:hAnsiTheme="minorHAnsi" w:cs="Arial"/>
          <w:sz w:val="22"/>
          <w:szCs w:val="22"/>
        </w:rPr>
        <w:t xml:space="preserve"> gł</w:t>
      </w:r>
      <w:r w:rsidR="000E40BF">
        <w:rPr>
          <w:rFonts w:asciiTheme="minorHAnsi" w:hAnsiTheme="minorHAnsi" w:cs="Arial"/>
          <w:sz w:val="22"/>
          <w:szCs w:val="22"/>
        </w:rPr>
        <w:t>ó</w:t>
      </w:r>
      <w:r w:rsidR="00C8122A">
        <w:rPr>
          <w:rFonts w:asciiTheme="minorHAnsi" w:hAnsiTheme="minorHAnsi" w:cs="Arial"/>
          <w:sz w:val="22"/>
          <w:szCs w:val="22"/>
        </w:rPr>
        <w:t>wnie</w:t>
      </w:r>
      <w:r w:rsidR="0006458D">
        <w:rPr>
          <w:rFonts w:asciiTheme="minorHAnsi" w:hAnsiTheme="minorHAnsi" w:cs="Arial"/>
          <w:sz w:val="22"/>
          <w:szCs w:val="22"/>
        </w:rPr>
        <w:t xml:space="preserve"> rozwojem instytucjonalnego rynku takich lokali</w:t>
      </w:r>
      <w:r w:rsidR="00C8122A">
        <w:rPr>
          <w:rFonts w:asciiTheme="minorHAnsi" w:hAnsiTheme="minorHAnsi" w:cs="Arial"/>
          <w:sz w:val="22"/>
          <w:szCs w:val="22"/>
        </w:rPr>
        <w:t xml:space="preserve">, na wzór rozwiązań </w:t>
      </w:r>
      <w:r w:rsidR="000E40BF">
        <w:rPr>
          <w:rFonts w:asciiTheme="minorHAnsi" w:hAnsiTheme="minorHAnsi" w:cs="Arial"/>
          <w:sz w:val="22"/>
          <w:szCs w:val="22"/>
        </w:rPr>
        <w:t>u</w:t>
      </w:r>
      <w:r w:rsidR="00C8122A">
        <w:rPr>
          <w:rFonts w:asciiTheme="minorHAnsi" w:hAnsiTheme="minorHAnsi" w:cs="Arial"/>
          <w:sz w:val="22"/>
          <w:szCs w:val="22"/>
        </w:rPr>
        <w:t>powszechn</w:t>
      </w:r>
      <w:r w:rsidR="000E40BF">
        <w:rPr>
          <w:rFonts w:asciiTheme="minorHAnsi" w:hAnsiTheme="minorHAnsi" w:cs="Arial"/>
          <w:sz w:val="22"/>
          <w:szCs w:val="22"/>
        </w:rPr>
        <w:t>ion</w:t>
      </w:r>
      <w:r w:rsidR="00C8122A">
        <w:rPr>
          <w:rFonts w:asciiTheme="minorHAnsi" w:hAnsiTheme="minorHAnsi" w:cs="Arial"/>
          <w:sz w:val="22"/>
          <w:szCs w:val="22"/>
        </w:rPr>
        <w:t>ych w Europie zachodniej i północnej</w:t>
      </w:r>
      <w:r w:rsidR="0006458D">
        <w:rPr>
          <w:rFonts w:asciiTheme="minorHAnsi" w:hAnsiTheme="minorHAnsi" w:cs="Arial"/>
          <w:sz w:val="22"/>
          <w:szCs w:val="22"/>
        </w:rPr>
        <w:t>)</w:t>
      </w:r>
      <w:r w:rsidR="00EB16EA">
        <w:rPr>
          <w:rFonts w:asciiTheme="minorHAnsi" w:hAnsiTheme="minorHAnsi" w:cs="Arial"/>
          <w:sz w:val="22"/>
          <w:szCs w:val="22"/>
        </w:rPr>
        <w:t>, co jest zgodne z diagnozą postawioną w Nar</w:t>
      </w:r>
      <w:r w:rsidR="00EB16EA">
        <w:rPr>
          <w:rFonts w:asciiTheme="minorHAnsi" w:hAnsiTheme="minorHAnsi" w:cs="Arial"/>
          <w:sz w:val="22"/>
          <w:szCs w:val="22"/>
        </w:rPr>
        <w:t>o</w:t>
      </w:r>
      <w:r w:rsidR="00EB16EA">
        <w:rPr>
          <w:rFonts w:asciiTheme="minorHAnsi" w:hAnsiTheme="minorHAnsi" w:cs="Arial"/>
          <w:sz w:val="22"/>
          <w:szCs w:val="22"/>
        </w:rPr>
        <w:t xml:space="preserve">dowym Programie Mieszkaniowym. Celem z tym związanym jest również otwarcie instrumentu na </w:t>
      </w:r>
      <w:r w:rsidR="00826C16">
        <w:rPr>
          <w:rFonts w:asciiTheme="minorHAnsi" w:hAnsiTheme="minorHAnsi" w:cs="Arial"/>
          <w:sz w:val="22"/>
          <w:szCs w:val="22"/>
        </w:rPr>
        <w:t>osoby wkraczające</w:t>
      </w:r>
      <w:r w:rsidR="00EB16EA">
        <w:rPr>
          <w:rFonts w:asciiTheme="minorHAnsi" w:hAnsiTheme="minorHAnsi" w:cs="Arial"/>
          <w:sz w:val="22"/>
          <w:szCs w:val="22"/>
        </w:rPr>
        <w:t xml:space="preserve"> dopiero w przestrzeń zawodową, któr</w:t>
      </w:r>
      <w:r w:rsidR="00826C16">
        <w:rPr>
          <w:rFonts w:asciiTheme="minorHAnsi" w:hAnsiTheme="minorHAnsi" w:cs="Arial"/>
          <w:sz w:val="22"/>
          <w:szCs w:val="22"/>
        </w:rPr>
        <w:t>e</w:t>
      </w:r>
      <w:r w:rsidR="00EB16EA">
        <w:rPr>
          <w:rFonts w:asciiTheme="minorHAnsi" w:hAnsiTheme="minorHAnsi" w:cs="Arial"/>
          <w:sz w:val="22"/>
          <w:szCs w:val="22"/>
        </w:rPr>
        <w:t xml:space="preserve"> mają jeszcze trudności w utrzymaniu lokali mieszkalnych. Dedykowanie im nowego, stabilnego w użytkowaniu zasobu zapewni im dobry i godny start w początkowym okresie wyzwań dorosłości.</w:t>
      </w:r>
    </w:p>
    <w:p w:rsidR="00D13206" w:rsidRDefault="00D13206" w:rsidP="00730411">
      <w:pPr>
        <w:tabs>
          <w:tab w:val="left" w:pos="540"/>
        </w:tabs>
        <w:spacing w:after="240" w:line="240" w:lineRule="exact"/>
        <w:rPr>
          <w:rFonts w:asciiTheme="minorHAnsi" w:hAnsiTheme="minorHAnsi" w:cs="Arial"/>
          <w:sz w:val="22"/>
          <w:szCs w:val="22"/>
        </w:rPr>
      </w:pPr>
      <w:r>
        <w:rPr>
          <w:rFonts w:asciiTheme="minorHAnsi" w:hAnsiTheme="minorHAnsi" w:cs="Arial"/>
          <w:sz w:val="22"/>
          <w:szCs w:val="22"/>
        </w:rPr>
        <w:t>Warto zauważyć, że w</w:t>
      </w:r>
      <w:r w:rsidRPr="00D13206">
        <w:rPr>
          <w:rFonts w:asciiTheme="minorHAnsi" w:hAnsiTheme="minorHAnsi" w:cs="Arial"/>
          <w:sz w:val="22"/>
          <w:szCs w:val="22"/>
        </w:rPr>
        <w:t xml:space="preserve"> przypadku </w:t>
      </w:r>
      <w:r w:rsidR="00C207AE">
        <w:rPr>
          <w:rFonts w:asciiTheme="minorHAnsi" w:hAnsiTheme="minorHAnsi" w:cs="Arial"/>
          <w:sz w:val="22"/>
          <w:szCs w:val="22"/>
        </w:rPr>
        <w:t xml:space="preserve">ewentualnego </w:t>
      </w:r>
      <w:r w:rsidRPr="00D13206">
        <w:rPr>
          <w:rFonts w:asciiTheme="minorHAnsi" w:hAnsiTheme="minorHAnsi" w:cs="Arial"/>
          <w:sz w:val="22"/>
          <w:szCs w:val="22"/>
        </w:rPr>
        <w:t>wprowadzenia dopłat na rynek wtórny, obok braku możliwości przewidzenia skutków budżetowych takiego rozwiązania, występuje ryzyko wzrostu pop</w:t>
      </w:r>
      <w:r w:rsidRPr="00D13206">
        <w:rPr>
          <w:rFonts w:asciiTheme="minorHAnsi" w:hAnsiTheme="minorHAnsi" w:cs="Arial"/>
          <w:sz w:val="22"/>
          <w:szCs w:val="22"/>
        </w:rPr>
        <w:t>y</w:t>
      </w:r>
      <w:r w:rsidRPr="00D13206">
        <w:rPr>
          <w:rFonts w:asciiTheme="minorHAnsi" w:hAnsiTheme="minorHAnsi" w:cs="Arial"/>
          <w:sz w:val="22"/>
          <w:szCs w:val="22"/>
        </w:rPr>
        <w:t xml:space="preserve">tu przy danej nieelastycznej podaży, co </w:t>
      </w:r>
      <w:r>
        <w:rPr>
          <w:rFonts w:asciiTheme="minorHAnsi" w:hAnsiTheme="minorHAnsi" w:cs="Arial"/>
          <w:sz w:val="22"/>
          <w:szCs w:val="22"/>
        </w:rPr>
        <w:t xml:space="preserve">może </w:t>
      </w:r>
      <w:r w:rsidRPr="00D13206">
        <w:rPr>
          <w:rFonts w:asciiTheme="minorHAnsi" w:hAnsiTheme="minorHAnsi" w:cs="Arial"/>
          <w:sz w:val="22"/>
          <w:szCs w:val="22"/>
        </w:rPr>
        <w:t>prowadzi</w:t>
      </w:r>
      <w:r>
        <w:rPr>
          <w:rFonts w:asciiTheme="minorHAnsi" w:hAnsiTheme="minorHAnsi" w:cs="Arial"/>
          <w:sz w:val="22"/>
          <w:szCs w:val="22"/>
        </w:rPr>
        <w:t>ć</w:t>
      </w:r>
      <w:r w:rsidRPr="00D13206">
        <w:rPr>
          <w:rFonts w:asciiTheme="minorHAnsi" w:hAnsiTheme="minorHAnsi" w:cs="Arial"/>
          <w:sz w:val="22"/>
          <w:szCs w:val="22"/>
        </w:rPr>
        <w:t xml:space="preserve"> do wzrostu stawek czynszowych. W takiej sytuacji środki budżetowe trafiłyby </w:t>
      </w:r>
      <w:r w:rsidRPr="00D13206">
        <w:rPr>
          <w:rFonts w:asciiTheme="minorHAnsi" w:hAnsiTheme="minorHAnsi" w:cs="Arial"/>
          <w:i/>
          <w:sz w:val="22"/>
          <w:szCs w:val="22"/>
        </w:rPr>
        <w:t>de facto</w:t>
      </w:r>
      <w:r w:rsidRPr="00D13206">
        <w:rPr>
          <w:rFonts w:asciiTheme="minorHAnsi" w:hAnsiTheme="minorHAnsi" w:cs="Arial"/>
          <w:sz w:val="22"/>
          <w:szCs w:val="22"/>
        </w:rPr>
        <w:t xml:space="preserve"> do właścicieli mieszkań na wynajem, nie mając realnego wpływu na sytuację najemców.</w:t>
      </w:r>
    </w:p>
    <w:p w:rsidR="00191BEC" w:rsidRDefault="00D943F3" w:rsidP="00D943F3">
      <w:pPr>
        <w:tabs>
          <w:tab w:val="left" w:pos="540"/>
        </w:tabs>
        <w:spacing w:after="240" w:line="240" w:lineRule="exact"/>
        <w:rPr>
          <w:rFonts w:asciiTheme="minorHAnsi" w:hAnsiTheme="minorHAnsi" w:cs="Arial"/>
          <w:sz w:val="22"/>
          <w:szCs w:val="22"/>
        </w:rPr>
      </w:pPr>
      <w:r w:rsidRPr="00D943F3">
        <w:rPr>
          <w:rFonts w:asciiTheme="minorHAnsi" w:hAnsiTheme="minorHAnsi" w:cs="Arial"/>
          <w:sz w:val="22"/>
          <w:szCs w:val="22"/>
        </w:rPr>
        <w:t xml:space="preserve">Niezależnie od powyższego, należy przypomnieć, że instrument nie ma charakteru powszechnego – </w:t>
      </w:r>
      <w:r w:rsidR="00A20E63">
        <w:rPr>
          <w:rFonts w:asciiTheme="minorHAnsi" w:hAnsiTheme="minorHAnsi" w:cs="Arial"/>
          <w:sz w:val="22"/>
          <w:szCs w:val="22"/>
        </w:rPr>
        <w:br/>
      </w:r>
      <w:r w:rsidRPr="00D943F3">
        <w:rPr>
          <w:rFonts w:asciiTheme="minorHAnsi" w:hAnsiTheme="minorHAnsi" w:cs="Arial"/>
          <w:sz w:val="22"/>
          <w:szCs w:val="22"/>
        </w:rPr>
        <w:t xml:space="preserve">z uwagi na charakter propodażowy stosowanie dopłat jest związane jedynie z mieszkaniami będącymi przedmiotem inwestycji </w:t>
      </w:r>
      <w:r w:rsidR="00A20E63">
        <w:rPr>
          <w:rFonts w:asciiTheme="minorHAnsi" w:hAnsiTheme="minorHAnsi" w:cs="Arial"/>
          <w:sz w:val="22"/>
          <w:szCs w:val="22"/>
        </w:rPr>
        <w:t>mieszkaniowych w rozumieniu projektowanej ustawy</w:t>
      </w:r>
      <w:r w:rsidRPr="00D943F3">
        <w:rPr>
          <w:rFonts w:asciiTheme="minorHAnsi" w:hAnsiTheme="minorHAnsi" w:cs="Arial"/>
          <w:sz w:val="22"/>
          <w:szCs w:val="22"/>
        </w:rPr>
        <w:t xml:space="preserve">. Prawo ubiegania się </w:t>
      </w:r>
      <w:r w:rsidR="00A20E63">
        <w:rPr>
          <w:rFonts w:asciiTheme="minorHAnsi" w:hAnsiTheme="minorHAnsi" w:cs="Arial"/>
          <w:sz w:val="22"/>
          <w:szCs w:val="22"/>
        </w:rPr>
        <w:br/>
      </w:r>
      <w:r w:rsidRPr="00D943F3">
        <w:rPr>
          <w:rFonts w:asciiTheme="minorHAnsi" w:hAnsiTheme="minorHAnsi" w:cs="Arial"/>
          <w:sz w:val="22"/>
          <w:szCs w:val="22"/>
        </w:rPr>
        <w:t xml:space="preserve">o dopłaty przysługuje wyłącznie </w:t>
      </w:r>
      <w:r w:rsidR="00A20E63">
        <w:rPr>
          <w:rFonts w:asciiTheme="minorHAnsi" w:hAnsiTheme="minorHAnsi" w:cs="Arial"/>
          <w:sz w:val="22"/>
          <w:szCs w:val="22"/>
        </w:rPr>
        <w:t xml:space="preserve">pierwszym </w:t>
      </w:r>
      <w:r w:rsidRPr="00D943F3">
        <w:rPr>
          <w:rFonts w:asciiTheme="minorHAnsi" w:hAnsiTheme="minorHAnsi" w:cs="Arial"/>
          <w:sz w:val="22"/>
          <w:szCs w:val="22"/>
        </w:rPr>
        <w:t xml:space="preserve">najemcom mieszkań objętych </w:t>
      </w:r>
      <w:r w:rsidR="00A20E63">
        <w:rPr>
          <w:rFonts w:asciiTheme="minorHAnsi" w:hAnsiTheme="minorHAnsi" w:cs="Arial"/>
          <w:sz w:val="22"/>
          <w:szCs w:val="22"/>
        </w:rPr>
        <w:t>umową</w:t>
      </w:r>
      <w:r w:rsidRPr="00D943F3">
        <w:rPr>
          <w:rFonts w:asciiTheme="minorHAnsi" w:hAnsiTheme="minorHAnsi" w:cs="Arial"/>
          <w:sz w:val="22"/>
          <w:szCs w:val="22"/>
        </w:rPr>
        <w:t xml:space="preserve"> między inwestorem a gminą. Z istoty samego instrumentu, motywowanej celami regulacji, wynika zatem ograniczony zakres lokali</w:t>
      </w:r>
      <w:r w:rsidR="00A20E63">
        <w:rPr>
          <w:rFonts w:asciiTheme="minorHAnsi" w:hAnsiTheme="minorHAnsi" w:cs="Arial"/>
          <w:sz w:val="22"/>
          <w:szCs w:val="22"/>
        </w:rPr>
        <w:t xml:space="preserve"> mieszkalnych</w:t>
      </w:r>
      <w:r w:rsidRPr="00D943F3">
        <w:rPr>
          <w:rFonts w:asciiTheme="minorHAnsi" w:hAnsiTheme="minorHAnsi" w:cs="Arial"/>
          <w:sz w:val="22"/>
          <w:szCs w:val="22"/>
        </w:rPr>
        <w:t xml:space="preserve">, z najmem których mogą być związane dopłaty. </w:t>
      </w:r>
      <w:r w:rsidR="00A20E63">
        <w:rPr>
          <w:rFonts w:asciiTheme="minorHAnsi" w:hAnsiTheme="minorHAnsi" w:cs="Arial"/>
          <w:sz w:val="22"/>
          <w:szCs w:val="22"/>
        </w:rPr>
        <w:t xml:space="preserve">Takie przesądzenie nie </w:t>
      </w:r>
      <w:r w:rsidR="00A20E63">
        <w:rPr>
          <w:rFonts w:asciiTheme="minorHAnsi" w:hAnsiTheme="minorHAnsi" w:cs="Arial"/>
          <w:sz w:val="22"/>
          <w:szCs w:val="22"/>
        </w:rPr>
        <w:lastRenderedPageBreak/>
        <w:t>stanowi naruszenia konstytucyjnej zasady równości, n</w:t>
      </w:r>
      <w:r w:rsidRPr="00D943F3">
        <w:rPr>
          <w:rFonts w:asciiTheme="minorHAnsi" w:hAnsiTheme="minorHAnsi" w:cs="Arial"/>
          <w:sz w:val="22"/>
          <w:szCs w:val="22"/>
        </w:rPr>
        <w:t xml:space="preserve">ależy bowiem zauważyć, że wszyscy pierwsi najemcy </w:t>
      </w:r>
      <w:r w:rsidR="00A20E63">
        <w:rPr>
          <w:rFonts w:asciiTheme="minorHAnsi" w:hAnsiTheme="minorHAnsi" w:cs="Arial"/>
          <w:sz w:val="22"/>
          <w:szCs w:val="22"/>
        </w:rPr>
        <w:t>lokali</w:t>
      </w:r>
      <w:r w:rsidRPr="00D943F3">
        <w:rPr>
          <w:rFonts w:asciiTheme="minorHAnsi" w:hAnsiTheme="minorHAnsi" w:cs="Arial"/>
          <w:sz w:val="22"/>
          <w:szCs w:val="22"/>
        </w:rPr>
        <w:t xml:space="preserve"> objętych prawem do dopłat mogą </w:t>
      </w:r>
      <w:r w:rsidR="00A20E63">
        <w:rPr>
          <w:rFonts w:asciiTheme="minorHAnsi" w:hAnsiTheme="minorHAnsi" w:cs="Arial"/>
          <w:sz w:val="22"/>
          <w:szCs w:val="22"/>
        </w:rPr>
        <w:t>się ubiegać o dopłaty</w:t>
      </w:r>
      <w:r w:rsidRPr="00D943F3">
        <w:rPr>
          <w:rFonts w:asciiTheme="minorHAnsi" w:hAnsiTheme="minorHAnsi" w:cs="Arial"/>
          <w:sz w:val="22"/>
          <w:szCs w:val="22"/>
        </w:rPr>
        <w:t xml:space="preserve">. Warunkiem jest </w:t>
      </w:r>
      <w:r w:rsidR="00A20E63">
        <w:rPr>
          <w:rFonts w:asciiTheme="minorHAnsi" w:hAnsiTheme="minorHAnsi" w:cs="Arial"/>
          <w:sz w:val="22"/>
          <w:szCs w:val="22"/>
        </w:rPr>
        <w:t xml:space="preserve">jednak </w:t>
      </w:r>
      <w:r w:rsidRPr="00D943F3">
        <w:rPr>
          <w:rFonts w:asciiTheme="minorHAnsi" w:hAnsiTheme="minorHAnsi" w:cs="Arial"/>
          <w:sz w:val="22"/>
          <w:szCs w:val="22"/>
        </w:rPr>
        <w:t>spe</w:t>
      </w:r>
      <w:r w:rsidRPr="00D943F3">
        <w:rPr>
          <w:rFonts w:asciiTheme="minorHAnsi" w:hAnsiTheme="minorHAnsi" w:cs="Arial"/>
          <w:sz w:val="22"/>
          <w:szCs w:val="22"/>
        </w:rPr>
        <w:t>ł</w:t>
      </w:r>
      <w:r w:rsidRPr="00D943F3">
        <w:rPr>
          <w:rFonts w:asciiTheme="minorHAnsi" w:hAnsiTheme="minorHAnsi" w:cs="Arial"/>
          <w:sz w:val="22"/>
          <w:szCs w:val="22"/>
        </w:rPr>
        <w:t>nianie wymogów dla beneficjentów dop</w:t>
      </w:r>
      <w:r w:rsidR="00A20E63">
        <w:rPr>
          <w:rFonts w:asciiTheme="minorHAnsi" w:hAnsiTheme="minorHAnsi" w:cs="Arial"/>
          <w:sz w:val="22"/>
          <w:szCs w:val="22"/>
        </w:rPr>
        <w:t xml:space="preserve">łat, np. warunków dochodowych. </w:t>
      </w:r>
      <w:r w:rsidRPr="00D943F3">
        <w:rPr>
          <w:rFonts w:asciiTheme="minorHAnsi" w:hAnsiTheme="minorHAnsi" w:cs="Arial"/>
          <w:sz w:val="22"/>
          <w:szCs w:val="22"/>
        </w:rPr>
        <w:t xml:space="preserve">Innymi słowy, jeżeli dana osoba </w:t>
      </w:r>
      <w:r w:rsidR="00A20E63">
        <w:rPr>
          <w:rFonts w:asciiTheme="minorHAnsi" w:hAnsiTheme="minorHAnsi" w:cs="Arial"/>
          <w:sz w:val="22"/>
          <w:szCs w:val="22"/>
        </w:rPr>
        <w:t>upatruje możliwości poprawy swojej sytuacji mieszkaniowej w otrzymywaniu dopłat</w:t>
      </w:r>
      <w:r w:rsidRPr="00D943F3">
        <w:rPr>
          <w:rFonts w:asciiTheme="minorHAnsi" w:hAnsiTheme="minorHAnsi" w:cs="Arial"/>
          <w:sz w:val="22"/>
          <w:szCs w:val="22"/>
        </w:rPr>
        <w:t xml:space="preserve">, ubiega się o najem </w:t>
      </w:r>
      <w:r w:rsidR="008A7C90" w:rsidRPr="008A7C90">
        <w:rPr>
          <w:rFonts w:asciiTheme="minorHAnsi" w:hAnsiTheme="minorHAnsi" w:cs="Arial"/>
          <w:sz w:val="22"/>
          <w:szCs w:val="22"/>
        </w:rPr>
        <w:t>niezasiedlanego dotychczas lokalu objętego taką możliwością</w:t>
      </w:r>
      <w:r w:rsidRPr="00D943F3">
        <w:rPr>
          <w:rFonts w:asciiTheme="minorHAnsi" w:hAnsiTheme="minorHAnsi" w:cs="Arial"/>
          <w:sz w:val="22"/>
          <w:szCs w:val="22"/>
        </w:rPr>
        <w:t>.</w:t>
      </w:r>
    </w:p>
    <w:p w:rsidR="009E7B60" w:rsidRDefault="00EB16EA" w:rsidP="00730411">
      <w:pPr>
        <w:tabs>
          <w:tab w:val="left" w:pos="540"/>
        </w:tabs>
        <w:spacing w:after="240" w:line="240" w:lineRule="exact"/>
        <w:rPr>
          <w:rFonts w:asciiTheme="minorHAnsi" w:hAnsiTheme="minorHAnsi" w:cs="Arial"/>
          <w:sz w:val="22"/>
          <w:szCs w:val="22"/>
        </w:rPr>
      </w:pPr>
      <w:r>
        <w:rPr>
          <w:rFonts w:asciiTheme="minorHAnsi" w:hAnsiTheme="minorHAnsi" w:cs="Arial"/>
          <w:sz w:val="22"/>
          <w:szCs w:val="22"/>
        </w:rPr>
        <w:t>Niezależnie od powyższego p</w:t>
      </w:r>
      <w:r w:rsidR="009E7B60" w:rsidRPr="009E7B60">
        <w:rPr>
          <w:rFonts w:asciiTheme="minorHAnsi" w:hAnsiTheme="minorHAnsi" w:cs="Arial"/>
          <w:sz w:val="22"/>
          <w:szCs w:val="22"/>
        </w:rPr>
        <w:t xml:space="preserve">rojektodawca wprowadza możliwość objęcia dopłatami również </w:t>
      </w:r>
      <w:r>
        <w:rPr>
          <w:rFonts w:asciiTheme="minorHAnsi" w:hAnsiTheme="minorHAnsi" w:cs="Arial"/>
          <w:sz w:val="22"/>
          <w:szCs w:val="22"/>
        </w:rPr>
        <w:t xml:space="preserve">tych </w:t>
      </w:r>
      <w:r w:rsidR="009E7B60" w:rsidRPr="009E7B60">
        <w:rPr>
          <w:rFonts w:asciiTheme="minorHAnsi" w:hAnsiTheme="minorHAnsi" w:cs="Arial"/>
          <w:sz w:val="22"/>
          <w:szCs w:val="22"/>
        </w:rPr>
        <w:t>lokali, które są już od pewnego czasu użytkowane przez najemcę</w:t>
      </w:r>
      <w:r>
        <w:rPr>
          <w:rFonts w:asciiTheme="minorHAnsi" w:hAnsiTheme="minorHAnsi" w:cs="Arial"/>
          <w:sz w:val="22"/>
          <w:szCs w:val="22"/>
        </w:rPr>
        <w:t xml:space="preserve"> na </w:t>
      </w:r>
      <w:r w:rsidR="000E40BF">
        <w:rPr>
          <w:rFonts w:asciiTheme="minorHAnsi" w:hAnsiTheme="minorHAnsi" w:cs="Arial"/>
          <w:sz w:val="22"/>
          <w:szCs w:val="22"/>
        </w:rPr>
        <w:t xml:space="preserve">zasadzie </w:t>
      </w:r>
      <w:r>
        <w:rPr>
          <w:rFonts w:asciiTheme="minorHAnsi" w:hAnsiTheme="minorHAnsi" w:cs="Arial"/>
          <w:sz w:val="22"/>
          <w:szCs w:val="22"/>
        </w:rPr>
        <w:t>pierwszego zasiedlenia</w:t>
      </w:r>
      <w:r w:rsidR="009E7B60" w:rsidRPr="009E7B60">
        <w:rPr>
          <w:rFonts w:asciiTheme="minorHAnsi" w:hAnsiTheme="minorHAnsi" w:cs="Arial"/>
          <w:sz w:val="22"/>
          <w:szCs w:val="22"/>
        </w:rPr>
        <w:t xml:space="preserve">. </w:t>
      </w:r>
      <w:r w:rsidR="009E7B60">
        <w:rPr>
          <w:rFonts w:asciiTheme="minorHAnsi" w:hAnsiTheme="minorHAnsi" w:cs="Arial"/>
          <w:sz w:val="22"/>
          <w:szCs w:val="22"/>
        </w:rPr>
        <w:t xml:space="preserve">Do </w:t>
      </w:r>
      <w:r w:rsidR="009E7B60" w:rsidRPr="009E7B60">
        <w:rPr>
          <w:rFonts w:asciiTheme="minorHAnsi" w:hAnsiTheme="minorHAnsi" w:cs="Arial"/>
          <w:sz w:val="22"/>
          <w:szCs w:val="22"/>
        </w:rPr>
        <w:t xml:space="preserve">stosowania dopłat </w:t>
      </w:r>
      <w:r w:rsidR="009E7B60">
        <w:rPr>
          <w:rFonts w:asciiTheme="minorHAnsi" w:hAnsiTheme="minorHAnsi" w:cs="Arial"/>
          <w:sz w:val="22"/>
          <w:szCs w:val="22"/>
        </w:rPr>
        <w:t>w takim przypadku konieczne jest jednak to, by pierwsze zasiedlenie tego lok</w:t>
      </w:r>
      <w:r w:rsidR="009E7B60">
        <w:rPr>
          <w:rFonts w:asciiTheme="minorHAnsi" w:hAnsiTheme="minorHAnsi" w:cs="Arial"/>
          <w:sz w:val="22"/>
          <w:szCs w:val="22"/>
        </w:rPr>
        <w:t>a</w:t>
      </w:r>
      <w:r w:rsidR="009E7B60">
        <w:rPr>
          <w:rFonts w:asciiTheme="minorHAnsi" w:hAnsiTheme="minorHAnsi" w:cs="Arial"/>
          <w:sz w:val="22"/>
          <w:szCs w:val="22"/>
        </w:rPr>
        <w:t xml:space="preserve">lu nastąpiło w ciągu 12 miesięcy od daty </w:t>
      </w:r>
      <w:r w:rsidR="000E40BF">
        <w:rPr>
          <w:rFonts w:asciiTheme="minorHAnsi" w:hAnsiTheme="minorHAnsi" w:cs="Arial"/>
          <w:sz w:val="22"/>
          <w:szCs w:val="22"/>
        </w:rPr>
        <w:t>zakończenia inwestycji mieszkaniowej w rozumieniu proje</w:t>
      </w:r>
      <w:r w:rsidR="000E40BF">
        <w:rPr>
          <w:rFonts w:asciiTheme="minorHAnsi" w:hAnsiTheme="minorHAnsi" w:cs="Arial"/>
          <w:sz w:val="22"/>
          <w:szCs w:val="22"/>
        </w:rPr>
        <w:t>k</w:t>
      </w:r>
      <w:r w:rsidR="000E40BF">
        <w:rPr>
          <w:rFonts w:asciiTheme="minorHAnsi" w:hAnsiTheme="minorHAnsi" w:cs="Arial"/>
          <w:sz w:val="22"/>
          <w:szCs w:val="22"/>
        </w:rPr>
        <w:t>towanej ustawy</w:t>
      </w:r>
      <w:r w:rsidR="009E7B60">
        <w:rPr>
          <w:rFonts w:asciiTheme="minorHAnsi" w:hAnsiTheme="minorHAnsi" w:cs="Arial"/>
          <w:sz w:val="22"/>
          <w:szCs w:val="22"/>
        </w:rPr>
        <w:t xml:space="preserve"> (limitowi czasowemu podlega zatem</w:t>
      </w:r>
      <w:r>
        <w:rPr>
          <w:rFonts w:asciiTheme="minorHAnsi" w:hAnsiTheme="minorHAnsi" w:cs="Arial"/>
          <w:sz w:val="22"/>
          <w:szCs w:val="22"/>
        </w:rPr>
        <w:t>, jak wcześniej wspomniano,</w:t>
      </w:r>
      <w:r w:rsidR="009E7B60">
        <w:rPr>
          <w:rFonts w:asciiTheme="minorHAnsi" w:hAnsiTheme="minorHAnsi" w:cs="Arial"/>
          <w:sz w:val="22"/>
          <w:szCs w:val="22"/>
        </w:rPr>
        <w:t xml:space="preserve"> nie sama czynność złożenia wniosku, ale pierwsze zasiedlenie).</w:t>
      </w:r>
    </w:p>
    <w:p w:rsidR="00DE5B1A" w:rsidRDefault="00436DDB" w:rsidP="00436DDB">
      <w:pPr>
        <w:pStyle w:val="Bezodstpw"/>
        <w:spacing w:after="240" w:line="240" w:lineRule="exact"/>
        <w:rPr>
          <w:rFonts w:asciiTheme="minorHAnsi" w:hAnsiTheme="minorHAnsi" w:cs="Arial"/>
          <w:sz w:val="22"/>
          <w:szCs w:val="22"/>
        </w:rPr>
      </w:pPr>
      <w:r>
        <w:rPr>
          <w:rFonts w:asciiTheme="minorHAnsi" w:hAnsiTheme="minorHAnsi" w:cs="Arial"/>
          <w:sz w:val="22"/>
          <w:szCs w:val="22"/>
        </w:rPr>
        <w:t xml:space="preserve">Przepisy art. </w:t>
      </w:r>
      <w:r w:rsidR="007225D7">
        <w:rPr>
          <w:rFonts w:asciiTheme="minorHAnsi" w:hAnsiTheme="minorHAnsi" w:cs="Arial"/>
          <w:sz w:val="22"/>
          <w:szCs w:val="22"/>
        </w:rPr>
        <w:t>7</w:t>
      </w:r>
      <w:r w:rsidR="0018027D">
        <w:rPr>
          <w:rFonts w:asciiTheme="minorHAnsi" w:hAnsiTheme="minorHAnsi" w:cs="Arial"/>
          <w:sz w:val="22"/>
          <w:szCs w:val="22"/>
        </w:rPr>
        <w:t>, 8</w:t>
      </w:r>
      <w:r w:rsidR="007225D7">
        <w:rPr>
          <w:rFonts w:asciiTheme="minorHAnsi" w:hAnsiTheme="minorHAnsi" w:cs="Arial"/>
          <w:sz w:val="22"/>
          <w:szCs w:val="22"/>
        </w:rPr>
        <w:t xml:space="preserve"> i </w:t>
      </w:r>
      <w:r w:rsidR="00FC776D">
        <w:rPr>
          <w:rFonts w:asciiTheme="minorHAnsi" w:hAnsiTheme="minorHAnsi" w:cs="Arial"/>
          <w:sz w:val="22"/>
          <w:szCs w:val="22"/>
        </w:rPr>
        <w:t xml:space="preserve">9 </w:t>
      </w:r>
      <w:r>
        <w:rPr>
          <w:rFonts w:asciiTheme="minorHAnsi" w:hAnsiTheme="minorHAnsi" w:cs="Arial"/>
          <w:sz w:val="22"/>
          <w:szCs w:val="22"/>
        </w:rPr>
        <w:t>regulują warunki dotyczące inwestycji</w:t>
      </w:r>
      <w:r w:rsidR="0018027D">
        <w:rPr>
          <w:rFonts w:asciiTheme="minorHAnsi" w:hAnsiTheme="minorHAnsi" w:cs="Arial"/>
          <w:sz w:val="22"/>
          <w:szCs w:val="22"/>
        </w:rPr>
        <w:t>, gospodarowania lokalami mieszkalnymi</w:t>
      </w:r>
      <w:r>
        <w:rPr>
          <w:rFonts w:asciiTheme="minorHAnsi" w:hAnsiTheme="minorHAnsi" w:cs="Arial"/>
          <w:sz w:val="22"/>
          <w:szCs w:val="22"/>
        </w:rPr>
        <w:t xml:space="preserve"> </w:t>
      </w:r>
      <w:r w:rsidR="008F3147">
        <w:rPr>
          <w:rFonts w:asciiTheme="minorHAnsi" w:hAnsiTheme="minorHAnsi" w:cs="Arial"/>
          <w:sz w:val="22"/>
          <w:szCs w:val="22"/>
        </w:rPr>
        <w:br/>
      </w:r>
      <w:r>
        <w:rPr>
          <w:rFonts w:asciiTheme="minorHAnsi" w:hAnsiTheme="minorHAnsi" w:cs="Arial"/>
          <w:sz w:val="22"/>
          <w:szCs w:val="22"/>
        </w:rPr>
        <w:t xml:space="preserve">i </w:t>
      </w:r>
      <w:r w:rsidR="007E08FD">
        <w:rPr>
          <w:rFonts w:asciiTheme="minorHAnsi" w:hAnsiTheme="minorHAnsi" w:cs="Arial"/>
          <w:sz w:val="22"/>
          <w:szCs w:val="22"/>
        </w:rPr>
        <w:t>naboru najemców</w:t>
      </w:r>
      <w:r>
        <w:rPr>
          <w:rFonts w:asciiTheme="minorHAnsi" w:hAnsiTheme="minorHAnsi" w:cs="Arial"/>
          <w:sz w:val="22"/>
          <w:szCs w:val="22"/>
        </w:rPr>
        <w:t xml:space="preserve">, przesądzające </w:t>
      </w:r>
      <w:r w:rsidR="00FC776D" w:rsidRPr="00FC776D">
        <w:rPr>
          <w:rFonts w:asciiTheme="minorHAnsi" w:hAnsiTheme="minorHAnsi" w:cs="Arial"/>
          <w:i/>
          <w:sz w:val="22"/>
          <w:szCs w:val="22"/>
        </w:rPr>
        <w:t>de facto</w:t>
      </w:r>
      <w:r w:rsidR="00FC776D">
        <w:rPr>
          <w:rFonts w:asciiTheme="minorHAnsi" w:hAnsiTheme="minorHAnsi" w:cs="Arial"/>
          <w:sz w:val="22"/>
          <w:szCs w:val="22"/>
        </w:rPr>
        <w:t xml:space="preserve"> </w:t>
      </w:r>
      <w:r>
        <w:rPr>
          <w:rFonts w:asciiTheme="minorHAnsi" w:hAnsiTheme="minorHAnsi" w:cs="Arial"/>
          <w:sz w:val="22"/>
          <w:szCs w:val="22"/>
        </w:rPr>
        <w:t xml:space="preserve">o prawie do dopłat. </w:t>
      </w:r>
      <w:r w:rsidR="009221C7">
        <w:rPr>
          <w:rFonts w:asciiTheme="minorHAnsi" w:hAnsiTheme="minorHAnsi" w:cs="Arial"/>
          <w:sz w:val="22"/>
          <w:szCs w:val="22"/>
        </w:rPr>
        <w:t xml:space="preserve">W myśl </w:t>
      </w:r>
      <w:r w:rsidR="009221C7" w:rsidRPr="009221C7">
        <w:rPr>
          <w:rFonts w:asciiTheme="minorHAnsi" w:hAnsiTheme="minorHAnsi" w:cs="Arial"/>
          <w:b/>
          <w:sz w:val="22"/>
          <w:szCs w:val="22"/>
        </w:rPr>
        <w:t xml:space="preserve">art. 7 </w:t>
      </w:r>
      <w:r w:rsidR="00AC392A" w:rsidRPr="00AC392A">
        <w:rPr>
          <w:rFonts w:asciiTheme="minorHAnsi" w:hAnsiTheme="minorHAnsi" w:cs="Arial"/>
          <w:sz w:val="22"/>
          <w:szCs w:val="22"/>
        </w:rPr>
        <w:t>dopłaty mogą być udzielone</w:t>
      </w:r>
      <w:r w:rsidR="00AC392A">
        <w:rPr>
          <w:rFonts w:asciiTheme="minorHAnsi" w:hAnsiTheme="minorHAnsi" w:cs="Arial"/>
          <w:sz w:val="22"/>
          <w:szCs w:val="22"/>
        </w:rPr>
        <w:t>, jeżeli z realizacją</w:t>
      </w:r>
      <w:r w:rsidR="00AC392A">
        <w:rPr>
          <w:rFonts w:asciiTheme="minorHAnsi" w:hAnsiTheme="minorHAnsi" w:cs="Arial"/>
          <w:b/>
          <w:sz w:val="22"/>
          <w:szCs w:val="22"/>
        </w:rPr>
        <w:t xml:space="preserve"> </w:t>
      </w:r>
      <w:r>
        <w:rPr>
          <w:rFonts w:asciiTheme="minorHAnsi" w:hAnsiTheme="minorHAnsi" w:cs="Arial"/>
          <w:sz w:val="22"/>
          <w:szCs w:val="22"/>
        </w:rPr>
        <w:t xml:space="preserve">inwestycji mieszkaniowej </w:t>
      </w:r>
      <w:r w:rsidR="00AC392A">
        <w:rPr>
          <w:rFonts w:asciiTheme="minorHAnsi" w:hAnsiTheme="minorHAnsi" w:cs="Arial"/>
          <w:sz w:val="22"/>
          <w:szCs w:val="22"/>
        </w:rPr>
        <w:t>obejmującej lokale mieszkalne, w ramach na</w:t>
      </w:r>
      <w:r w:rsidR="00AC392A">
        <w:rPr>
          <w:rFonts w:asciiTheme="minorHAnsi" w:hAnsiTheme="minorHAnsi" w:cs="Arial"/>
          <w:sz w:val="22"/>
          <w:szCs w:val="22"/>
        </w:rPr>
        <w:t>j</w:t>
      </w:r>
      <w:r w:rsidR="00AC392A">
        <w:rPr>
          <w:rFonts w:asciiTheme="minorHAnsi" w:hAnsiTheme="minorHAnsi" w:cs="Arial"/>
          <w:sz w:val="22"/>
          <w:szCs w:val="22"/>
        </w:rPr>
        <w:t>mu</w:t>
      </w:r>
      <w:r>
        <w:rPr>
          <w:rFonts w:asciiTheme="minorHAnsi" w:hAnsiTheme="minorHAnsi" w:cs="Arial"/>
          <w:sz w:val="22"/>
          <w:szCs w:val="22"/>
        </w:rPr>
        <w:t xml:space="preserve"> których </w:t>
      </w:r>
      <w:r w:rsidR="00AC392A">
        <w:rPr>
          <w:rFonts w:asciiTheme="minorHAnsi" w:hAnsiTheme="minorHAnsi" w:cs="Arial"/>
          <w:sz w:val="22"/>
          <w:szCs w:val="22"/>
        </w:rPr>
        <w:t>mogą być stosowane</w:t>
      </w:r>
      <w:r>
        <w:rPr>
          <w:rFonts w:asciiTheme="minorHAnsi" w:hAnsiTheme="minorHAnsi" w:cs="Arial"/>
          <w:sz w:val="22"/>
          <w:szCs w:val="22"/>
        </w:rPr>
        <w:t xml:space="preserve"> dopłaty, </w:t>
      </w:r>
      <w:r w:rsidR="00AC392A">
        <w:rPr>
          <w:rFonts w:asciiTheme="minorHAnsi" w:hAnsiTheme="minorHAnsi" w:cs="Arial"/>
          <w:sz w:val="22"/>
          <w:szCs w:val="22"/>
        </w:rPr>
        <w:t>jest związana</w:t>
      </w:r>
      <w:r>
        <w:rPr>
          <w:rFonts w:asciiTheme="minorHAnsi" w:hAnsiTheme="minorHAnsi" w:cs="Arial"/>
          <w:sz w:val="22"/>
          <w:szCs w:val="22"/>
        </w:rPr>
        <w:t xml:space="preserve"> </w:t>
      </w:r>
      <w:r w:rsidR="00AC392A">
        <w:rPr>
          <w:rFonts w:asciiTheme="minorHAnsi" w:hAnsiTheme="minorHAnsi" w:cs="Arial"/>
          <w:sz w:val="22"/>
          <w:szCs w:val="22"/>
        </w:rPr>
        <w:t xml:space="preserve">umowa </w:t>
      </w:r>
      <w:r w:rsidR="006D730B">
        <w:rPr>
          <w:rFonts w:asciiTheme="minorHAnsi" w:hAnsiTheme="minorHAnsi" w:cs="Arial"/>
          <w:sz w:val="22"/>
          <w:szCs w:val="22"/>
        </w:rPr>
        <w:t xml:space="preserve">zawarta </w:t>
      </w:r>
      <w:r w:rsidR="00AC392A">
        <w:rPr>
          <w:rFonts w:asciiTheme="minorHAnsi" w:hAnsiTheme="minorHAnsi" w:cs="Arial"/>
          <w:sz w:val="22"/>
          <w:szCs w:val="22"/>
        </w:rPr>
        <w:t>pomiędzy inwestorem a</w:t>
      </w:r>
      <w:r w:rsidR="00B26738">
        <w:rPr>
          <w:rFonts w:asciiTheme="minorHAnsi" w:hAnsiTheme="minorHAnsi" w:cs="Arial"/>
          <w:sz w:val="22"/>
          <w:szCs w:val="22"/>
        </w:rPr>
        <w:t xml:space="preserve"> </w:t>
      </w:r>
      <w:r w:rsidR="00FC776D">
        <w:rPr>
          <w:rFonts w:asciiTheme="minorHAnsi" w:hAnsiTheme="minorHAnsi" w:cs="Arial"/>
          <w:sz w:val="22"/>
          <w:szCs w:val="22"/>
        </w:rPr>
        <w:t>gminą</w:t>
      </w:r>
      <w:r>
        <w:rPr>
          <w:rFonts w:asciiTheme="minorHAnsi" w:hAnsiTheme="minorHAnsi" w:cs="Arial"/>
          <w:sz w:val="22"/>
          <w:szCs w:val="22"/>
        </w:rPr>
        <w:t xml:space="preserve"> </w:t>
      </w:r>
      <w:r w:rsidR="00FC776D">
        <w:rPr>
          <w:rFonts w:asciiTheme="minorHAnsi" w:hAnsiTheme="minorHAnsi" w:cs="Arial"/>
          <w:sz w:val="22"/>
          <w:szCs w:val="22"/>
        </w:rPr>
        <w:t xml:space="preserve">właściwą </w:t>
      </w:r>
      <w:r>
        <w:rPr>
          <w:rFonts w:asciiTheme="minorHAnsi" w:hAnsiTheme="minorHAnsi" w:cs="Arial"/>
          <w:sz w:val="22"/>
          <w:szCs w:val="22"/>
        </w:rPr>
        <w:t xml:space="preserve">miejscowo dla danej inwestycji. </w:t>
      </w:r>
      <w:r w:rsidR="00DE5B1A" w:rsidRPr="00DE5B1A">
        <w:rPr>
          <w:rFonts w:asciiTheme="minorHAnsi" w:hAnsiTheme="minorHAnsi" w:cs="Arial"/>
          <w:sz w:val="22"/>
          <w:szCs w:val="22"/>
        </w:rPr>
        <w:t xml:space="preserve">Obowiązek zawarcia umowy </w:t>
      </w:r>
      <w:r w:rsidR="00DE5B1A">
        <w:rPr>
          <w:rFonts w:asciiTheme="minorHAnsi" w:hAnsiTheme="minorHAnsi" w:cs="Arial"/>
          <w:sz w:val="22"/>
          <w:szCs w:val="22"/>
        </w:rPr>
        <w:t>został</w:t>
      </w:r>
      <w:r w:rsidR="00DE5B1A" w:rsidRPr="00DE5B1A">
        <w:rPr>
          <w:rFonts w:asciiTheme="minorHAnsi" w:hAnsiTheme="minorHAnsi" w:cs="Arial"/>
          <w:sz w:val="22"/>
          <w:szCs w:val="22"/>
        </w:rPr>
        <w:t xml:space="preserve"> podyktowany m. in. potrzebą wsparcia realizacji lokalnej polityki mieszkaniowej oraz zapewnienia gminie wpływu na realizację programu na terenie jej wł</w:t>
      </w:r>
      <w:r w:rsidR="00DE5B1A">
        <w:rPr>
          <w:rFonts w:asciiTheme="minorHAnsi" w:hAnsiTheme="minorHAnsi" w:cs="Arial"/>
          <w:sz w:val="22"/>
          <w:szCs w:val="22"/>
        </w:rPr>
        <w:t>aściwości. W ocenie projektodawcy istotne jest zapewnienie, by</w:t>
      </w:r>
      <w:r w:rsidR="00DE5B1A" w:rsidRPr="00DE5B1A">
        <w:rPr>
          <w:rFonts w:asciiTheme="minorHAnsi" w:hAnsiTheme="minorHAnsi" w:cs="Arial"/>
          <w:sz w:val="22"/>
          <w:szCs w:val="22"/>
        </w:rPr>
        <w:t xml:space="preserve"> w systemie opierającym się na naborze najemców spełniających określone kryteria uchwalane przez radę gminy </w:t>
      </w:r>
      <w:r w:rsidR="008F3147">
        <w:rPr>
          <w:rFonts w:asciiTheme="minorHAnsi" w:hAnsiTheme="minorHAnsi" w:cs="Arial"/>
          <w:sz w:val="22"/>
          <w:szCs w:val="22"/>
        </w:rPr>
        <w:br/>
      </w:r>
      <w:r w:rsidR="00DE5B1A" w:rsidRPr="00DE5B1A">
        <w:rPr>
          <w:rFonts w:asciiTheme="minorHAnsi" w:hAnsiTheme="minorHAnsi" w:cs="Arial"/>
          <w:sz w:val="22"/>
          <w:szCs w:val="22"/>
        </w:rPr>
        <w:t xml:space="preserve">i dopłatach do czynszów udzielanych ze środków publicznych niezbędne </w:t>
      </w:r>
      <w:r w:rsidR="00DE5B1A">
        <w:rPr>
          <w:rFonts w:asciiTheme="minorHAnsi" w:hAnsiTheme="minorHAnsi" w:cs="Arial"/>
          <w:sz w:val="22"/>
          <w:szCs w:val="22"/>
        </w:rPr>
        <w:t>było</w:t>
      </w:r>
      <w:r w:rsidR="00DE5B1A" w:rsidRPr="00DE5B1A">
        <w:rPr>
          <w:rFonts w:asciiTheme="minorHAnsi" w:hAnsiTheme="minorHAnsi" w:cs="Arial"/>
          <w:sz w:val="22"/>
          <w:szCs w:val="22"/>
        </w:rPr>
        <w:t xml:space="preserve"> podpisanie </w:t>
      </w:r>
      <w:r w:rsidR="00DE5B1A">
        <w:rPr>
          <w:rFonts w:asciiTheme="minorHAnsi" w:hAnsiTheme="minorHAnsi" w:cs="Arial"/>
          <w:sz w:val="22"/>
          <w:szCs w:val="22"/>
        </w:rPr>
        <w:t>umów gm</w:t>
      </w:r>
      <w:r w:rsidR="00DE5B1A">
        <w:rPr>
          <w:rFonts w:asciiTheme="minorHAnsi" w:hAnsiTheme="minorHAnsi" w:cs="Arial"/>
          <w:sz w:val="22"/>
          <w:szCs w:val="22"/>
        </w:rPr>
        <w:t>i</w:t>
      </w:r>
      <w:r w:rsidR="00DE5B1A">
        <w:rPr>
          <w:rFonts w:asciiTheme="minorHAnsi" w:hAnsiTheme="minorHAnsi" w:cs="Arial"/>
          <w:sz w:val="22"/>
          <w:szCs w:val="22"/>
        </w:rPr>
        <w:t>na-inwestor</w:t>
      </w:r>
      <w:r w:rsidR="00DE5B1A" w:rsidRPr="00DE5B1A">
        <w:rPr>
          <w:rFonts w:asciiTheme="minorHAnsi" w:hAnsiTheme="minorHAnsi" w:cs="Arial"/>
          <w:sz w:val="22"/>
          <w:szCs w:val="22"/>
        </w:rPr>
        <w:t xml:space="preserve"> określających podstawowe parametry planowan</w:t>
      </w:r>
      <w:r w:rsidR="00DE5B1A">
        <w:rPr>
          <w:rFonts w:asciiTheme="minorHAnsi" w:hAnsiTheme="minorHAnsi" w:cs="Arial"/>
          <w:sz w:val="22"/>
          <w:szCs w:val="22"/>
        </w:rPr>
        <w:t>ych</w:t>
      </w:r>
      <w:r w:rsidR="00DE5B1A" w:rsidRPr="00DE5B1A">
        <w:rPr>
          <w:rFonts w:asciiTheme="minorHAnsi" w:hAnsiTheme="minorHAnsi" w:cs="Arial"/>
          <w:sz w:val="22"/>
          <w:szCs w:val="22"/>
        </w:rPr>
        <w:t xml:space="preserve"> inwestycji. Warto przy tym podkr</w:t>
      </w:r>
      <w:r w:rsidR="00DE5B1A" w:rsidRPr="00DE5B1A">
        <w:rPr>
          <w:rFonts w:asciiTheme="minorHAnsi" w:hAnsiTheme="minorHAnsi" w:cs="Arial"/>
          <w:sz w:val="22"/>
          <w:szCs w:val="22"/>
        </w:rPr>
        <w:t>e</w:t>
      </w:r>
      <w:r w:rsidR="00DE5B1A" w:rsidRPr="00DE5B1A">
        <w:rPr>
          <w:rFonts w:asciiTheme="minorHAnsi" w:hAnsiTheme="minorHAnsi" w:cs="Arial"/>
          <w:sz w:val="22"/>
          <w:szCs w:val="22"/>
        </w:rPr>
        <w:t>ślić, że ustawa określa jedynie katalog spraw do dalszego doprecyzowania w umowie, szczegółowe zapisy będą przedmiotem zgody obu stron umowy.</w:t>
      </w:r>
    </w:p>
    <w:p w:rsidR="00764A23" w:rsidRDefault="00DE5B1A" w:rsidP="00436DDB">
      <w:pPr>
        <w:pStyle w:val="Bezodstpw"/>
        <w:spacing w:after="240" w:line="240" w:lineRule="exact"/>
        <w:rPr>
          <w:rFonts w:asciiTheme="minorHAnsi" w:hAnsiTheme="minorHAnsi" w:cs="Arial"/>
          <w:sz w:val="22"/>
          <w:szCs w:val="22"/>
        </w:rPr>
      </w:pPr>
      <w:r>
        <w:rPr>
          <w:rFonts w:asciiTheme="minorHAnsi" w:hAnsiTheme="minorHAnsi" w:cs="Arial"/>
          <w:sz w:val="22"/>
          <w:szCs w:val="22"/>
        </w:rPr>
        <w:t xml:space="preserve">Wskazana umowa </w:t>
      </w:r>
      <w:r w:rsidR="00436DDB">
        <w:rPr>
          <w:rFonts w:asciiTheme="minorHAnsi" w:hAnsiTheme="minorHAnsi" w:cs="Arial"/>
          <w:sz w:val="22"/>
          <w:szCs w:val="22"/>
        </w:rPr>
        <w:t xml:space="preserve">ma precyzować </w:t>
      </w:r>
      <w:r w:rsidR="00764A23">
        <w:rPr>
          <w:rFonts w:asciiTheme="minorHAnsi" w:hAnsiTheme="minorHAnsi" w:cs="Arial"/>
          <w:sz w:val="22"/>
          <w:szCs w:val="22"/>
        </w:rPr>
        <w:t>m. in.</w:t>
      </w:r>
      <w:r w:rsidR="00436DDB">
        <w:rPr>
          <w:rFonts w:asciiTheme="minorHAnsi" w:hAnsiTheme="minorHAnsi" w:cs="Arial"/>
          <w:sz w:val="22"/>
          <w:szCs w:val="22"/>
        </w:rPr>
        <w:t xml:space="preserve"> uwarunkowane lokalnie wymogi w zakresie inwestycji (czyli wymogi wynikające ze specyfiki danej inwestycji, </w:t>
      </w:r>
      <w:r w:rsidR="00764A23" w:rsidRPr="00764A23">
        <w:rPr>
          <w:rFonts w:asciiTheme="minorHAnsi" w:hAnsiTheme="minorHAnsi" w:cs="Arial"/>
          <w:sz w:val="22"/>
          <w:szCs w:val="22"/>
        </w:rPr>
        <w:t>zależne np. od położenia nieruchomości</w:t>
      </w:r>
      <w:r w:rsidR="00764A23">
        <w:rPr>
          <w:rFonts w:asciiTheme="minorHAnsi" w:hAnsiTheme="minorHAnsi" w:cs="Arial"/>
          <w:sz w:val="22"/>
          <w:szCs w:val="22"/>
        </w:rPr>
        <w:t>; mogą one dotyczyć</w:t>
      </w:r>
      <w:r w:rsidR="00764A23" w:rsidRPr="00764A23">
        <w:rPr>
          <w:rFonts w:asciiTheme="minorHAnsi" w:hAnsiTheme="minorHAnsi" w:cs="Arial"/>
          <w:sz w:val="22"/>
          <w:szCs w:val="22"/>
        </w:rPr>
        <w:t xml:space="preserve"> </w:t>
      </w:r>
      <w:r w:rsidR="00436DDB">
        <w:rPr>
          <w:rFonts w:asciiTheme="minorHAnsi" w:hAnsiTheme="minorHAnsi" w:cs="Arial"/>
          <w:sz w:val="22"/>
          <w:szCs w:val="22"/>
        </w:rPr>
        <w:t>np. struktury i standardu powierzchniowego mieszkań, dostępności budynku i mieszkań dla osób niepełnosprawnych, standardu wykończenia i minimalnego wyposażenia budynku i mieszkań, dostępu do infrastruktury technicznej i społecznej, zagospodarowania otoczenia budynku)</w:t>
      </w:r>
      <w:r w:rsidR="00764A23">
        <w:rPr>
          <w:rFonts w:asciiTheme="minorHAnsi" w:hAnsiTheme="minorHAnsi" w:cs="Arial"/>
          <w:sz w:val="22"/>
          <w:szCs w:val="22"/>
        </w:rPr>
        <w:t>.</w:t>
      </w:r>
      <w:r w:rsidR="00436DDB">
        <w:rPr>
          <w:rFonts w:asciiTheme="minorHAnsi" w:hAnsiTheme="minorHAnsi" w:cs="Arial"/>
          <w:sz w:val="22"/>
          <w:szCs w:val="22"/>
        </w:rPr>
        <w:t xml:space="preserve"> </w:t>
      </w:r>
      <w:r w:rsidR="00764A23" w:rsidRPr="00764A23">
        <w:rPr>
          <w:rFonts w:asciiTheme="minorHAnsi" w:hAnsiTheme="minorHAnsi" w:cs="Arial"/>
          <w:sz w:val="22"/>
          <w:szCs w:val="22"/>
        </w:rPr>
        <w:t>Przekaz</w:t>
      </w:r>
      <w:r w:rsidR="00764A23" w:rsidRPr="00764A23">
        <w:rPr>
          <w:rFonts w:asciiTheme="minorHAnsi" w:hAnsiTheme="minorHAnsi" w:cs="Arial"/>
          <w:sz w:val="22"/>
          <w:szCs w:val="22"/>
        </w:rPr>
        <w:t>a</w:t>
      </w:r>
      <w:r w:rsidR="00764A23" w:rsidRPr="00764A23">
        <w:rPr>
          <w:rFonts w:asciiTheme="minorHAnsi" w:hAnsiTheme="minorHAnsi" w:cs="Arial"/>
          <w:sz w:val="22"/>
          <w:szCs w:val="22"/>
        </w:rPr>
        <w:t xml:space="preserve">nie materii standardów inwestycji </w:t>
      </w:r>
      <w:r w:rsidR="00764A23">
        <w:rPr>
          <w:rFonts w:asciiTheme="minorHAnsi" w:hAnsiTheme="minorHAnsi" w:cs="Arial"/>
          <w:sz w:val="22"/>
          <w:szCs w:val="22"/>
        </w:rPr>
        <w:t xml:space="preserve">mieszkaniowej </w:t>
      </w:r>
      <w:r w:rsidR="00764A23" w:rsidRPr="00764A23">
        <w:rPr>
          <w:rFonts w:asciiTheme="minorHAnsi" w:hAnsiTheme="minorHAnsi" w:cs="Arial"/>
          <w:sz w:val="22"/>
          <w:szCs w:val="22"/>
        </w:rPr>
        <w:t>do uregulowań umownych wynika ponadto z ry</w:t>
      </w:r>
      <w:r w:rsidR="00764A23" w:rsidRPr="00764A23">
        <w:rPr>
          <w:rFonts w:asciiTheme="minorHAnsi" w:hAnsiTheme="minorHAnsi" w:cs="Arial"/>
          <w:sz w:val="22"/>
          <w:szCs w:val="22"/>
        </w:rPr>
        <w:t>n</w:t>
      </w:r>
      <w:r w:rsidR="00764A23" w:rsidRPr="00764A23">
        <w:rPr>
          <w:rFonts w:asciiTheme="minorHAnsi" w:hAnsiTheme="minorHAnsi" w:cs="Arial"/>
          <w:sz w:val="22"/>
          <w:szCs w:val="22"/>
        </w:rPr>
        <w:t>kowego charakteru inwestycji. Warunkiem wpływającym na prawo do dopłat jest najem mieszkania objętego inwestycją będącą przedmiotem umowy między inwestorem a gminą, nie zaś określone standardy realizacji tej inwestycji. W związku z tym niespełnienie wymogów umownych będzie rodz</w:t>
      </w:r>
      <w:r w:rsidR="00764A23" w:rsidRPr="00764A23">
        <w:rPr>
          <w:rFonts w:asciiTheme="minorHAnsi" w:hAnsiTheme="minorHAnsi" w:cs="Arial"/>
          <w:sz w:val="22"/>
          <w:szCs w:val="22"/>
        </w:rPr>
        <w:t>i</w:t>
      </w:r>
      <w:r w:rsidR="00764A23" w:rsidRPr="00764A23">
        <w:rPr>
          <w:rFonts w:asciiTheme="minorHAnsi" w:hAnsiTheme="minorHAnsi" w:cs="Arial"/>
          <w:sz w:val="22"/>
          <w:szCs w:val="22"/>
        </w:rPr>
        <w:t>ło konsekwencje wskazane w umowie, nie zaś konsekwencje dla prawa do dopłat. Nie należy zap</w:t>
      </w:r>
      <w:r w:rsidR="00764A23" w:rsidRPr="00764A23">
        <w:rPr>
          <w:rFonts w:asciiTheme="minorHAnsi" w:hAnsiTheme="minorHAnsi" w:cs="Arial"/>
          <w:sz w:val="22"/>
          <w:szCs w:val="22"/>
        </w:rPr>
        <w:t>o</w:t>
      </w:r>
      <w:r w:rsidR="00764A23" w:rsidRPr="00764A23">
        <w:rPr>
          <w:rFonts w:asciiTheme="minorHAnsi" w:hAnsiTheme="minorHAnsi" w:cs="Arial"/>
          <w:sz w:val="22"/>
          <w:szCs w:val="22"/>
        </w:rPr>
        <w:t>minać, że to na inwestorze ciąży ostatecznie ryzyko wypłacalności inwestycji. W związku z tym zagw</w:t>
      </w:r>
      <w:r w:rsidR="00764A23" w:rsidRPr="00764A23">
        <w:rPr>
          <w:rFonts w:asciiTheme="minorHAnsi" w:hAnsiTheme="minorHAnsi" w:cs="Arial"/>
          <w:sz w:val="22"/>
          <w:szCs w:val="22"/>
        </w:rPr>
        <w:t>a</w:t>
      </w:r>
      <w:r w:rsidR="00764A23" w:rsidRPr="00764A23">
        <w:rPr>
          <w:rFonts w:asciiTheme="minorHAnsi" w:hAnsiTheme="minorHAnsi" w:cs="Arial"/>
          <w:sz w:val="22"/>
          <w:szCs w:val="22"/>
        </w:rPr>
        <w:t>rantowanie odpowiedniego standardu mieszkań zachęcającego osoby spełniające warunki dla dopłat do zawarcia umowy najmu leży w jego interesie.</w:t>
      </w:r>
    </w:p>
    <w:p w:rsidR="00436DDB" w:rsidRDefault="00764A23" w:rsidP="00436DDB">
      <w:pPr>
        <w:pStyle w:val="Bezodstpw"/>
        <w:spacing w:after="240" w:line="240" w:lineRule="exact"/>
        <w:rPr>
          <w:rFonts w:asciiTheme="minorHAnsi" w:hAnsiTheme="minorHAnsi" w:cs="Arial"/>
          <w:sz w:val="22"/>
          <w:szCs w:val="22"/>
        </w:rPr>
      </w:pPr>
      <w:r>
        <w:rPr>
          <w:rFonts w:asciiTheme="minorHAnsi" w:hAnsiTheme="minorHAnsi" w:cs="Arial"/>
          <w:sz w:val="22"/>
          <w:szCs w:val="22"/>
        </w:rPr>
        <w:t>Omawiana umowa będzie regulowała również</w:t>
      </w:r>
      <w:r w:rsidR="00683F6B">
        <w:rPr>
          <w:rFonts w:asciiTheme="minorHAnsi" w:hAnsiTheme="minorHAnsi" w:cs="Arial"/>
          <w:sz w:val="22"/>
          <w:szCs w:val="22"/>
        </w:rPr>
        <w:t xml:space="preserve"> m. in.</w:t>
      </w:r>
      <w:r w:rsidR="00436DDB">
        <w:rPr>
          <w:rFonts w:asciiTheme="minorHAnsi" w:hAnsiTheme="minorHAnsi" w:cs="Arial"/>
          <w:sz w:val="22"/>
          <w:szCs w:val="22"/>
        </w:rPr>
        <w:t>:</w:t>
      </w:r>
    </w:p>
    <w:p w:rsidR="00436DDB" w:rsidRDefault="00436DDB" w:rsidP="00436DDB">
      <w:pPr>
        <w:pStyle w:val="Bezodstpw"/>
        <w:numPr>
          <w:ilvl w:val="0"/>
          <w:numId w:val="37"/>
        </w:numPr>
        <w:spacing w:after="240" w:line="240" w:lineRule="exact"/>
        <w:rPr>
          <w:rFonts w:asciiTheme="minorHAnsi" w:hAnsiTheme="minorHAnsi" w:cs="Arial"/>
          <w:sz w:val="22"/>
          <w:szCs w:val="22"/>
        </w:rPr>
      </w:pPr>
      <w:r w:rsidRPr="00B12209">
        <w:rPr>
          <w:rFonts w:asciiTheme="minorHAnsi" w:hAnsiTheme="minorHAnsi" w:cs="Arial"/>
          <w:sz w:val="22"/>
          <w:szCs w:val="22"/>
        </w:rPr>
        <w:t>uzgodn</w:t>
      </w:r>
      <w:r>
        <w:rPr>
          <w:rFonts w:asciiTheme="minorHAnsi" w:hAnsiTheme="minorHAnsi" w:cs="Arial"/>
          <w:sz w:val="22"/>
          <w:szCs w:val="22"/>
        </w:rPr>
        <w:t>ione przez strony umowy warunki</w:t>
      </w:r>
      <w:r w:rsidRPr="00B12209">
        <w:rPr>
          <w:rFonts w:asciiTheme="minorHAnsi" w:hAnsiTheme="minorHAnsi" w:cs="Arial"/>
          <w:sz w:val="22"/>
          <w:szCs w:val="22"/>
        </w:rPr>
        <w:t>, których spełnienie uznaje się za potwierdzenie p</w:t>
      </w:r>
      <w:r w:rsidRPr="00B12209">
        <w:rPr>
          <w:rFonts w:asciiTheme="minorHAnsi" w:hAnsiTheme="minorHAnsi" w:cs="Arial"/>
          <w:sz w:val="22"/>
          <w:szCs w:val="22"/>
        </w:rPr>
        <w:t>o</w:t>
      </w:r>
      <w:r w:rsidRPr="00B12209">
        <w:rPr>
          <w:rFonts w:asciiTheme="minorHAnsi" w:hAnsiTheme="minorHAnsi" w:cs="Arial"/>
          <w:sz w:val="22"/>
          <w:szCs w:val="22"/>
        </w:rPr>
        <w:t>siadania przez najemcę zdolności czynszowej</w:t>
      </w:r>
      <w:r>
        <w:rPr>
          <w:rFonts w:asciiTheme="minorHAnsi" w:hAnsiTheme="minorHAnsi" w:cs="Arial"/>
          <w:sz w:val="22"/>
          <w:szCs w:val="22"/>
        </w:rPr>
        <w:t xml:space="preserve"> (projektowana ustawa określa w tym względzie ramy dla takiego ustalenia, które podlegają doprecyzowaniu przez strony m. in. w odniesi</w:t>
      </w:r>
      <w:r>
        <w:rPr>
          <w:rFonts w:asciiTheme="minorHAnsi" w:hAnsiTheme="minorHAnsi" w:cs="Arial"/>
          <w:sz w:val="22"/>
          <w:szCs w:val="22"/>
        </w:rPr>
        <w:t>e</w:t>
      </w:r>
      <w:r>
        <w:rPr>
          <w:rFonts w:asciiTheme="minorHAnsi" w:hAnsiTheme="minorHAnsi" w:cs="Arial"/>
          <w:sz w:val="22"/>
          <w:szCs w:val="22"/>
        </w:rPr>
        <w:t>niu do lokalnej sytuacji mieszkaniowej; o zdolności czynszowej najemcy może zatem świa</w:t>
      </w:r>
      <w:r>
        <w:rPr>
          <w:rFonts w:asciiTheme="minorHAnsi" w:hAnsiTheme="minorHAnsi" w:cs="Arial"/>
          <w:sz w:val="22"/>
          <w:szCs w:val="22"/>
        </w:rPr>
        <w:t>d</w:t>
      </w:r>
      <w:r>
        <w:rPr>
          <w:rFonts w:asciiTheme="minorHAnsi" w:hAnsiTheme="minorHAnsi" w:cs="Arial"/>
          <w:sz w:val="22"/>
          <w:szCs w:val="22"/>
        </w:rPr>
        <w:t>czyć spełnienie przez gospodarstwo minimalnego limitu dochodowego, zdolność do opłac</w:t>
      </w:r>
      <w:r>
        <w:rPr>
          <w:rFonts w:asciiTheme="minorHAnsi" w:hAnsiTheme="minorHAnsi" w:cs="Arial"/>
          <w:sz w:val="22"/>
          <w:szCs w:val="22"/>
        </w:rPr>
        <w:t>e</w:t>
      </w:r>
      <w:r>
        <w:rPr>
          <w:rFonts w:asciiTheme="minorHAnsi" w:hAnsiTheme="minorHAnsi" w:cs="Arial"/>
          <w:sz w:val="22"/>
          <w:szCs w:val="22"/>
        </w:rPr>
        <w:t xml:space="preserve">nia kaucji w określonej wysokości albo oba warunki jednocześnie), </w:t>
      </w:r>
    </w:p>
    <w:p w:rsidR="00436DDB" w:rsidRDefault="00AC392A" w:rsidP="00436DDB">
      <w:pPr>
        <w:pStyle w:val="Bezodstpw"/>
        <w:numPr>
          <w:ilvl w:val="0"/>
          <w:numId w:val="37"/>
        </w:numPr>
        <w:spacing w:after="240" w:line="240" w:lineRule="exact"/>
        <w:rPr>
          <w:rFonts w:asciiTheme="minorHAnsi" w:hAnsiTheme="minorHAnsi" w:cs="Arial"/>
          <w:sz w:val="22"/>
          <w:szCs w:val="22"/>
        </w:rPr>
      </w:pPr>
      <w:r>
        <w:rPr>
          <w:rFonts w:asciiTheme="minorHAnsi" w:hAnsiTheme="minorHAnsi" w:cs="Arial"/>
          <w:sz w:val="22"/>
          <w:szCs w:val="22"/>
        </w:rPr>
        <w:t>liczbę mieszkań, których dotyczy inwestycja mieszkaniowa, z uwzględnieniem</w:t>
      </w:r>
      <w:r w:rsidR="00436DDB" w:rsidRPr="00B12209">
        <w:rPr>
          <w:rFonts w:asciiTheme="minorHAnsi" w:hAnsiTheme="minorHAnsi" w:cs="Arial"/>
          <w:sz w:val="22"/>
          <w:szCs w:val="22"/>
        </w:rPr>
        <w:t xml:space="preserve"> powierzchni uż</w:t>
      </w:r>
      <w:r w:rsidR="00436DDB">
        <w:rPr>
          <w:rFonts w:asciiTheme="minorHAnsi" w:hAnsiTheme="minorHAnsi" w:cs="Arial"/>
          <w:sz w:val="22"/>
          <w:szCs w:val="22"/>
        </w:rPr>
        <w:t xml:space="preserve">ytkowej poszczególnych mieszkań (czyli lokali objętych możliwością </w:t>
      </w:r>
      <w:r w:rsidR="0041254F">
        <w:rPr>
          <w:rFonts w:asciiTheme="minorHAnsi" w:hAnsiTheme="minorHAnsi" w:cs="Arial"/>
          <w:sz w:val="22"/>
          <w:szCs w:val="22"/>
        </w:rPr>
        <w:t xml:space="preserve">stosowania </w:t>
      </w:r>
      <w:r w:rsidR="00436DDB">
        <w:rPr>
          <w:rFonts w:asciiTheme="minorHAnsi" w:hAnsiTheme="minorHAnsi" w:cs="Arial"/>
          <w:sz w:val="22"/>
          <w:szCs w:val="22"/>
        </w:rPr>
        <w:t>dopłat),</w:t>
      </w:r>
    </w:p>
    <w:p w:rsidR="00DE606B" w:rsidRDefault="00DE606B" w:rsidP="00DE606B">
      <w:pPr>
        <w:pStyle w:val="Bezodstpw"/>
        <w:numPr>
          <w:ilvl w:val="0"/>
          <w:numId w:val="37"/>
        </w:numPr>
        <w:spacing w:after="240" w:line="240" w:lineRule="exact"/>
        <w:rPr>
          <w:rFonts w:asciiTheme="minorHAnsi" w:hAnsiTheme="minorHAnsi" w:cs="Arial"/>
          <w:sz w:val="22"/>
          <w:szCs w:val="22"/>
        </w:rPr>
      </w:pPr>
      <w:r w:rsidRPr="00DE606B">
        <w:rPr>
          <w:rFonts w:asciiTheme="minorHAnsi" w:hAnsiTheme="minorHAnsi" w:cs="Arial"/>
          <w:sz w:val="22"/>
          <w:szCs w:val="22"/>
        </w:rPr>
        <w:t xml:space="preserve">planowane terminy rozpoczęcia i zakończenia naboru wniosków o zawarcie umowy najmu mieszkań, których dotyczy </w:t>
      </w:r>
      <w:r>
        <w:rPr>
          <w:rFonts w:asciiTheme="minorHAnsi" w:hAnsiTheme="minorHAnsi" w:cs="Arial"/>
          <w:sz w:val="22"/>
          <w:szCs w:val="22"/>
        </w:rPr>
        <w:t>inwestycja mieszkaniowa (</w:t>
      </w:r>
      <w:r w:rsidRPr="00DE606B">
        <w:rPr>
          <w:rFonts w:asciiTheme="minorHAnsi" w:hAnsiTheme="minorHAnsi" w:cs="Arial"/>
          <w:sz w:val="22"/>
          <w:szCs w:val="22"/>
        </w:rPr>
        <w:t>poprzez wskazanie roku i kwartału, j</w:t>
      </w:r>
      <w:r w:rsidRPr="00DE606B">
        <w:rPr>
          <w:rFonts w:asciiTheme="minorHAnsi" w:hAnsiTheme="minorHAnsi" w:cs="Arial"/>
          <w:sz w:val="22"/>
          <w:szCs w:val="22"/>
        </w:rPr>
        <w:t>e</w:t>
      </w:r>
      <w:r w:rsidRPr="00DE606B">
        <w:rPr>
          <w:rFonts w:asciiTheme="minorHAnsi" w:hAnsiTheme="minorHAnsi" w:cs="Arial"/>
          <w:sz w:val="22"/>
          <w:szCs w:val="22"/>
        </w:rPr>
        <w:t>żeli nabór nie został przep</w:t>
      </w:r>
      <w:r>
        <w:rPr>
          <w:rFonts w:asciiTheme="minorHAnsi" w:hAnsiTheme="minorHAnsi" w:cs="Arial"/>
          <w:sz w:val="22"/>
          <w:szCs w:val="22"/>
        </w:rPr>
        <w:t>rowadzony przed zawarciem umowy),</w:t>
      </w:r>
    </w:p>
    <w:p w:rsidR="00436DDB" w:rsidRDefault="000C4271" w:rsidP="000C4271">
      <w:pPr>
        <w:pStyle w:val="Bezodstpw"/>
        <w:numPr>
          <w:ilvl w:val="0"/>
          <w:numId w:val="37"/>
        </w:numPr>
        <w:spacing w:after="240" w:line="240" w:lineRule="exact"/>
        <w:rPr>
          <w:rFonts w:asciiTheme="minorHAnsi" w:hAnsiTheme="minorHAnsi" w:cs="Arial"/>
          <w:sz w:val="22"/>
          <w:szCs w:val="22"/>
        </w:rPr>
      </w:pPr>
      <w:r w:rsidRPr="000C4271">
        <w:rPr>
          <w:rFonts w:asciiTheme="minorHAnsi" w:hAnsiTheme="minorHAnsi" w:cs="Arial"/>
          <w:sz w:val="22"/>
          <w:szCs w:val="22"/>
        </w:rPr>
        <w:lastRenderedPageBreak/>
        <w:t>planowany termin pierwszego zasiedlenia mieszkań, których d</w:t>
      </w:r>
      <w:r>
        <w:rPr>
          <w:rFonts w:asciiTheme="minorHAnsi" w:hAnsiTheme="minorHAnsi" w:cs="Arial"/>
          <w:sz w:val="22"/>
          <w:szCs w:val="22"/>
        </w:rPr>
        <w:t>otyczy inwestycja mieszkani</w:t>
      </w:r>
      <w:r>
        <w:rPr>
          <w:rFonts w:asciiTheme="minorHAnsi" w:hAnsiTheme="minorHAnsi" w:cs="Arial"/>
          <w:sz w:val="22"/>
          <w:szCs w:val="22"/>
        </w:rPr>
        <w:t>o</w:t>
      </w:r>
      <w:r>
        <w:rPr>
          <w:rFonts w:asciiTheme="minorHAnsi" w:hAnsiTheme="minorHAnsi" w:cs="Arial"/>
          <w:sz w:val="22"/>
          <w:szCs w:val="22"/>
        </w:rPr>
        <w:t>wa (</w:t>
      </w:r>
      <w:r w:rsidRPr="000C4271">
        <w:rPr>
          <w:rFonts w:asciiTheme="minorHAnsi" w:hAnsiTheme="minorHAnsi" w:cs="Arial"/>
          <w:sz w:val="22"/>
          <w:szCs w:val="22"/>
        </w:rPr>
        <w:t>poprzez wskazanie roku i kwartału</w:t>
      </w:r>
      <w:r>
        <w:rPr>
          <w:rFonts w:asciiTheme="minorHAnsi" w:hAnsiTheme="minorHAnsi" w:cs="Arial"/>
          <w:sz w:val="22"/>
          <w:szCs w:val="22"/>
        </w:rPr>
        <w:t>),</w:t>
      </w:r>
      <w:r w:rsidRPr="000C4271">
        <w:rPr>
          <w:rFonts w:asciiTheme="minorHAnsi" w:hAnsiTheme="minorHAnsi" w:cs="Arial"/>
          <w:sz w:val="22"/>
          <w:szCs w:val="22"/>
        </w:rPr>
        <w:t xml:space="preserve"> </w:t>
      </w:r>
      <w:r w:rsidR="00466109">
        <w:rPr>
          <w:rFonts w:asciiTheme="minorHAnsi" w:hAnsiTheme="minorHAnsi" w:cs="Arial"/>
          <w:sz w:val="22"/>
          <w:szCs w:val="22"/>
        </w:rPr>
        <w:t>a także</w:t>
      </w:r>
    </w:p>
    <w:p w:rsidR="004714BA" w:rsidRPr="00B12209" w:rsidRDefault="004714BA" w:rsidP="00CF722E">
      <w:pPr>
        <w:pStyle w:val="Bezodstpw"/>
        <w:numPr>
          <w:ilvl w:val="0"/>
          <w:numId w:val="37"/>
        </w:numPr>
        <w:spacing w:after="240" w:line="240" w:lineRule="exact"/>
        <w:rPr>
          <w:rFonts w:asciiTheme="minorHAnsi" w:hAnsiTheme="minorHAnsi" w:cs="Arial"/>
          <w:sz w:val="22"/>
          <w:szCs w:val="22"/>
        </w:rPr>
      </w:pPr>
      <w:r w:rsidRPr="004714BA">
        <w:rPr>
          <w:rFonts w:asciiTheme="minorHAnsi" w:hAnsiTheme="minorHAnsi" w:cs="Arial"/>
          <w:sz w:val="22"/>
          <w:szCs w:val="22"/>
        </w:rPr>
        <w:t xml:space="preserve">dodatkowe warunki, </w:t>
      </w:r>
      <w:r w:rsidR="00C60E6A">
        <w:rPr>
          <w:rFonts w:asciiTheme="minorHAnsi" w:hAnsiTheme="minorHAnsi" w:cs="Arial"/>
          <w:sz w:val="22"/>
          <w:szCs w:val="22"/>
        </w:rPr>
        <w:t xml:space="preserve">na </w:t>
      </w:r>
      <w:r w:rsidRPr="004714BA">
        <w:rPr>
          <w:rFonts w:asciiTheme="minorHAnsi" w:hAnsiTheme="minorHAnsi" w:cs="Arial"/>
          <w:sz w:val="22"/>
          <w:szCs w:val="22"/>
        </w:rPr>
        <w:t>podstawie których odbywa się nabór wniosków o zawarcie umowy najmu mieszkań, których dotyczy inwestycja mieszkaniowa</w:t>
      </w:r>
      <w:r w:rsidR="00FD7C96">
        <w:rPr>
          <w:rFonts w:asciiTheme="minorHAnsi" w:hAnsiTheme="minorHAnsi" w:cs="Arial"/>
          <w:sz w:val="22"/>
          <w:szCs w:val="22"/>
        </w:rPr>
        <w:t xml:space="preserve"> (</w:t>
      </w:r>
      <w:r w:rsidRPr="004714BA">
        <w:rPr>
          <w:rFonts w:asciiTheme="minorHAnsi" w:hAnsiTheme="minorHAnsi" w:cs="Arial"/>
          <w:sz w:val="22"/>
          <w:szCs w:val="22"/>
        </w:rPr>
        <w:t>w tym mające charakter be</w:t>
      </w:r>
      <w:r w:rsidRPr="004714BA">
        <w:rPr>
          <w:rFonts w:asciiTheme="minorHAnsi" w:hAnsiTheme="minorHAnsi" w:cs="Arial"/>
          <w:sz w:val="22"/>
          <w:szCs w:val="22"/>
        </w:rPr>
        <w:t>z</w:t>
      </w:r>
      <w:r w:rsidRPr="004714BA">
        <w:rPr>
          <w:rFonts w:asciiTheme="minorHAnsi" w:hAnsiTheme="minorHAnsi" w:cs="Arial"/>
          <w:sz w:val="22"/>
          <w:szCs w:val="22"/>
        </w:rPr>
        <w:t>względnie obowiązujący</w:t>
      </w:r>
      <w:r w:rsidR="00FD7C96">
        <w:rPr>
          <w:rFonts w:asciiTheme="minorHAnsi" w:hAnsiTheme="minorHAnsi" w:cs="Arial"/>
          <w:sz w:val="22"/>
          <w:szCs w:val="22"/>
        </w:rPr>
        <w:t>)</w:t>
      </w:r>
      <w:r w:rsidRPr="004714BA">
        <w:rPr>
          <w:rFonts w:asciiTheme="minorHAnsi" w:hAnsiTheme="minorHAnsi" w:cs="Arial"/>
          <w:sz w:val="22"/>
          <w:szCs w:val="22"/>
        </w:rPr>
        <w:t>, określone w uchwale rady gminy</w:t>
      </w:r>
      <w:r>
        <w:rPr>
          <w:rFonts w:asciiTheme="minorHAnsi" w:hAnsiTheme="minorHAnsi" w:cs="Arial"/>
          <w:sz w:val="22"/>
          <w:szCs w:val="22"/>
        </w:rPr>
        <w:t xml:space="preserve"> (</w:t>
      </w:r>
      <w:r w:rsidRPr="004714BA">
        <w:rPr>
          <w:rFonts w:asciiTheme="minorHAnsi" w:hAnsiTheme="minorHAnsi" w:cs="Arial"/>
          <w:sz w:val="22"/>
          <w:szCs w:val="22"/>
        </w:rPr>
        <w:t>zwane „kryteriami pierwsze</w:t>
      </w:r>
      <w:r w:rsidRPr="004714BA">
        <w:rPr>
          <w:rFonts w:asciiTheme="minorHAnsi" w:hAnsiTheme="minorHAnsi" w:cs="Arial"/>
          <w:sz w:val="22"/>
          <w:szCs w:val="22"/>
        </w:rPr>
        <w:t>ń</w:t>
      </w:r>
      <w:r w:rsidRPr="004714BA">
        <w:rPr>
          <w:rFonts w:asciiTheme="minorHAnsi" w:hAnsiTheme="minorHAnsi" w:cs="Arial"/>
          <w:sz w:val="22"/>
          <w:szCs w:val="22"/>
        </w:rPr>
        <w:t>stwa”</w:t>
      </w:r>
      <w:r>
        <w:rPr>
          <w:rFonts w:asciiTheme="minorHAnsi" w:hAnsiTheme="minorHAnsi" w:cs="Arial"/>
          <w:sz w:val="22"/>
          <w:szCs w:val="22"/>
        </w:rPr>
        <w:t>)</w:t>
      </w:r>
      <w:r w:rsidRPr="004714BA">
        <w:rPr>
          <w:rFonts w:asciiTheme="minorHAnsi" w:hAnsiTheme="minorHAnsi" w:cs="Arial"/>
          <w:sz w:val="22"/>
          <w:szCs w:val="22"/>
        </w:rPr>
        <w:t>.</w:t>
      </w:r>
    </w:p>
    <w:p w:rsidR="00764A23" w:rsidRDefault="00683F6B" w:rsidP="00764A23">
      <w:pPr>
        <w:tabs>
          <w:tab w:val="left" w:pos="540"/>
        </w:tabs>
        <w:spacing w:after="240" w:line="240" w:lineRule="exact"/>
        <w:rPr>
          <w:rFonts w:asciiTheme="minorHAnsi" w:hAnsiTheme="minorHAnsi" w:cs="Arial"/>
          <w:sz w:val="22"/>
          <w:szCs w:val="22"/>
        </w:rPr>
      </w:pPr>
      <w:r>
        <w:rPr>
          <w:rFonts w:asciiTheme="minorHAnsi" w:hAnsiTheme="minorHAnsi" w:cs="Arial"/>
          <w:sz w:val="22"/>
          <w:szCs w:val="22"/>
        </w:rPr>
        <w:t xml:space="preserve">Przedmiotem wskazanej umowy będą ponadto </w:t>
      </w:r>
      <w:r w:rsidR="00764A23" w:rsidRPr="00764A23">
        <w:rPr>
          <w:rFonts w:asciiTheme="minorHAnsi" w:hAnsiTheme="minorHAnsi" w:cs="Arial"/>
          <w:sz w:val="22"/>
          <w:szCs w:val="22"/>
        </w:rPr>
        <w:t>postanowienia istotne</w:t>
      </w:r>
      <w:r>
        <w:rPr>
          <w:rFonts w:asciiTheme="minorHAnsi" w:hAnsiTheme="minorHAnsi" w:cs="Arial"/>
          <w:sz w:val="22"/>
          <w:szCs w:val="22"/>
        </w:rPr>
        <w:t xml:space="preserve"> z punktu widzenia samej umowy, </w:t>
      </w:r>
      <w:r w:rsidR="00764A23" w:rsidRPr="00764A23">
        <w:rPr>
          <w:rFonts w:asciiTheme="minorHAnsi" w:hAnsiTheme="minorHAnsi" w:cs="Arial"/>
          <w:sz w:val="22"/>
          <w:szCs w:val="22"/>
        </w:rPr>
        <w:t>np. warunki i konsekwencje jej rozwiązania, również dla systemu dopłat</w:t>
      </w:r>
      <w:r>
        <w:rPr>
          <w:rFonts w:asciiTheme="minorHAnsi" w:hAnsiTheme="minorHAnsi" w:cs="Arial"/>
          <w:sz w:val="22"/>
          <w:szCs w:val="22"/>
        </w:rPr>
        <w:t>.</w:t>
      </w:r>
      <w:r w:rsidR="00FD32DF" w:rsidRPr="00FD32DF">
        <w:t xml:space="preserve"> </w:t>
      </w:r>
      <w:r w:rsidR="00FD32DF" w:rsidRPr="00FD32DF">
        <w:rPr>
          <w:rFonts w:asciiTheme="minorHAnsi" w:hAnsiTheme="minorHAnsi" w:cs="Arial"/>
          <w:sz w:val="22"/>
          <w:szCs w:val="22"/>
        </w:rPr>
        <w:t xml:space="preserve">Z uwagi na rynkowy charakter inwestycji mieszkaniowej objętej umową niezasadne jest regulowanie </w:t>
      </w:r>
      <w:r w:rsidR="00FD32DF">
        <w:rPr>
          <w:rFonts w:asciiTheme="minorHAnsi" w:hAnsiTheme="minorHAnsi" w:cs="Arial"/>
          <w:sz w:val="22"/>
          <w:szCs w:val="22"/>
        </w:rPr>
        <w:t>wspomnianej</w:t>
      </w:r>
      <w:r w:rsidR="00FD32DF" w:rsidRPr="00FD32DF">
        <w:rPr>
          <w:rFonts w:asciiTheme="minorHAnsi" w:hAnsiTheme="minorHAnsi" w:cs="Arial"/>
          <w:sz w:val="22"/>
          <w:szCs w:val="22"/>
        </w:rPr>
        <w:t xml:space="preserve"> syt</w:t>
      </w:r>
      <w:r w:rsidR="00FD32DF" w:rsidRPr="00FD32DF">
        <w:rPr>
          <w:rFonts w:asciiTheme="minorHAnsi" w:hAnsiTheme="minorHAnsi" w:cs="Arial"/>
          <w:sz w:val="22"/>
          <w:szCs w:val="22"/>
        </w:rPr>
        <w:t>u</w:t>
      </w:r>
      <w:r w:rsidR="00FD32DF" w:rsidRPr="00FD32DF">
        <w:rPr>
          <w:rFonts w:asciiTheme="minorHAnsi" w:hAnsiTheme="minorHAnsi" w:cs="Arial"/>
          <w:sz w:val="22"/>
          <w:szCs w:val="22"/>
        </w:rPr>
        <w:t>acji na poziomie ustawy, ale oddanie materii do swobodnego ukształtowania przez strony zgodnie z zasadą swobody umów. Należy zauważyć, że kluczowe w kontekście instrumentu jest zagwarantow</w:t>
      </w:r>
      <w:r w:rsidR="00FD32DF" w:rsidRPr="00FD32DF">
        <w:rPr>
          <w:rFonts w:asciiTheme="minorHAnsi" w:hAnsiTheme="minorHAnsi" w:cs="Arial"/>
          <w:sz w:val="22"/>
          <w:szCs w:val="22"/>
        </w:rPr>
        <w:t>a</w:t>
      </w:r>
      <w:r w:rsidR="00FD32DF" w:rsidRPr="00FD32DF">
        <w:rPr>
          <w:rFonts w:asciiTheme="minorHAnsi" w:hAnsiTheme="minorHAnsi" w:cs="Arial"/>
          <w:sz w:val="22"/>
          <w:szCs w:val="22"/>
        </w:rPr>
        <w:t xml:space="preserve">nie </w:t>
      </w:r>
      <w:r w:rsidR="008F3147">
        <w:rPr>
          <w:rFonts w:asciiTheme="minorHAnsi" w:hAnsiTheme="minorHAnsi" w:cs="Arial"/>
          <w:sz w:val="22"/>
          <w:szCs w:val="22"/>
        </w:rPr>
        <w:br/>
      </w:r>
      <w:r w:rsidR="00FD32DF" w:rsidRPr="00FD32DF">
        <w:rPr>
          <w:rFonts w:asciiTheme="minorHAnsi" w:hAnsiTheme="minorHAnsi" w:cs="Arial"/>
          <w:sz w:val="22"/>
          <w:szCs w:val="22"/>
        </w:rPr>
        <w:t>w przepisach ustawy, by pierwszy najemca lokalu objętego dopłatami, spełniający warunki ustaw</w:t>
      </w:r>
      <w:r w:rsidR="00FD32DF" w:rsidRPr="00FD32DF">
        <w:rPr>
          <w:rFonts w:asciiTheme="minorHAnsi" w:hAnsiTheme="minorHAnsi" w:cs="Arial"/>
          <w:sz w:val="22"/>
          <w:szCs w:val="22"/>
        </w:rPr>
        <w:t>o</w:t>
      </w:r>
      <w:r w:rsidR="00FD32DF" w:rsidRPr="00FD32DF">
        <w:rPr>
          <w:rFonts w:asciiTheme="minorHAnsi" w:hAnsiTheme="minorHAnsi" w:cs="Arial"/>
          <w:sz w:val="22"/>
          <w:szCs w:val="22"/>
        </w:rPr>
        <w:t xml:space="preserve">we, miał prawo do ubiegania się o dopłaty. W związku z powyższym do czasu zawarcia umów najmu mieszkań objętych inwestycją mieszkaniową rozwiązanie umowy między inwestorem a gminą nie rodzi negatywnych skutków w kontekście powyższego zastrzeżenia. W celu zagwarantowania prawa najemcy do ubiegania się o dopłaty w przypadku rozwiązania umowy ustawodawca zawarł </w:t>
      </w:r>
      <w:r w:rsidR="00FD32DF">
        <w:rPr>
          <w:rFonts w:asciiTheme="minorHAnsi" w:hAnsiTheme="minorHAnsi" w:cs="Arial"/>
          <w:sz w:val="22"/>
          <w:szCs w:val="22"/>
        </w:rPr>
        <w:t xml:space="preserve">natomiast </w:t>
      </w:r>
      <w:r w:rsidR="00FD32DF" w:rsidRPr="00FD32DF">
        <w:rPr>
          <w:rFonts w:asciiTheme="minorHAnsi" w:hAnsiTheme="minorHAnsi" w:cs="Arial"/>
          <w:sz w:val="22"/>
          <w:szCs w:val="22"/>
        </w:rPr>
        <w:t>w przepisach normę, zgodnie z którą prawo do dopłat przysługuje najemcy nawet w przypadku ro</w:t>
      </w:r>
      <w:r w:rsidR="00FD32DF" w:rsidRPr="00FD32DF">
        <w:rPr>
          <w:rFonts w:asciiTheme="minorHAnsi" w:hAnsiTheme="minorHAnsi" w:cs="Arial"/>
          <w:sz w:val="22"/>
          <w:szCs w:val="22"/>
        </w:rPr>
        <w:t>z</w:t>
      </w:r>
      <w:r w:rsidR="00FD32DF" w:rsidRPr="00FD32DF">
        <w:rPr>
          <w:rFonts w:asciiTheme="minorHAnsi" w:hAnsiTheme="minorHAnsi" w:cs="Arial"/>
          <w:sz w:val="22"/>
          <w:szCs w:val="22"/>
        </w:rPr>
        <w:t>wiązania umowy między inwestorem a gminą.</w:t>
      </w:r>
    </w:p>
    <w:p w:rsidR="00436DDB" w:rsidRDefault="00FD32DF" w:rsidP="00436DDB">
      <w:pPr>
        <w:tabs>
          <w:tab w:val="left" w:pos="540"/>
        </w:tabs>
        <w:spacing w:after="240" w:line="240" w:lineRule="exact"/>
        <w:rPr>
          <w:rFonts w:asciiTheme="minorHAnsi" w:hAnsiTheme="minorHAnsi" w:cs="Arial"/>
          <w:sz w:val="22"/>
          <w:szCs w:val="22"/>
        </w:rPr>
      </w:pPr>
      <w:r>
        <w:rPr>
          <w:rFonts w:asciiTheme="minorHAnsi" w:hAnsiTheme="minorHAnsi" w:cs="Arial"/>
          <w:sz w:val="22"/>
          <w:szCs w:val="22"/>
        </w:rPr>
        <w:t>W</w:t>
      </w:r>
      <w:r w:rsidR="00436DDB">
        <w:rPr>
          <w:rFonts w:asciiTheme="minorHAnsi" w:hAnsiTheme="minorHAnsi" w:cs="Arial"/>
          <w:sz w:val="22"/>
          <w:szCs w:val="22"/>
        </w:rPr>
        <w:t xml:space="preserve"> kontekście </w:t>
      </w:r>
      <w:r>
        <w:rPr>
          <w:rFonts w:asciiTheme="minorHAnsi" w:hAnsiTheme="minorHAnsi" w:cs="Arial"/>
          <w:sz w:val="22"/>
          <w:szCs w:val="22"/>
        </w:rPr>
        <w:t xml:space="preserve">obowiązku zawarcia przez inwestora umowy z gminą należy </w:t>
      </w:r>
      <w:r w:rsidR="00436DDB">
        <w:rPr>
          <w:rFonts w:asciiTheme="minorHAnsi" w:hAnsiTheme="minorHAnsi" w:cs="Arial"/>
          <w:sz w:val="22"/>
          <w:szCs w:val="22"/>
        </w:rPr>
        <w:t xml:space="preserve">zauważyć, że działania </w:t>
      </w:r>
      <w:r w:rsidR="00441CF4">
        <w:rPr>
          <w:rFonts w:asciiTheme="minorHAnsi" w:hAnsiTheme="minorHAnsi" w:cs="Arial"/>
          <w:sz w:val="22"/>
          <w:szCs w:val="22"/>
        </w:rPr>
        <w:t>gminy</w:t>
      </w:r>
      <w:r w:rsidR="00436DDB">
        <w:rPr>
          <w:rFonts w:asciiTheme="minorHAnsi" w:hAnsiTheme="minorHAnsi" w:cs="Arial"/>
          <w:sz w:val="22"/>
          <w:szCs w:val="22"/>
        </w:rPr>
        <w:t xml:space="preserve"> w ramach systemu dopłat wpisują się w zadania własne w zakresie zaspokajania</w:t>
      </w:r>
      <w:r w:rsidR="00436DDB" w:rsidRPr="002C3D0A">
        <w:rPr>
          <w:rFonts w:asciiTheme="minorHAnsi" w:hAnsiTheme="minorHAnsi" w:cs="Arial"/>
          <w:sz w:val="22"/>
          <w:szCs w:val="22"/>
        </w:rPr>
        <w:t xml:space="preserve"> zbiorowych potrzeb </w:t>
      </w:r>
      <w:r w:rsidR="00436DDB">
        <w:rPr>
          <w:rFonts w:asciiTheme="minorHAnsi" w:hAnsiTheme="minorHAnsi" w:cs="Arial"/>
          <w:sz w:val="22"/>
          <w:szCs w:val="22"/>
        </w:rPr>
        <w:t xml:space="preserve">lokalnej </w:t>
      </w:r>
      <w:r w:rsidR="00436DDB" w:rsidRPr="002C3D0A">
        <w:rPr>
          <w:rFonts w:asciiTheme="minorHAnsi" w:hAnsiTheme="minorHAnsi" w:cs="Arial"/>
          <w:sz w:val="22"/>
          <w:szCs w:val="22"/>
        </w:rPr>
        <w:t>wspólnoty</w:t>
      </w:r>
      <w:r w:rsidR="00BE1AAA">
        <w:rPr>
          <w:rFonts w:asciiTheme="minorHAnsi" w:hAnsiTheme="minorHAnsi" w:cs="Arial"/>
          <w:sz w:val="22"/>
          <w:szCs w:val="22"/>
        </w:rPr>
        <w:t xml:space="preserve"> </w:t>
      </w:r>
      <w:r w:rsidR="00436DDB">
        <w:rPr>
          <w:rFonts w:asciiTheme="minorHAnsi" w:hAnsiTheme="minorHAnsi" w:cs="Arial"/>
          <w:sz w:val="22"/>
          <w:szCs w:val="22"/>
        </w:rPr>
        <w:t>w sferze mieszkaniowej. D</w:t>
      </w:r>
      <w:r w:rsidR="00436DDB" w:rsidRPr="002C3D0A">
        <w:rPr>
          <w:rFonts w:asciiTheme="minorHAnsi" w:hAnsiTheme="minorHAnsi" w:cs="Arial"/>
          <w:sz w:val="22"/>
          <w:szCs w:val="22"/>
        </w:rPr>
        <w:t xml:space="preserve">opłaty to </w:t>
      </w:r>
      <w:r w:rsidR="00436DDB">
        <w:rPr>
          <w:rFonts w:asciiTheme="minorHAnsi" w:hAnsiTheme="minorHAnsi" w:cs="Arial"/>
          <w:sz w:val="22"/>
          <w:szCs w:val="22"/>
        </w:rPr>
        <w:t xml:space="preserve">bowiem </w:t>
      </w:r>
      <w:r w:rsidR="00436DDB" w:rsidRPr="002C3D0A">
        <w:rPr>
          <w:rFonts w:asciiTheme="minorHAnsi" w:hAnsiTheme="minorHAnsi" w:cs="Arial"/>
          <w:sz w:val="22"/>
          <w:szCs w:val="22"/>
        </w:rPr>
        <w:t xml:space="preserve">kolejny instrument </w:t>
      </w:r>
      <w:r w:rsidR="00436DDB">
        <w:rPr>
          <w:rFonts w:asciiTheme="minorHAnsi" w:hAnsiTheme="minorHAnsi" w:cs="Arial"/>
          <w:sz w:val="22"/>
          <w:szCs w:val="22"/>
        </w:rPr>
        <w:t>angażuj</w:t>
      </w:r>
      <w:r w:rsidR="00436DDB">
        <w:rPr>
          <w:rFonts w:asciiTheme="minorHAnsi" w:hAnsiTheme="minorHAnsi" w:cs="Arial"/>
          <w:sz w:val="22"/>
          <w:szCs w:val="22"/>
        </w:rPr>
        <w:t>ą</w:t>
      </w:r>
      <w:r w:rsidR="00436DDB">
        <w:rPr>
          <w:rFonts w:asciiTheme="minorHAnsi" w:hAnsiTheme="minorHAnsi" w:cs="Arial"/>
          <w:sz w:val="22"/>
          <w:szCs w:val="22"/>
        </w:rPr>
        <w:t>cy gminy</w:t>
      </w:r>
      <w:r w:rsidR="00436DDB" w:rsidRPr="002C3D0A">
        <w:rPr>
          <w:rFonts w:asciiTheme="minorHAnsi" w:hAnsiTheme="minorHAnsi" w:cs="Arial"/>
          <w:sz w:val="22"/>
          <w:szCs w:val="22"/>
        </w:rPr>
        <w:t xml:space="preserve"> </w:t>
      </w:r>
      <w:r w:rsidR="00441CF4">
        <w:rPr>
          <w:rFonts w:asciiTheme="minorHAnsi" w:hAnsiTheme="minorHAnsi" w:cs="Arial"/>
          <w:sz w:val="22"/>
          <w:szCs w:val="22"/>
        </w:rPr>
        <w:t>realizujący</w:t>
      </w:r>
      <w:r w:rsidR="00441CF4" w:rsidRPr="002C3D0A">
        <w:rPr>
          <w:rFonts w:asciiTheme="minorHAnsi" w:hAnsiTheme="minorHAnsi" w:cs="Arial"/>
          <w:sz w:val="22"/>
          <w:szCs w:val="22"/>
        </w:rPr>
        <w:t xml:space="preserve"> </w:t>
      </w:r>
      <w:r w:rsidR="00436DDB" w:rsidRPr="002C3D0A">
        <w:rPr>
          <w:rFonts w:asciiTheme="minorHAnsi" w:hAnsiTheme="minorHAnsi" w:cs="Arial"/>
          <w:sz w:val="22"/>
          <w:szCs w:val="22"/>
        </w:rPr>
        <w:t xml:space="preserve">podobne cele jak </w:t>
      </w:r>
      <w:r w:rsidR="00441CF4">
        <w:rPr>
          <w:rFonts w:asciiTheme="minorHAnsi" w:hAnsiTheme="minorHAnsi" w:cs="Arial"/>
          <w:sz w:val="22"/>
          <w:szCs w:val="22"/>
        </w:rPr>
        <w:t xml:space="preserve">wprowadzony </w:t>
      </w:r>
      <w:r w:rsidR="00441CF4" w:rsidRPr="00441CF4">
        <w:rPr>
          <w:rFonts w:asciiTheme="minorHAnsi" w:hAnsiTheme="minorHAnsi" w:cs="Arial"/>
          <w:sz w:val="22"/>
          <w:szCs w:val="22"/>
        </w:rPr>
        <w:t xml:space="preserve">na mocy </w:t>
      </w:r>
      <w:r w:rsidR="00441CF4">
        <w:rPr>
          <w:rFonts w:asciiTheme="minorHAnsi" w:hAnsiTheme="minorHAnsi" w:cs="Arial"/>
          <w:sz w:val="22"/>
          <w:szCs w:val="22"/>
        </w:rPr>
        <w:t>ustawy z dnia 22 marca 2018 r. p zmi</w:t>
      </w:r>
      <w:r w:rsidR="00441CF4">
        <w:rPr>
          <w:rFonts w:asciiTheme="minorHAnsi" w:hAnsiTheme="minorHAnsi" w:cs="Arial"/>
          <w:sz w:val="22"/>
          <w:szCs w:val="22"/>
        </w:rPr>
        <w:t>a</w:t>
      </w:r>
      <w:r w:rsidR="00441CF4">
        <w:rPr>
          <w:rFonts w:asciiTheme="minorHAnsi" w:hAnsiTheme="minorHAnsi" w:cs="Arial"/>
          <w:sz w:val="22"/>
          <w:szCs w:val="22"/>
        </w:rPr>
        <w:t>nie</w:t>
      </w:r>
      <w:r w:rsidR="00441CF4" w:rsidRPr="00441CF4">
        <w:rPr>
          <w:rFonts w:asciiTheme="minorHAnsi" w:hAnsiTheme="minorHAnsi" w:cs="Arial"/>
          <w:sz w:val="22"/>
          <w:szCs w:val="22"/>
        </w:rPr>
        <w:t xml:space="preserve"> ustawy o finansowym wsparciu tworzenia lokali socjal</w:t>
      </w:r>
      <w:r w:rsidR="00441CF4">
        <w:rPr>
          <w:rFonts w:asciiTheme="minorHAnsi" w:hAnsiTheme="minorHAnsi" w:cs="Arial"/>
          <w:sz w:val="22"/>
          <w:szCs w:val="22"/>
        </w:rPr>
        <w:t>nych, mieszkań chronionych, noc</w:t>
      </w:r>
      <w:r w:rsidR="00441CF4" w:rsidRPr="00441CF4">
        <w:rPr>
          <w:rFonts w:asciiTheme="minorHAnsi" w:hAnsiTheme="minorHAnsi" w:cs="Arial"/>
          <w:sz w:val="22"/>
          <w:szCs w:val="22"/>
        </w:rPr>
        <w:t>legowni i domów dla bezdomnych</w:t>
      </w:r>
      <w:r w:rsidR="00441CF4">
        <w:rPr>
          <w:rFonts w:asciiTheme="minorHAnsi" w:hAnsiTheme="minorHAnsi" w:cs="Arial"/>
          <w:sz w:val="22"/>
          <w:szCs w:val="22"/>
        </w:rPr>
        <w:t>, ustawy o ochronie praw lokatorów, mieszkaniowych zasobie gminy i o zmianie kodeksu cywilnego oraz niektórych innych ustawy (Dz. U. poz. 756)</w:t>
      </w:r>
      <w:r w:rsidR="00441CF4" w:rsidRPr="00441CF4">
        <w:rPr>
          <w:rFonts w:asciiTheme="minorHAnsi" w:hAnsiTheme="minorHAnsi" w:cs="Arial"/>
          <w:sz w:val="22"/>
          <w:szCs w:val="22"/>
        </w:rPr>
        <w:t xml:space="preserve"> </w:t>
      </w:r>
      <w:r w:rsidR="00436DDB">
        <w:rPr>
          <w:rFonts w:asciiTheme="minorHAnsi" w:hAnsiTheme="minorHAnsi" w:cs="Arial"/>
          <w:sz w:val="22"/>
          <w:szCs w:val="22"/>
        </w:rPr>
        <w:t xml:space="preserve">instrument </w:t>
      </w:r>
      <w:r w:rsidR="00441CF4" w:rsidRPr="00441CF4">
        <w:rPr>
          <w:rFonts w:asciiTheme="minorHAnsi" w:hAnsiTheme="minorHAnsi" w:cs="Arial"/>
          <w:sz w:val="22"/>
          <w:szCs w:val="22"/>
        </w:rPr>
        <w:t>wspierający budowę dostępnych mieszkań na wynaj</w:t>
      </w:r>
      <w:r w:rsidR="00441CF4">
        <w:rPr>
          <w:rFonts w:asciiTheme="minorHAnsi" w:hAnsiTheme="minorHAnsi" w:cs="Arial"/>
          <w:sz w:val="22"/>
          <w:szCs w:val="22"/>
        </w:rPr>
        <w:t>em w ramach współdziałania gmin z inwestorami (bez</w:t>
      </w:r>
      <w:r w:rsidR="00441CF4" w:rsidRPr="00441CF4">
        <w:rPr>
          <w:rFonts w:asciiTheme="minorHAnsi" w:hAnsiTheme="minorHAnsi" w:cs="Arial"/>
          <w:sz w:val="22"/>
          <w:szCs w:val="22"/>
        </w:rPr>
        <w:t>zwro</w:t>
      </w:r>
      <w:r w:rsidR="00441CF4" w:rsidRPr="00441CF4">
        <w:rPr>
          <w:rFonts w:asciiTheme="minorHAnsi" w:hAnsiTheme="minorHAnsi" w:cs="Arial"/>
          <w:sz w:val="22"/>
          <w:szCs w:val="22"/>
        </w:rPr>
        <w:t>t</w:t>
      </w:r>
      <w:r w:rsidR="00441CF4" w:rsidRPr="00441CF4">
        <w:rPr>
          <w:rFonts w:asciiTheme="minorHAnsi" w:hAnsiTheme="minorHAnsi" w:cs="Arial"/>
          <w:sz w:val="22"/>
          <w:szCs w:val="22"/>
        </w:rPr>
        <w:t>ne wsparcie w wysokości do 20% kosztów przedsięwzięcia)</w:t>
      </w:r>
      <w:r w:rsidR="00436DDB">
        <w:rPr>
          <w:rFonts w:asciiTheme="minorHAnsi" w:hAnsiTheme="minorHAnsi" w:cs="Arial"/>
          <w:sz w:val="22"/>
          <w:szCs w:val="22"/>
        </w:rPr>
        <w:t>. Dopłaty są bowiem dedykowane tym członkom lokalnej wspólnoty, którzy mogą mieć trudności w ponoszeniu obciążeń z tytułu najmu mieszkań na rynku komercyjnym. Ułatwienia przewidziane w ramach projektowanej ustawy będą pośrednio skutkować tym, że takie osoby będą mogły zaspokajać swoje potrzeby mieszkaniowe na rynku, a nie w ramach zasobu komunalnego (zasób komunalny będzie zatem służył docelowo os</w:t>
      </w:r>
      <w:r w:rsidR="00436DDB">
        <w:rPr>
          <w:rFonts w:asciiTheme="minorHAnsi" w:hAnsiTheme="minorHAnsi" w:cs="Arial"/>
          <w:sz w:val="22"/>
          <w:szCs w:val="22"/>
        </w:rPr>
        <w:t>o</w:t>
      </w:r>
      <w:r w:rsidR="00436DDB">
        <w:rPr>
          <w:rFonts w:asciiTheme="minorHAnsi" w:hAnsiTheme="minorHAnsi" w:cs="Arial"/>
          <w:sz w:val="22"/>
          <w:szCs w:val="22"/>
        </w:rPr>
        <w:t xml:space="preserve">bom faktycznie potrzebującym wsparcia w tej formie, czyli słabiej uposażonym). Nie należy również zapominać o fakultatywności przystąpienia </w:t>
      </w:r>
      <w:r w:rsidR="00441CF4">
        <w:rPr>
          <w:rFonts w:asciiTheme="minorHAnsi" w:hAnsiTheme="minorHAnsi" w:cs="Arial"/>
          <w:sz w:val="22"/>
          <w:szCs w:val="22"/>
        </w:rPr>
        <w:t>gminy</w:t>
      </w:r>
      <w:r w:rsidR="00436DDB">
        <w:rPr>
          <w:rFonts w:asciiTheme="minorHAnsi" w:hAnsiTheme="minorHAnsi" w:cs="Arial"/>
          <w:sz w:val="22"/>
          <w:szCs w:val="22"/>
        </w:rPr>
        <w:t xml:space="preserve"> do systemu. Umowa z inwestorem jest dobrowo</w:t>
      </w:r>
      <w:r w:rsidR="00436DDB">
        <w:rPr>
          <w:rFonts w:asciiTheme="minorHAnsi" w:hAnsiTheme="minorHAnsi" w:cs="Arial"/>
          <w:sz w:val="22"/>
          <w:szCs w:val="22"/>
        </w:rPr>
        <w:t>l</w:t>
      </w:r>
      <w:r w:rsidR="00436DDB">
        <w:rPr>
          <w:rFonts w:asciiTheme="minorHAnsi" w:hAnsiTheme="minorHAnsi" w:cs="Arial"/>
          <w:sz w:val="22"/>
          <w:szCs w:val="22"/>
        </w:rPr>
        <w:t>na. Jeżeli zatem gmina stwierdzi, że nie ma interesu w przystąpieniu do systemu, np. w sytuacji, gdy jest w stanie sama zaspokoić potrzeby mieszkaniowe członków lokalnej wspólnoty z wykorzystaniem innych instrumentów (np. budownictwa komunalnego)</w:t>
      </w:r>
      <w:r w:rsidR="0097693E">
        <w:rPr>
          <w:rFonts w:asciiTheme="minorHAnsi" w:hAnsiTheme="minorHAnsi" w:cs="Arial"/>
          <w:sz w:val="22"/>
          <w:szCs w:val="22"/>
        </w:rPr>
        <w:t>,</w:t>
      </w:r>
      <w:r w:rsidR="00436DDB">
        <w:rPr>
          <w:rFonts w:asciiTheme="minorHAnsi" w:hAnsiTheme="minorHAnsi" w:cs="Arial"/>
          <w:sz w:val="22"/>
          <w:szCs w:val="22"/>
        </w:rPr>
        <w:t xml:space="preserve"> to tego nie uczyni. </w:t>
      </w:r>
      <w:r w:rsidR="00441CF4" w:rsidRPr="00441CF4">
        <w:rPr>
          <w:rFonts w:asciiTheme="minorHAnsi" w:hAnsiTheme="minorHAnsi" w:cs="Arial"/>
          <w:sz w:val="22"/>
          <w:szCs w:val="22"/>
        </w:rPr>
        <w:t>Innymi słowy instrument może stanowić istotne narzędzie realizacji lokalnej polityki mieszkaniowej, która wpisuje się w zad</w:t>
      </w:r>
      <w:r w:rsidR="00441CF4" w:rsidRPr="00441CF4">
        <w:rPr>
          <w:rFonts w:asciiTheme="minorHAnsi" w:hAnsiTheme="minorHAnsi" w:cs="Arial"/>
          <w:sz w:val="22"/>
          <w:szCs w:val="22"/>
        </w:rPr>
        <w:t>a</w:t>
      </w:r>
      <w:r w:rsidR="00441CF4" w:rsidRPr="00441CF4">
        <w:rPr>
          <w:rFonts w:asciiTheme="minorHAnsi" w:hAnsiTheme="minorHAnsi" w:cs="Arial"/>
          <w:sz w:val="22"/>
          <w:szCs w:val="22"/>
        </w:rPr>
        <w:t>nia własne gminy.</w:t>
      </w:r>
    </w:p>
    <w:p w:rsidR="00441CF4" w:rsidRDefault="00217D8E" w:rsidP="00436DDB">
      <w:pPr>
        <w:tabs>
          <w:tab w:val="left" w:pos="540"/>
        </w:tabs>
        <w:spacing w:after="240" w:line="240" w:lineRule="exact"/>
        <w:rPr>
          <w:rFonts w:asciiTheme="minorHAnsi" w:hAnsiTheme="minorHAnsi" w:cs="Arial"/>
          <w:sz w:val="22"/>
          <w:szCs w:val="22"/>
        </w:rPr>
      </w:pPr>
      <w:r w:rsidRPr="00077B88">
        <w:rPr>
          <w:rFonts w:asciiTheme="minorHAnsi" w:hAnsiTheme="minorHAnsi" w:cs="Arial"/>
          <w:sz w:val="22"/>
          <w:szCs w:val="22"/>
        </w:rPr>
        <w:t>Niezależnie od powyższego należy</w:t>
      </w:r>
      <w:r w:rsidR="00773D51" w:rsidRPr="00077B88">
        <w:rPr>
          <w:rFonts w:asciiTheme="minorHAnsi" w:hAnsiTheme="minorHAnsi" w:cs="Arial"/>
          <w:sz w:val="22"/>
          <w:szCs w:val="22"/>
        </w:rPr>
        <w:t xml:space="preserve"> zauważyć, że </w:t>
      </w:r>
      <w:r w:rsidR="00602596" w:rsidRPr="00077B88">
        <w:rPr>
          <w:rFonts w:asciiTheme="minorHAnsi" w:hAnsiTheme="minorHAnsi" w:cs="Arial"/>
          <w:sz w:val="22"/>
          <w:szCs w:val="22"/>
        </w:rPr>
        <w:t>prognozowana</w:t>
      </w:r>
      <w:r w:rsidR="00773D51" w:rsidRPr="00077B88">
        <w:rPr>
          <w:rFonts w:asciiTheme="minorHAnsi" w:hAnsiTheme="minorHAnsi" w:cs="Arial"/>
          <w:sz w:val="22"/>
          <w:szCs w:val="22"/>
        </w:rPr>
        <w:t xml:space="preserve"> skala decyzji </w:t>
      </w:r>
      <w:r w:rsidR="00602596" w:rsidRPr="00077B88">
        <w:rPr>
          <w:rFonts w:asciiTheme="minorHAnsi" w:hAnsiTheme="minorHAnsi" w:cs="Arial"/>
          <w:sz w:val="22"/>
          <w:szCs w:val="22"/>
        </w:rPr>
        <w:t>w sprawie</w:t>
      </w:r>
      <w:r w:rsidR="00773D51" w:rsidRPr="00077B88">
        <w:rPr>
          <w:rFonts w:asciiTheme="minorHAnsi" w:hAnsiTheme="minorHAnsi" w:cs="Arial"/>
          <w:sz w:val="22"/>
          <w:szCs w:val="22"/>
        </w:rPr>
        <w:t xml:space="preserve"> dopłat </w:t>
      </w:r>
      <w:r w:rsidR="00602596" w:rsidRPr="00077B88">
        <w:rPr>
          <w:rFonts w:asciiTheme="minorHAnsi" w:hAnsiTheme="minorHAnsi" w:cs="Arial"/>
          <w:sz w:val="22"/>
          <w:szCs w:val="22"/>
        </w:rPr>
        <w:t>będzie</w:t>
      </w:r>
      <w:r w:rsidR="00773D51" w:rsidRPr="00077B88">
        <w:rPr>
          <w:rFonts w:asciiTheme="minorHAnsi" w:hAnsiTheme="minorHAnsi" w:cs="Arial"/>
          <w:sz w:val="22"/>
          <w:szCs w:val="22"/>
        </w:rPr>
        <w:t xml:space="preserve"> wielokrotnie niższa niż np. decyzji dotyczących dodatków mieszkaniowych. Analiza systemu obsługi dodatków mieszkaniowych </w:t>
      </w:r>
      <w:r w:rsidR="00602596" w:rsidRPr="007E1519">
        <w:rPr>
          <w:rFonts w:asciiTheme="minorHAnsi" w:hAnsiTheme="minorHAnsi" w:cs="Arial"/>
          <w:sz w:val="22"/>
          <w:szCs w:val="22"/>
        </w:rPr>
        <w:t>przeprowadzona</w:t>
      </w:r>
      <w:r w:rsidR="00773D51" w:rsidRPr="00ED49F1">
        <w:rPr>
          <w:rFonts w:asciiTheme="minorHAnsi" w:hAnsiTheme="minorHAnsi" w:cs="Arial"/>
          <w:sz w:val="22"/>
          <w:szCs w:val="22"/>
        </w:rPr>
        <w:t xml:space="preserve"> </w:t>
      </w:r>
      <w:r w:rsidR="00602596" w:rsidRPr="00ED49F1">
        <w:rPr>
          <w:rFonts w:asciiTheme="minorHAnsi" w:hAnsiTheme="minorHAnsi" w:cs="Arial"/>
          <w:sz w:val="22"/>
          <w:szCs w:val="22"/>
        </w:rPr>
        <w:t xml:space="preserve">przez </w:t>
      </w:r>
      <w:r w:rsidR="00514A1B" w:rsidRPr="00ED49F1">
        <w:rPr>
          <w:rFonts w:asciiTheme="minorHAnsi" w:hAnsiTheme="minorHAnsi" w:cs="Arial"/>
          <w:sz w:val="22"/>
          <w:szCs w:val="22"/>
        </w:rPr>
        <w:t>Departament Polityki Mieszk</w:t>
      </w:r>
      <w:r w:rsidR="00514A1B" w:rsidRPr="001E0239">
        <w:rPr>
          <w:rFonts w:asciiTheme="minorHAnsi" w:hAnsiTheme="minorHAnsi" w:cs="Arial"/>
          <w:sz w:val="22"/>
          <w:szCs w:val="22"/>
        </w:rPr>
        <w:t xml:space="preserve">aniowej w </w:t>
      </w:r>
      <w:r w:rsidR="00514A1B" w:rsidRPr="001C700D">
        <w:rPr>
          <w:rFonts w:asciiTheme="minorHAnsi" w:hAnsiTheme="minorHAnsi" w:cs="Arial"/>
          <w:sz w:val="22"/>
          <w:szCs w:val="22"/>
        </w:rPr>
        <w:t>Kancelarii</w:t>
      </w:r>
      <w:r w:rsidR="00602596" w:rsidRPr="005D72E1">
        <w:rPr>
          <w:rFonts w:asciiTheme="minorHAnsi" w:hAnsiTheme="minorHAnsi" w:cs="Arial"/>
          <w:sz w:val="22"/>
          <w:szCs w:val="22"/>
        </w:rPr>
        <w:t xml:space="preserve"> Prezesa Rady Ministrów</w:t>
      </w:r>
      <w:r w:rsidR="00602596" w:rsidRPr="00042B8D">
        <w:rPr>
          <w:rFonts w:asciiTheme="minorHAnsi" w:hAnsiTheme="minorHAnsi" w:cs="Arial"/>
          <w:sz w:val="22"/>
          <w:szCs w:val="22"/>
        </w:rPr>
        <w:t xml:space="preserve"> wykazała, ż</w:t>
      </w:r>
      <w:r w:rsidR="00773D51" w:rsidRPr="000D4318">
        <w:rPr>
          <w:rFonts w:asciiTheme="minorHAnsi" w:hAnsiTheme="minorHAnsi" w:cs="Arial"/>
          <w:sz w:val="22"/>
          <w:szCs w:val="22"/>
        </w:rPr>
        <w:t xml:space="preserve">e gminy </w:t>
      </w:r>
      <w:r w:rsidR="00602596" w:rsidRPr="000D4318">
        <w:rPr>
          <w:rFonts w:asciiTheme="minorHAnsi" w:hAnsiTheme="minorHAnsi" w:cs="Arial"/>
          <w:sz w:val="22"/>
          <w:szCs w:val="22"/>
        </w:rPr>
        <w:t>dysponują dużymi rezerwami w zakresie</w:t>
      </w:r>
      <w:r w:rsidR="00773D51" w:rsidRPr="00077B88">
        <w:rPr>
          <w:rFonts w:asciiTheme="minorHAnsi" w:hAnsiTheme="minorHAnsi" w:cs="Arial"/>
          <w:sz w:val="22"/>
          <w:szCs w:val="22"/>
        </w:rPr>
        <w:t xml:space="preserve"> możliwości </w:t>
      </w:r>
      <w:r w:rsidR="00602596" w:rsidRPr="00077B88">
        <w:rPr>
          <w:rFonts w:asciiTheme="minorHAnsi" w:hAnsiTheme="minorHAnsi" w:cs="Arial"/>
          <w:sz w:val="22"/>
          <w:szCs w:val="22"/>
        </w:rPr>
        <w:t>a</w:t>
      </w:r>
      <w:r w:rsidR="00602596" w:rsidRPr="00077B88">
        <w:rPr>
          <w:rFonts w:asciiTheme="minorHAnsi" w:hAnsiTheme="minorHAnsi" w:cs="Arial"/>
          <w:sz w:val="22"/>
          <w:szCs w:val="22"/>
        </w:rPr>
        <w:t>n</w:t>
      </w:r>
      <w:r w:rsidR="00602596" w:rsidRPr="00077B88">
        <w:rPr>
          <w:rFonts w:asciiTheme="minorHAnsi" w:hAnsiTheme="minorHAnsi" w:cs="Arial"/>
          <w:sz w:val="22"/>
          <w:szCs w:val="22"/>
        </w:rPr>
        <w:t>gażowania</w:t>
      </w:r>
      <w:r w:rsidR="00773D51" w:rsidRPr="00077B88">
        <w:rPr>
          <w:rFonts w:asciiTheme="minorHAnsi" w:hAnsiTheme="minorHAnsi" w:cs="Arial"/>
          <w:sz w:val="22"/>
          <w:szCs w:val="22"/>
        </w:rPr>
        <w:t xml:space="preserve"> pracowników wydających decyzje o dodatkach mieszkaniowych w </w:t>
      </w:r>
      <w:r w:rsidR="00602596" w:rsidRPr="00077B88">
        <w:rPr>
          <w:rFonts w:asciiTheme="minorHAnsi" w:hAnsiTheme="minorHAnsi" w:cs="Arial"/>
          <w:sz w:val="22"/>
          <w:szCs w:val="22"/>
        </w:rPr>
        <w:t>procedurę wydawania</w:t>
      </w:r>
      <w:r w:rsidR="00773D51" w:rsidRPr="00077B88">
        <w:rPr>
          <w:rFonts w:asciiTheme="minorHAnsi" w:hAnsiTheme="minorHAnsi" w:cs="Arial"/>
          <w:sz w:val="22"/>
          <w:szCs w:val="22"/>
        </w:rPr>
        <w:t xml:space="preserve"> decyzji </w:t>
      </w:r>
      <w:r w:rsidR="00602596" w:rsidRPr="00077B88">
        <w:rPr>
          <w:rFonts w:asciiTheme="minorHAnsi" w:hAnsiTheme="minorHAnsi" w:cs="Arial"/>
          <w:sz w:val="22"/>
          <w:szCs w:val="22"/>
        </w:rPr>
        <w:t>w sprawie dopłat</w:t>
      </w:r>
      <w:r w:rsidR="00773D51" w:rsidRPr="00077B88">
        <w:rPr>
          <w:rFonts w:asciiTheme="minorHAnsi" w:hAnsiTheme="minorHAnsi" w:cs="Arial"/>
          <w:sz w:val="22"/>
          <w:szCs w:val="22"/>
        </w:rPr>
        <w:t>, bez konieczności zatrudniania dodatkowych osób.</w:t>
      </w:r>
    </w:p>
    <w:p w:rsidR="008A7149" w:rsidRDefault="00F345D5" w:rsidP="00967DFB">
      <w:pPr>
        <w:tabs>
          <w:tab w:val="left" w:pos="540"/>
        </w:tabs>
        <w:spacing w:after="240" w:line="240" w:lineRule="exact"/>
        <w:rPr>
          <w:rFonts w:asciiTheme="minorHAnsi" w:hAnsiTheme="minorHAnsi" w:cs="Arial"/>
          <w:sz w:val="22"/>
          <w:szCs w:val="22"/>
        </w:rPr>
      </w:pPr>
      <w:r>
        <w:rPr>
          <w:rFonts w:asciiTheme="minorHAnsi" w:hAnsiTheme="minorHAnsi" w:cs="Arial"/>
          <w:sz w:val="22"/>
          <w:szCs w:val="22"/>
        </w:rPr>
        <w:t xml:space="preserve">W </w:t>
      </w:r>
      <w:r w:rsidRPr="00F345D5">
        <w:rPr>
          <w:rFonts w:asciiTheme="minorHAnsi" w:hAnsiTheme="minorHAnsi" w:cs="Arial"/>
          <w:b/>
          <w:sz w:val="22"/>
          <w:szCs w:val="22"/>
        </w:rPr>
        <w:t>art. 8</w:t>
      </w:r>
      <w:r>
        <w:rPr>
          <w:rFonts w:asciiTheme="minorHAnsi" w:hAnsiTheme="minorHAnsi" w:cs="Arial"/>
          <w:sz w:val="22"/>
          <w:szCs w:val="22"/>
        </w:rPr>
        <w:t xml:space="preserve"> przesądzono, że lokale objęte na podstawie umowy inwestora z gminą prawem stosowania dopłat muszą posiadać status lokali na wynajem przez okres co najmniej 10 lat od dnia zakończenia inwestycji mieszkaniowej (niezależnie od prawa do dopłat stosowanego wobec najemców tych lok</w:t>
      </w:r>
      <w:r>
        <w:rPr>
          <w:rFonts w:asciiTheme="minorHAnsi" w:hAnsiTheme="minorHAnsi" w:cs="Arial"/>
          <w:sz w:val="22"/>
          <w:szCs w:val="22"/>
        </w:rPr>
        <w:t>a</w:t>
      </w:r>
      <w:r>
        <w:rPr>
          <w:rFonts w:asciiTheme="minorHAnsi" w:hAnsiTheme="minorHAnsi" w:cs="Arial"/>
          <w:sz w:val="22"/>
          <w:szCs w:val="22"/>
        </w:rPr>
        <w:t>li).</w:t>
      </w:r>
      <w:r w:rsidRPr="009B4AA0">
        <w:rPr>
          <w:rFonts w:asciiTheme="minorHAnsi" w:hAnsiTheme="minorHAnsi" w:cs="Arial"/>
          <w:sz w:val="22"/>
          <w:szCs w:val="22"/>
        </w:rPr>
        <w:t xml:space="preserve"> </w:t>
      </w:r>
      <w:r w:rsidR="009B4AA0" w:rsidRPr="009B4AA0">
        <w:rPr>
          <w:rFonts w:asciiTheme="minorHAnsi" w:hAnsiTheme="minorHAnsi" w:cs="Arial"/>
          <w:sz w:val="22"/>
          <w:szCs w:val="22"/>
        </w:rPr>
        <w:t xml:space="preserve">Wynika to z proinwestycyjnego celu regulacji mającej zachęcić inwestorów do angażowania się w rozwój rynku najmu. </w:t>
      </w:r>
      <w:r>
        <w:rPr>
          <w:rFonts w:asciiTheme="minorHAnsi" w:hAnsiTheme="minorHAnsi" w:cs="Arial"/>
          <w:sz w:val="22"/>
          <w:szCs w:val="22"/>
        </w:rPr>
        <w:t>P</w:t>
      </w:r>
      <w:r w:rsidRPr="00F345D5">
        <w:rPr>
          <w:rFonts w:asciiTheme="minorHAnsi" w:hAnsiTheme="minorHAnsi" w:cs="Arial"/>
          <w:sz w:val="22"/>
          <w:szCs w:val="22"/>
        </w:rPr>
        <w:t xml:space="preserve">rzyjęty dziesięcioletni a nie dziewięcioletni </w:t>
      </w:r>
      <w:r>
        <w:rPr>
          <w:rFonts w:asciiTheme="minorHAnsi" w:hAnsiTheme="minorHAnsi" w:cs="Arial"/>
          <w:sz w:val="22"/>
          <w:szCs w:val="22"/>
        </w:rPr>
        <w:t>obowiązek</w:t>
      </w:r>
      <w:r w:rsidRPr="00F345D5">
        <w:rPr>
          <w:rFonts w:asciiTheme="minorHAnsi" w:hAnsiTheme="minorHAnsi" w:cs="Arial"/>
          <w:sz w:val="22"/>
          <w:szCs w:val="22"/>
        </w:rPr>
        <w:t xml:space="preserve"> </w:t>
      </w:r>
      <w:r>
        <w:rPr>
          <w:rFonts w:asciiTheme="minorHAnsi" w:hAnsiTheme="minorHAnsi" w:cs="Arial"/>
          <w:sz w:val="22"/>
          <w:szCs w:val="22"/>
        </w:rPr>
        <w:t xml:space="preserve">zachowania rotacyjnego charakteru zasobu </w:t>
      </w:r>
      <w:r w:rsidRPr="00F345D5">
        <w:rPr>
          <w:rFonts w:asciiTheme="minorHAnsi" w:hAnsiTheme="minorHAnsi" w:cs="Arial"/>
          <w:sz w:val="22"/>
          <w:szCs w:val="22"/>
        </w:rPr>
        <w:t xml:space="preserve">jest </w:t>
      </w:r>
      <w:r w:rsidR="009B4AA0">
        <w:rPr>
          <w:rFonts w:asciiTheme="minorHAnsi" w:hAnsiTheme="minorHAnsi" w:cs="Arial"/>
          <w:sz w:val="22"/>
          <w:szCs w:val="22"/>
        </w:rPr>
        <w:t xml:space="preserve">w tym kontekście </w:t>
      </w:r>
      <w:r w:rsidRPr="00F345D5">
        <w:rPr>
          <w:rFonts w:asciiTheme="minorHAnsi" w:hAnsiTheme="minorHAnsi" w:cs="Arial"/>
          <w:sz w:val="22"/>
          <w:szCs w:val="22"/>
        </w:rPr>
        <w:t xml:space="preserve">motywowany </w:t>
      </w:r>
      <w:r w:rsidR="009B4AA0">
        <w:rPr>
          <w:rFonts w:asciiTheme="minorHAnsi" w:hAnsiTheme="minorHAnsi" w:cs="Arial"/>
          <w:sz w:val="22"/>
          <w:szCs w:val="22"/>
        </w:rPr>
        <w:t xml:space="preserve">również </w:t>
      </w:r>
      <w:r w:rsidRPr="00F345D5">
        <w:rPr>
          <w:rFonts w:asciiTheme="minorHAnsi" w:hAnsiTheme="minorHAnsi" w:cs="Arial"/>
          <w:sz w:val="22"/>
          <w:szCs w:val="22"/>
        </w:rPr>
        <w:t>faktem odniesienia okresu użytk</w:t>
      </w:r>
      <w:r w:rsidRPr="00F345D5">
        <w:rPr>
          <w:rFonts w:asciiTheme="minorHAnsi" w:hAnsiTheme="minorHAnsi" w:cs="Arial"/>
          <w:sz w:val="22"/>
          <w:szCs w:val="22"/>
        </w:rPr>
        <w:t>o</w:t>
      </w:r>
      <w:r w:rsidRPr="00F345D5">
        <w:rPr>
          <w:rFonts w:asciiTheme="minorHAnsi" w:hAnsiTheme="minorHAnsi" w:cs="Arial"/>
          <w:sz w:val="22"/>
          <w:szCs w:val="22"/>
        </w:rPr>
        <w:t xml:space="preserve">wania </w:t>
      </w:r>
      <w:r>
        <w:rPr>
          <w:rFonts w:asciiTheme="minorHAnsi" w:hAnsiTheme="minorHAnsi" w:cs="Arial"/>
          <w:sz w:val="22"/>
          <w:szCs w:val="22"/>
        </w:rPr>
        <w:t>lokali</w:t>
      </w:r>
      <w:r w:rsidRPr="00F345D5">
        <w:rPr>
          <w:rFonts w:asciiTheme="minorHAnsi" w:hAnsiTheme="minorHAnsi" w:cs="Arial"/>
          <w:sz w:val="22"/>
          <w:szCs w:val="22"/>
        </w:rPr>
        <w:t xml:space="preserve"> na zasadach najmu</w:t>
      </w:r>
      <w:r>
        <w:rPr>
          <w:rFonts w:asciiTheme="minorHAnsi" w:hAnsiTheme="minorHAnsi" w:cs="Arial"/>
          <w:sz w:val="22"/>
          <w:szCs w:val="22"/>
        </w:rPr>
        <w:t xml:space="preserve"> do </w:t>
      </w:r>
      <w:r w:rsidR="009B4AA0">
        <w:rPr>
          <w:rFonts w:asciiTheme="minorHAnsi" w:hAnsiTheme="minorHAnsi" w:cs="Arial"/>
          <w:sz w:val="22"/>
          <w:szCs w:val="22"/>
        </w:rPr>
        <w:t xml:space="preserve">możliwości stosowania dopłat i </w:t>
      </w:r>
      <w:r>
        <w:rPr>
          <w:rFonts w:asciiTheme="minorHAnsi" w:hAnsiTheme="minorHAnsi" w:cs="Arial"/>
          <w:sz w:val="22"/>
          <w:szCs w:val="22"/>
        </w:rPr>
        <w:t>daty zakończenia inwestycji. J</w:t>
      </w:r>
      <w:r w:rsidRPr="00F345D5">
        <w:rPr>
          <w:rFonts w:asciiTheme="minorHAnsi" w:hAnsiTheme="minorHAnsi" w:cs="Arial"/>
          <w:sz w:val="22"/>
          <w:szCs w:val="22"/>
        </w:rPr>
        <w:t xml:space="preserve">ak </w:t>
      </w:r>
      <w:r w:rsidRPr="00F345D5">
        <w:rPr>
          <w:rFonts w:asciiTheme="minorHAnsi" w:hAnsiTheme="minorHAnsi" w:cs="Arial"/>
          <w:sz w:val="22"/>
          <w:szCs w:val="22"/>
        </w:rPr>
        <w:lastRenderedPageBreak/>
        <w:t>wcześniej wspomniano, dopłaty mogą być stosowane również wobec tych najemców, którzy po raz pierwszy zasiedlili mieszkanie przed upływem 12 miesięcy od dnia zakończenia inwestycji</w:t>
      </w:r>
      <w:r>
        <w:rPr>
          <w:rFonts w:asciiTheme="minorHAnsi" w:hAnsiTheme="minorHAnsi" w:cs="Arial"/>
          <w:sz w:val="22"/>
          <w:szCs w:val="22"/>
        </w:rPr>
        <w:t>.</w:t>
      </w:r>
    </w:p>
    <w:p w:rsidR="00002CC2" w:rsidRDefault="00002CC2" w:rsidP="00967DFB">
      <w:pPr>
        <w:tabs>
          <w:tab w:val="left" w:pos="540"/>
        </w:tabs>
        <w:spacing w:after="240" w:line="240" w:lineRule="exact"/>
        <w:rPr>
          <w:rFonts w:asciiTheme="minorHAnsi" w:hAnsiTheme="minorHAnsi" w:cs="Arial"/>
          <w:sz w:val="22"/>
          <w:szCs w:val="22"/>
        </w:rPr>
      </w:pPr>
      <w:r>
        <w:rPr>
          <w:rFonts w:asciiTheme="minorHAnsi" w:hAnsiTheme="minorHAnsi" w:cs="Arial"/>
          <w:sz w:val="22"/>
          <w:szCs w:val="22"/>
        </w:rPr>
        <w:t xml:space="preserve">Poza wymogiem dotyczącym inwestycji mieszkaniowej, związanym z koniecznością zawarcia umowy między inwestorem a </w:t>
      </w:r>
      <w:r w:rsidR="008A7149">
        <w:rPr>
          <w:rFonts w:asciiTheme="minorHAnsi" w:hAnsiTheme="minorHAnsi" w:cs="Arial"/>
          <w:sz w:val="22"/>
          <w:szCs w:val="22"/>
        </w:rPr>
        <w:t>gminą</w:t>
      </w:r>
      <w:r>
        <w:rPr>
          <w:rFonts w:asciiTheme="minorHAnsi" w:hAnsiTheme="minorHAnsi" w:cs="Arial"/>
          <w:sz w:val="22"/>
          <w:szCs w:val="22"/>
        </w:rPr>
        <w:t>, możliwość stosowania dopłat projektodawca uzależnił również od d</w:t>
      </w:r>
      <w:r>
        <w:rPr>
          <w:rFonts w:asciiTheme="minorHAnsi" w:hAnsiTheme="minorHAnsi" w:cs="Arial"/>
          <w:sz w:val="22"/>
          <w:szCs w:val="22"/>
        </w:rPr>
        <w:t>o</w:t>
      </w:r>
      <w:r>
        <w:rPr>
          <w:rFonts w:asciiTheme="minorHAnsi" w:hAnsiTheme="minorHAnsi" w:cs="Arial"/>
          <w:sz w:val="22"/>
          <w:szCs w:val="22"/>
        </w:rPr>
        <w:t>datkowych warunków dla najemców, motywowanych lokalną sytuacją mieszkaniową (mimo że w</w:t>
      </w:r>
      <w:r>
        <w:rPr>
          <w:rFonts w:asciiTheme="minorHAnsi" w:hAnsiTheme="minorHAnsi" w:cs="Arial"/>
          <w:sz w:val="22"/>
          <w:szCs w:val="22"/>
        </w:rPr>
        <w:t>a</w:t>
      </w:r>
      <w:r>
        <w:rPr>
          <w:rFonts w:asciiTheme="minorHAnsi" w:hAnsiTheme="minorHAnsi" w:cs="Arial"/>
          <w:sz w:val="22"/>
          <w:szCs w:val="22"/>
        </w:rPr>
        <w:t>runki te są wymogami warunkującymi wynajęcie mieszkania, a nie uzyskanie dopłat, to przez fakt limitowania dostępu do mieszkań, wpływają pośrednio na możliwość uzyskania dopłat; ich spełnienie gwarantuje</w:t>
      </w:r>
      <w:r w:rsidR="00C60E6A">
        <w:rPr>
          <w:rFonts w:asciiTheme="minorHAnsi" w:hAnsiTheme="minorHAnsi" w:cs="Arial"/>
          <w:sz w:val="22"/>
          <w:szCs w:val="22"/>
        </w:rPr>
        <w:t xml:space="preserve"> bowiem najem lokalu</w:t>
      </w:r>
      <w:r w:rsidR="00E93567">
        <w:rPr>
          <w:rFonts w:asciiTheme="minorHAnsi" w:hAnsiTheme="minorHAnsi" w:cs="Arial"/>
          <w:sz w:val="22"/>
          <w:szCs w:val="22"/>
        </w:rPr>
        <w:t xml:space="preserve"> objętego możliwością stosowania dopłat</w:t>
      </w:r>
      <w:r>
        <w:rPr>
          <w:rFonts w:asciiTheme="minorHAnsi" w:hAnsiTheme="minorHAnsi" w:cs="Arial"/>
          <w:sz w:val="22"/>
          <w:szCs w:val="22"/>
        </w:rPr>
        <w:t xml:space="preserve">). Zgodnie z </w:t>
      </w:r>
      <w:r w:rsidRPr="004C494A">
        <w:rPr>
          <w:rFonts w:asciiTheme="minorHAnsi" w:hAnsiTheme="minorHAnsi" w:cs="Arial"/>
          <w:b/>
          <w:sz w:val="22"/>
          <w:szCs w:val="22"/>
        </w:rPr>
        <w:t xml:space="preserve">art. </w:t>
      </w:r>
      <w:r w:rsidR="00DF735B">
        <w:rPr>
          <w:rFonts w:asciiTheme="minorHAnsi" w:hAnsiTheme="minorHAnsi" w:cs="Arial"/>
          <w:b/>
          <w:sz w:val="22"/>
          <w:szCs w:val="22"/>
        </w:rPr>
        <w:t>9</w:t>
      </w:r>
      <w:r w:rsidR="00DF735B">
        <w:rPr>
          <w:rFonts w:asciiTheme="minorHAnsi" w:hAnsiTheme="minorHAnsi" w:cs="Arial"/>
          <w:sz w:val="22"/>
          <w:szCs w:val="22"/>
        </w:rPr>
        <w:t xml:space="preserve"> </w:t>
      </w:r>
      <w:r w:rsidR="00967DFB">
        <w:rPr>
          <w:rFonts w:asciiTheme="minorHAnsi" w:hAnsiTheme="minorHAnsi" w:cs="Arial"/>
          <w:sz w:val="22"/>
          <w:szCs w:val="22"/>
        </w:rPr>
        <w:t>określa je rada gminy w drodze</w:t>
      </w:r>
      <w:r w:rsidR="004714BA">
        <w:rPr>
          <w:rFonts w:asciiTheme="minorHAnsi" w:hAnsiTheme="minorHAnsi" w:cs="Arial"/>
          <w:sz w:val="22"/>
          <w:szCs w:val="22"/>
        </w:rPr>
        <w:t xml:space="preserve"> uchwały jako kryteria pierwszeństwa, na podstawie których </w:t>
      </w:r>
      <w:r w:rsidR="004714BA" w:rsidRPr="004714BA">
        <w:rPr>
          <w:rFonts w:asciiTheme="minorHAnsi" w:hAnsiTheme="minorHAnsi" w:cs="Arial"/>
          <w:sz w:val="22"/>
          <w:szCs w:val="22"/>
        </w:rPr>
        <w:t>odbywa się n</w:t>
      </w:r>
      <w:r w:rsidR="004714BA" w:rsidRPr="004714BA">
        <w:rPr>
          <w:rFonts w:asciiTheme="minorHAnsi" w:hAnsiTheme="minorHAnsi" w:cs="Arial"/>
          <w:sz w:val="22"/>
          <w:szCs w:val="22"/>
        </w:rPr>
        <w:t>a</w:t>
      </w:r>
      <w:r w:rsidR="004714BA" w:rsidRPr="004714BA">
        <w:rPr>
          <w:rFonts w:asciiTheme="minorHAnsi" w:hAnsiTheme="minorHAnsi" w:cs="Arial"/>
          <w:sz w:val="22"/>
          <w:szCs w:val="22"/>
        </w:rPr>
        <w:t>bór wniosków o zawarcie umowy najmu mieszkań</w:t>
      </w:r>
      <w:r w:rsidR="00530893">
        <w:rPr>
          <w:rFonts w:asciiTheme="minorHAnsi" w:hAnsiTheme="minorHAnsi" w:cs="Arial"/>
          <w:sz w:val="22"/>
          <w:szCs w:val="22"/>
        </w:rPr>
        <w:t xml:space="preserve"> objętych</w:t>
      </w:r>
      <w:r w:rsidR="004714BA">
        <w:rPr>
          <w:rFonts w:asciiTheme="minorHAnsi" w:hAnsiTheme="minorHAnsi" w:cs="Arial"/>
          <w:sz w:val="22"/>
          <w:szCs w:val="22"/>
        </w:rPr>
        <w:t xml:space="preserve"> inwestycj</w:t>
      </w:r>
      <w:r w:rsidR="00530893">
        <w:rPr>
          <w:rFonts w:asciiTheme="minorHAnsi" w:hAnsiTheme="minorHAnsi" w:cs="Arial"/>
          <w:sz w:val="22"/>
          <w:szCs w:val="22"/>
        </w:rPr>
        <w:t>ą</w:t>
      </w:r>
      <w:r w:rsidR="004714BA">
        <w:rPr>
          <w:rFonts w:asciiTheme="minorHAnsi" w:hAnsiTheme="minorHAnsi" w:cs="Arial"/>
          <w:sz w:val="22"/>
          <w:szCs w:val="22"/>
        </w:rPr>
        <w:t xml:space="preserve"> mieszkaniow</w:t>
      </w:r>
      <w:r w:rsidR="00530893">
        <w:rPr>
          <w:rFonts w:asciiTheme="minorHAnsi" w:hAnsiTheme="minorHAnsi" w:cs="Arial"/>
          <w:sz w:val="22"/>
          <w:szCs w:val="22"/>
        </w:rPr>
        <w:t>ą</w:t>
      </w:r>
      <w:r w:rsidR="00967DFB">
        <w:rPr>
          <w:rFonts w:asciiTheme="minorHAnsi" w:hAnsiTheme="minorHAnsi" w:cs="Arial"/>
          <w:sz w:val="22"/>
          <w:szCs w:val="22"/>
        </w:rPr>
        <w:t>.</w:t>
      </w:r>
      <w:r w:rsidR="00967DFB" w:rsidRPr="00967DFB">
        <w:rPr>
          <w:rFonts w:asciiTheme="minorHAnsi" w:hAnsiTheme="minorHAnsi" w:cs="Arial"/>
          <w:sz w:val="22"/>
          <w:szCs w:val="22"/>
        </w:rPr>
        <w:t xml:space="preserve"> Należy zauw</w:t>
      </w:r>
      <w:r w:rsidR="00967DFB" w:rsidRPr="00967DFB">
        <w:rPr>
          <w:rFonts w:asciiTheme="minorHAnsi" w:hAnsiTheme="minorHAnsi" w:cs="Arial"/>
          <w:sz w:val="22"/>
          <w:szCs w:val="22"/>
        </w:rPr>
        <w:t>a</w:t>
      </w:r>
      <w:r w:rsidR="00967DFB" w:rsidRPr="00967DFB">
        <w:rPr>
          <w:rFonts w:asciiTheme="minorHAnsi" w:hAnsiTheme="minorHAnsi" w:cs="Arial"/>
          <w:sz w:val="22"/>
          <w:szCs w:val="22"/>
        </w:rPr>
        <w:t xml:space="preserve">żyć, że </w:t>
      </w:r>
      <w:r w:rsidR="00967DFB">
        <w:rPr>
          <w:rFonts w:asciiTheme="minorHAnsi" w:hAnsiTheme="minorHAnsi" w:cs="Arial"/>
          <w:sz w:val="22"/>
          <w:szCs w:val="22"/>
        </w:rPr>
        <w:t>r</w:t>
      </w:r>
      <w:r w:rsidR="00967DFB" w:rsidRPr="00967DFB">
        <w:rPr>
          <w:rFonts w:asciiTheme="minorHAnsi" w:hAnsiTheme="minorHAnsi" w:cs="Arial"/>
          <w:sz w:val="22"/>
          <w:szCs w:val="22"/>
        </w:rPr>
        <w:t xml:space="preserve">ada gminy nie ma jednak pełnej swobody w wyborze ww. kryteriów. Musi w tym względzie skorzystać </w:t>
      </w:r>
      <w:r w:rsidR="008F3147">
        <w:rPr>
          <w:rFonts w:asciiTheme="minorHAnsi" w:hAnsiTheme="minorHAnsi" w:cs="Arial"/>
          <w:sz w:val="22"/>
          <w:szCs w:val="22"/>
        </w:rPr>
        <w:br/>
      </w:r>
      <w:r w:rsidR="00967DFB" w:rsidRPr="00967DFB">
        <w:rPr>
          <w:rFonts w:asciiTheme="minorHAnsi" w:hAnsiTheme="minorHAnsi" w:cs="Arial"/>
          <w:sz w:val="22"/>
          <w:szCs w:val="22"/>
        </w:rPr>
        <w:t>z katalogu ustawowego, wybierając kryteria szczególnie istotne w kontekście lokalnej sytuacji mies</w:t>
      </w:r>
      <w:r w:rsidR="00967DFB" w:rsidRPr="00967DFB">
        <w:rPr>
          <w:rFonts w:asciiTheme="minorHAnsi" w:hAnsiTheme="minorHAnsi" w:cs="Arial"/>
          <w:sz w:val="22"/>
          <w:szCs w:val="22"/>
        </w:rPr>
        <w:t>z</w:t>
      </w:r>
      <w:r w:rsidR="00967DFB" w:rsidRPr="00967DFB">
        <w:rPr>
          <w:rFonts w:asciiTheme="minorHAnsi" w:hAnsiTheme="minorHAnsi" w:cs="Arial"/>
          <w:sz w:val="22"/>
          <w:szCs w:val="22"/>
        </w:rPr>
        <w:t>kaniowej i społecznej na danym terenie, dokonując ich parametryzacji</w:t>
      </w:r>
      <w:r w:rsidR="00967DFB">
        <w:rPr>
          <w:rFonts w:asciiTheme="minorHAnsi" w:hAnsiTheme="minorHAnsi" w:cs="Arial"/>
          <w:sz w:val="22"/>
          <w:szCs w:val="22"/>
        </w:rPr>
        <w:t xml:space="preserve"> (</w:t>
      </w:r>
      <w:r w:rsidR="00967DFB" w:rsidRPr="00967DFB">
        <w:rPr>
          <w:rFonts w:asciiTheme="minorHAnsi" w:hAnsiTheme="minorHAnsi" w:cs="Arial"/>
          <w:sz w:val="22"/>
          <w:szCs w:val="22"/>
        </w:rPr>
        <w:t>nie tylko w kontekście np. wielkości objętej zakresem kryterium, ale również w zakresie wartości przypisanych kryterium pier</w:t>
      </w:r>
      <w:r w:rsidR="00967DFB" w:rsidRPr="00967DFB">
        <w:rPr>
          <w:rFonts w:asciiTheme="minorHAnsi" w:hAnsiTheme="minorHAnsi" w:cs="Arial"/>
          <w:sz w:val="22"/>
          <w:szCs w:val="22"/>
        </w:rPr>
        <w:t>w</w:t>
      </w:r>
      <w:r w:rsidR="00967DFB" w:rsidRPr="00967DFB">
        <w:rPr>
          <w:rFonts w:asciiTheme="minorHAnsi" w:hAnsiTheme="minorHAnsi" w:cs="Arial"/>
          <w:sz w:val="22"/>
          <w:szCs w:val="22"/>
        </w:rPr>
        <w:t>szeństwa punktów</w:t>
      </w:r>
      <w:r w:rsidR="00967DFB">
        <w:rPr>
          <w:rFonts w:asciiTheme="minorHAnsi" w:hAnsiTheme="minorHAnsi" w:cs="Arial"/>
          <w:sz w:val="22"/>
          <w:szCs w:val="22"/>
        </w:rPr>
        <w:t xml:space="preserve">) </w:t>
      </w:r>
      <w:r w:rsidR="00967DFB" w:rsidRPr="00967DFB">
        <w:rPr>
          <w:rFonts w:asciiTheme="minorHAnsi" w:hAnsiTheme="minorHAnsi" w:cs="Arial"/>
          <w:sz w:val="22"/>
          <w:szCs w:val="22"/>
        </w:rPr>
        <w:t>i ewentualnego wyodrębnienia kryteriów bezwzględnie obowiązujących. Katalog ustawowy obejmuje m. in. kryteria dochodowe, wiekowe, niepełnosprawność, tytuł prawny do innej nieruchomości, migracje w celu podjęcia pracy lub nauki, status repatriant</w:t>
      </w:r>
      <w:r w:rsidR="00967DFB">
        <w:rPr>
          <w:rFonts w:asciiTheme="minorHAnsi" w:hAnsiTheme="minorHAnsi" w:cs="Arial"/>
          <w:sz w:val="22"/>
          <w:szCs w:val="22"/>
        </w:rPr>
        <w:t>a</w:t>
      </w:r>
      <w:r w:rsidR="00967DFB" w:rsidRPr="00967DFB">
        <w:rPr>
          <w:rFonts w:asciiTheme="minorHAnsi" w:hAnsiTheme="minorHAnsi" w:cs="Arial"/>
          <w:sz w:val="22"/>
          <w:szCs w:val="22"/>
        </w:rPr>
        <w:t>, posiadanie Karty Polaka, status ofiary katastrof naturalnych</w:t>
      </w:r>
      <w:r w:rsidR="00967DFB">
        <w:rPr>
          <w:rFonts w:asciiTheme="minorHAnsi" w:hAnsiTheme="minorHAnsi" w:cs="Arial"/>
          <w:sz w:val="22"/>
          <w:szCs w:val="22"/>
        </w:rPr>
        <w:t>, wyprowadzk</w:t>
      </w:r>
      <w:r w:rsidR="00355CC3">
        <w:rPr>
          <w:rFonts w:asciiTheme="minorHAnsi" w:hAnsiTheme="minorHAnsi" w:cs="Arial"/>
          <w:sz w:val="22"/>
          <w:szCs w:val="22"/>
        </w:rPr>
        <w:t>ę</w:t>
      </w:r>
      <w:r w:rsidR="00967DFB">
        <w:rPr>
          <w:rFonts w:asciiTheme="minorHAnsi" w:hAnsiTheme="minorHAnsi" w:cs="Arial"/>
          <w:sz w:val="22"/>
          <w:szCs w:val="22"/>
        </w:rPr>
        <w:t xml:space="preserve"> z mieszkaniowego zasobu gminy</w:t>
      </w:r>
      <w:r w:rsidR="00967DFB" w:rsidRPr="00967DFB">
        <w:rPr>
          <w:rFonts w:asciiTheme="minorHAnsi" w:hAnsiTheme="minorHAnsi" w:cs="Arial"/>
          <w:sz w:val="22"/>
          <w:szCs w:val="22"/>
        </w:rPr>
        <w:t xml:space="preserve"> etc. Rada gminy w ww. uchwale </w:t>
      </w:r>
      <w:r w:rsidR="00967DFB">
        <w:rPr>
          <w:rFonts w:asciiTheme="minorHAnsi" w:hAnsiTheme="minorHAnsi" w:cs="Arial"/>
          <w:sz w:val="22"/>
          <w:szCs w:val="22"/>
        </w:rPr>
        <w:t xml:space="preserve">może </w:t>
      </w:r>
      <w:r w:rsidR="00967DFB" w:rsidRPr="00967DFB">
        <w:rPr>
          <w:rFonts w:asciiTheme="minorHAnsi" w:hAnsiTheme="minorHAnsi" w:cs="Arial"/>
          <w:sz w:val="22"/>
          <w:szCs w:val="22"/>
        </w:rPr>
        <w:t>dookreślić ponadto, przykładowo, materię wniosku o zawarcie umowy najmu i jego z</w:t>
      </w:r>
      <w:r w:rsidR="00967DFB">
        <w:rPr>
          <w:rFonts w:asciiTheme="minorHAnsi" w:hAnsiTheme="minorHAnsi" w:cs="Arial"/>
          <w:sz w:val="22"/>
          <w:szCs w:val="22"/>
        </w:rPr>
        <w:t xml:space="preserve">ałączników, materię wynikającą </w:t>
      </w:r>
      <w:r w:rsidR="00967DFB" w:rsidRPr="00967DFB">
        <w:rPr>
          <w:rFonts w:asciiTheme="minorHAnsi" w:hAnsiTheme="minorHAnsi" w:cs="Arial"/>
          <w:sz w:val="22"/>
          <w:szCs w:val="22"/>
        </w:rPr>
        <w:t>ze struktury mieszkań, postępowanie w przypadku rezygnacji osoby ubiegającej się o zawarcie umowy najmu z dalszego uczestnictwa w naborze etc.</w:t>
      </w:r>
    </w:p>
    <w:p w:rsidR="00342C2B" w:rsidRDefault="00342C2B" w:rsidP="00967DFB">
      <w:pPr>
        <w:tabs>
          <w:tab w:val="left" w:pos="540"/>
        </w:tabs>
        <w:spacing w:after="240" w:line="240" w:lineRule="exact"/>
        <w:rPr>
          <w:rFonts w:asciiTheme="minorHAnsi" w:hAnsiTheme="minorHAnsi" w:cs="Arial"/>
          <w:sz w:val="22"/>
          <w:szCs w:val="22"/>
        </w:rPr>
      </w:pPr>
      <w:r>
        <w:rPr>
          <w:rFonts w:asciiTheme="minorHAnsi" w:hAnsiTheme="minorHAnsi" w:cs="Arial"/>
          <w:sz w:val="22"/>
          <w:szCs w:val="22"/>
        </w:rPr>
        <w:t>Podsumowując, przekazanie wyboru kryteriów i ich parametryzacji materii uchwały</w:t>
      </w:r>
      <w:r w:rsidRPr="00342C2B">
        <w:rPr>
          <w:rFonts w:asciiTheme="minorHAnsi" w:hAnsiTheme="minorHAnsi" w:cs="Arial"/>
          <w:sz w:val="22"/>
          <w:szCs w:val="22"/>
        </w:rPr>
        <w:t xml:space="preserve"> </w:t>
      </w:r>
      <w:r>
        <w:rPr>
          <w:rFonts w:asciiTheme="minorHAnsi" w:hAnsiTheme="minorHAnsi" w:cs="Arial"/>
          <w:sz w:val="22"/>
          <w:szCs w:val="22"/>
        </w:rPr>
        <w:t>uzasadnia ich</w:t>
      </w:r>
      <w:r w:rsidRPr="00342C2B">
        <w:rPr>
          <w:rFonts w:asciiTheme="minorHAnsi" w:hAnsiTheme="minorHAnsi" w:cs="Arial"/>
          <w:sz w:val="22"/>
          <w:szCs w:val="22"/>
        </w:rPr>
        <w:t xml:space="preserve"> uwarunkowan</w:t>
      </w:r>
      <w:r>
        <w:rPr>
          <w:rFonts w:asciiTheme="minorHAnsi" w:hAnsiTheme="minorHAnsi" w:cs="Arial"/>
          <w:sz w:val="22"/>
          <w:szCs w:val="22"/>
        </w:rPr>
        <w:t>i</w:t>
      </w:r>
      <w:r w:rsidRPr="00342C2B">
        <w:rPr>
          <w:rFonts w:asciiTheme="minorHAnsi" w:hAnsiTheme="minorHAnsi" w:cs="Arial"/>
          <w:sz w:val="22"/>
          <w:szCs w:val="22"/>
        </w:rPr>
        <w:t xml:space="preserve">e lokalną sytuacją mieszkaniową. </w:t>
      </w:r>
      <w:r>
        <w:rPr>
          <w:rFonts w:asciiTheme="minorHAnsi" w:hAnsiTheme="minorHAnsi" w:cs="Arial"/>
          <w:sz w:val="22"/>
          <w:szCs w:val="22"/>
        </w:rPr>
        <w:t>I</w:t>
      </w:r>
      <w:r w:rsidRPr="00342C2B">
        <w:rPr>
          <w:rFonts w:asciiTheme="minorHAnsi" w:hAnsiTheme="minorHAnsi" w:cs="Arial"/>
          <w:sz w:val="22"/>
          <w:szCs w:val="22"/>
        </w:rPr>
        <w:t xml:space="preserve">stotność </w:t>
      </w:r>
      <w:r>
        <w:rPr>
          <w:rFonts w:asciiTheme="minorHAnsi" w:hAnsiTheme="minorHAnsi" w:cs="Arial"/>
          <w:sz w:val="22"/>
          <w:szCs w:val="22"/>
        </w:rPr>
        <w:t xml:space="preserve">kryteriów </w:t>
      </w:r>
      <w:r w:rsidRPr="00342C2B">
        <w:rPr>
          <w:rFonts w:asciiTheme="minorHAnsi" w:hAnsiTheme="minorHAnsi" w:cs="Arial"/>
          <w:sz w:val="22"/>
          <w:szCs w:val="22"/>
        </w:rPr>
        <w:t>w kontekście danego naboru zależy od wyników analizy sytuacji mieszkaniowej na danym terenie</w:t>
      </w:r>
      <w:r w:rsidR="00077B88">
        <w:rPr>
          <w:rFonts w:asciiTheme="minorHAnsi" w:hAnsiTheme="minorHAnsi" w:cs="Arial"/>
          <w:sz w:val="22"/>
          <w:szCs w:val="22"/>
        </w:rPr>
        <w:t xml:space="preserve"> i występujących w tym zakresie niezaspokojonych potrzeb</w:t>
      </w:r>
      <w:r w:rsidRPr="00342C2B">
        <w:rPr>
          <w:rFonts w:asciiTheme="minorHAnsi" w:hAnsiTheme="minorHAnsi" w:cs="Arial"/>
          <w:sz w:val="22"/>
          <w:szCs w:val="22"/>
        </w:rPr>
        <w:t>. W związku z tym nie jest zasadne dokonywanie np. podziału punktów pomiędzy kryteria na poziomie ustawy.</w:t>
      </w:r>
    </w:p>
    <w:p w:rsidR="00CF6601" w:rsidRDefault="00A26869" w:rsidP="00CF6601">
      <w:pPr>
        <w:tabs>
          <w:tab w:val="left" w:pos="540"/>
        </w:tabs>
        <w:spacing w:after="240" w:line="240" w:lineRule="exact"/>
        <w:rPr>
          <w:rFonts w:asciiTheme="minorHAnsi" w:hAnsiTheme="minorHAnsi" w:cs="Arial"/>
          <w:sz w:val="22"/>
          <w:szCs w:val="22"/>
        </w:rPr>
      </w:pPr>
      <w:r>
        <w:rPr>
          <w:rFonts w:asciiTheme="minorHAnsi" w:hAnsiTheme="minorHAnsi" w:cs="Arial"/>
          <w:sz w:val="22"/>
          <w:szCs w:val="22"/>
        </w:rPr>
        <w:t xml:space="preserve">W myśl </w:t>
      </w:r>
      <w:r w:rsidRPr="00A26869">
        <w:rPr>
          <w:rFonts w:asciiTheme="minorHAnsi" w:hAnsiTheme="minorHAnsi" w:cs="Arial"/>
          <w:b/>
          <w:sz w:val="22"/>
          <w:szCs w:val="22"/>
        </w:rPr>
        <w:t xml:space="preserve">art. </w:t>
      </w:r>
      <w:r w:rsidR="00530893">
        <w:rPr>
          <w:rFonts w:asciiTheme="minorHAnsi" w:hAnsiTheme="minorHAnsi" w:cs="Arial"/>
          <w:b/>
          <w:sz w:val="22"/>
          <w:szCs w:val="22"/>
        </w:rPr>
        <w:t>10</w:t>
      </w:r>
      <w:r>
        <w:rPr>
          <w:rFonts w:asciiTheme="minorHAnsi" w:hAnsiTheme="minorHAnsi" w:cs="Arial"/>
          <w:b/>
          <w:sz w:val="22"/>
          <w:szCs w:val="22"/>
        </w:rPr>
        <w:t xml:space="preserve"> </w:t>
      </w:r>
      <w:r w:rsidR="009221C7">
        <w:rPr>
          <w:rFonts w:asciiTheme="minorHAnsi" w:hAnsiTheme="minorHAnsi" w:cs="Arial"/>
          <w:sz w:val="22"/>
          <w:szCs w:val="22"/>
        </w:rPr>
        <w:t xml:space="preserve">dopłaty wobec danego najemcy stosuje się przez okres 9 lat, licząc od dnia </w:t>
      </w:r>
      <w:r w:rsidR="008B32A4">
        <w:rPr>
          <w:rFonts w:asciiTheme="minorHAnsi" w:hAnsiTheme="minorHAnsi" w:cs="Arial"/>
          <w:sz w:val="22"/>
          <w:szCs w:val="22"/>
        </w:rPr>
        <w:t xml:space="preserve">dokonania </w:t>
      </w:r>
      <w:r w:rsidR="009221C7">
        <w:rPr>
          <w:rFonts w:asciiTheme="minorHAnsi" w:hAnsiTheme="minorHAnsi" w:cs="Arial"/>
          <w:sz w:val="22"/>
          <w:szCs w:val="22"/>
        </w:rPr>
        <w:t xml:space="preserve">pierwszej </w:t>
      </w:r>
      <w:r w:rsidR="008B32A4">
        <w:rPr>
          <w:rFonts w:asciiTheme="minorHAnsi" w:hAnsiTheme="minorHAnsi" w:cs="Arial"/>
          <w:sz w:val="22"/>
          <w:szCs w:val="22"/>
        </w:rPr>
        <w:t xml:space="preserve">w całym cyklu stosowania dopłat </w:t>
      </w:r>
      <w:r w:rsidR="009221C7">
        <w:rPr>
          <w:rFonts w:asciiTheme="minorHAnsi" w:hAnsiTheme="minorHAnsi" w:cs="Arial"/>
          <w:sz w:val="22"/>
          <w:szCs w:val="22"/>
        </w:rPr>
        <w:t xml:space="preserve">wpłaty na rachunek wynajmującego. </w:t>
      </w:r>
      <w:r w:rsidR="00CF6601" w:rsidRPr="00CF6601">
        <w:rPr>
          <w:rFonts w:asciiTheme="minorHAnsi" w:hAnsiTheme="minorHAnsi" w:cs="Arial"/>
          <w:sz w:val="22"/>
          <w:szCs w:val="22"/>
        </w:rPr>
        <w:t>Wybór okresu udzi</w:t>
      </w:r>
      <w:r w:rsidR="00CF6601" w:rsidRPr="00CF6601">
        <w:rPr>
          <w:rFonts w:asciiTheme="minorHAnsi" w:hAnsiTheme="minorHAnsi" w:cs="Arial"/>
          <w:sz w:val="22"/>
          <w:szCs w:val="22"/>
        </w:rPr>
        <w:t>e</w:t>
      </w:r>
      <w:r w:rsidR="00CF6601" w:rsidRPr="00CF6601">
        <w:rPr>
          <w:rFonts w:asciiTheme="minorHAnsi" w:hAnsiTheme="minorHAnsi" w:cs="Arial"/>
          <w:sz w:val="22"/>
          <w:szCs w:val="22"/>
        </w:rPr>
        <w:t xml:space="preserve">lania wsparcia jest kompromisem pomiędzy </w:t>
      </w:r>
      <w:r w:rsidR="00CF6601">
        <w:rPr>
          <w:rFonts w:asciiTheme="minorHAnsi" w:hAnsiTheme="minorHAnsi" w:cs="Arial"/>
          <w:sz w:val="22"/>
          <w:szCs w:val="22"/>
        </w:rPr>
        <w:t>potrzebą</w:t>
      </w:r>
      <w:r w:rsidR="00CF6601" w:rsidRPr="00CF6601">
        <w:rPr>
          <w:rFonts w:asciiTheme="minorHAnsi" w:hAnsiTheme="minorHAnsi" w:cs="Arial"/>
          <w:sz w:val="22"/>
          <w:szCs w:val="22"/>
        </w:rPr>
        <w:t xml:space="preserve"> pomocy</w:t>
      </w:r>
      <w:r w:rsidR="00CF6601">
        <w:rPr>
          <w:rFonts w:asciiTheme="minorHAnsi" w:hAnsiTheme="minorHAnsi" w:cs="Arial"/>
          <w:sz w:val="22"/>
          <w:szCs w:val="22"/>
        </w:rPr>
        <w:t xml:space="preserve"> osobom przeżywającym trudności w samodzielnym zaspokajaniu potrzeb mieszkaniowych</w:t>
      </w:r>
      <w:r w:rsidR="00CF6601" w:rsidRPr="00CF6601">
        <w:rPr>
          <w:rFonts w:asciiTheme="minorHAnsi" w:hAnsiTheme="minorHAnsi" w:cs="Arial"/>
          <w:sz w:val="22"/>
          <w:szCs w:val="22"/>
        </w:rPr>
        <w:t xml:space="preserve">, a realiami budżetowymi. Należy </w:t>
      </w:r>
      <w:r w:rsidR="00CF6601">
        <w:rPr>
          <w:rFonts w:asciiTheme="minorHAnsi" w:hAnsiTheme="minorHAnsi" w:cs="Arial"/>
          <w:sz w:val="22"/>
          <w:szCs w:val="22"/>
        </w:rPr>
        <w:t>powtórzyć</w:t>
      </w:r>
      <w:r w:rsidR="00CF6601" w:rsidRPr="00CF6601">
        <w:rPr>
          <w:rFonts w:asciiTheme="minorHAnsi" w:hAnsiTheme="minorHAnsi" w:cs="Arial"/>
          <w:sz w:val="22"/>
          <w:szCs w:val="22"/>
        </w:rPr>
        <w:t>, że</w:t>
      </w:r>
      <w:r w:rsidR="00CF6601">
        <w:rPr>
          <w:rFonts w:asciiTheme="minorHAnsi" w:hAnsiTheme="minorHAnsi" w:cs="Arial"/>
          <w:sz w:val="22"/>
          <w:szCs w:val="22"/>
        </w:rPr>
        <w:t xml:space="preserve"> dopłaty są adresowane do osób </w:t>
      </w:r>
      <w:r w:rsidR="00CF6601" w:rsidRPr="00CF6601">
        <w:rPr>
          <w:rFonts w:asciiTheme="minorHAnsi" w:hAnsiTheme="minorHAnsi" w:cs="Arial"/>
          <w:sz w:val="22"/>
          <w:szCs w:val="22"/>
        </w:rPr>
        <w:t>o przeciętnych dochodach</w:t>
      </w:r>
      <w:r w:rsidR="002736CA">
        <w:rPr>
          <w:rFonts w:asciiTheme="minorHAnsi" w:hAnsiTheme="minorHAnsi" w:cs="Arial"/>
          <w:sz w:val="22"/>
          <w:szCs w:val="22"/>
        </w:rPr>
        <w:t xml:space="preserve"> (</w:t>
      </w:r>
      <w:r w:rsidR="002736CA" w:rsidRPr="002736CA">
        <w:rPr>
          <w:rFonts w:asciiTheme="minorHAnsi" w:hAnsiTheme="minorHAnsi" w:cs="Arial"/>
          <w:sz w:val="22"/>
          <w:szCs w:val="22"/>
        </w:rPr>
        <w:t>które stać na płacenie czynszu pokryw</w:t>
      </w:r>
      <w:r w:rsidR="002736CA" w:rsidRPr="002736CA">
        <w:rPr>
          <w:rFonts w:asciiTheme="minorHAnsi" w:hAnsiTheme="minorHAnsi" w:cs="Arial"/>
          <w:sz w:val="22"/>
          <w:szCs w:val="22"/>
        </w:rPr>
        <w:t>a</w:t>
      </w:r>
      <w:r w:rsidR="002736CA" w:rsidRPr="002736CA">
        <w:rPr>
          <w:rFonts w:asciiTheme="minorHAnsi" w:hAnsiTheme="minorHAnsi" w:cs="Arial"/>
          <w:sz w:val="22"/>
          <w:szCs w:val="22"/>
        </w:rPr>
        <w:t>jącego koszt budowy nowych mieszkań</w:t>
      </w:r>
      <w:r w:rsidR="002736CA">
        <w:rPr>
          <w:rFonts w:asciiTheme="minorHAnsi" w:hAnsiTheme="minorHAnsi" w:cs="Arial"/>
          <w:sz w:val="22"/>
          <w:szCs w:val="22"/>
        </w:rPr>
        <w:t xml:space="preserve"> w zakresie niepokrywanym dopłatą</w:t>
      </w:r>
      <w:r w:rsidR="002736CA" w:rsidRPr="002736CA">
        <w:rPr>
          <w:rFonts w:asciiTheme="minorHAnsi" w:hAnsiTheme="minorHAnsi" w:cs="Arial"/>
          <w:sz w:val="22"/>
          <w:szCs w:val="22"/>
        </w:rPr>
        <w:t xml:space="preserve">, ale które </w:t>
      </w:r>
      <w:r w:rsidR="002736CA">
        <w:rPr>
          <w:rFonts w:asciiTheme="minorHAnsi" w:hAnsiTheme="minorHAnsi" w:cs="Arial"/>
          <w:sz w:val="22"/>
          <w:szCs w:val="22"/>
        </w:rPr>
        <w:t xml:space="preserve">np. </w:t>
      </w:r>
      <w:r w:rsidR="002736CA" w:rsidRPr="002736CA">
        <w:rPr>
          <w:rFonts w:asciiTheme="minorHAnsi" w:hAnsiTheme="minorHAnsi" w:cs="Arial"/>
          <w:sz w:val="22"/>
          <w:szCs w:val="22"/>
        </w:rPr>
        <w:t xml:space="preserve">potrzebują pomocy </w:t>
      </w:r>
      <w:r w:rsidR="002736CA">
        <w:rPr>
          <w:rFonts w:asciiTheme="minorHAnsi" w:hAnsiTheme="minorHAnsi" w:cs="Arial"/>
          <w:sz w:val="22"/>
          <w:szCs w:val="22"/>
        </w:rPr>
        <w:t xml:space="preserve">finansowej </w:t>
      </w:r>
      <w:r w:rsidR="002736CA" w:rsidRPr="002736CA">
        <w:rPr>
          <w:rFonts w:asciiTheme="minorHAnsi" w:hAnsiTheme="minorHAnsi" w:cs="Arial"/>
          <w:sz w:val="22"/>
          <w:szCs w:val="22"/>
        </w:rPr>
        <w:t xml:space="preserve">w pierwszych latach </w:t>
      </w:r>
      <w:r w:rsidR="002736CA">
        <w:rPr>
          <w:rFonts w:asciiTheme="minorHAnsi" w:hAnsiTheme="minorHAnsi" w:cs="Arial"/>
          <w:sz w:val="22"/>
          <w:szCs w:val="22"/>
        </w:rPr>
        <w:t xml:space="preserve">samodzielnego </w:t>
      </w:r>
      <w:r w:rsidR="002736CA" w:rsidRPr="002736CA">
        <w:rPr>
          <w:rFonts w:asciiTheme="minorHAnsi" w:hAnsiTheme="minorHAnsi" w:cs="Arial"/>
          <w:sz w:val="22"/>
          <w:szCs w:val="22"/>
        </w:rPr>
        <w:t>zamieszkiwania</w:t>
      </w:r>
      <w:r w:rsidR="002736CA">
        <w:rPr>
          <w:rFonts w:asciiTheme="minorHAnsi" w:hAnsiTheme="minorHAnsi" w:cs="Arial"/>
          <w:sz w:val="22"/>
          <w:szCs w:val="22"/>
        </w:rPr>
        <w:t>)</w:t>
      </w:r>
      <w:r w:rsidR="00CF6601" w:rsidRPr="00CF6601">
        <w:rPr>
          <w:rFonts w:asciiTheme="minorHAnsi" w:hAnsiTheme="minorHAnsi" w:cs="Arial"/>
          <w:sz w:val="22"/>
          <w:szCs w:val="22"/>
        </w:rPr>
        <w:t xml:space="preserve">. Z założenia przejściowy charakter pomocy </w:t>
      </w:r>
      <w:r w:rsidR="00CF6601">
        <w:rPr>
          <w:rFonts w:asciiTheme="minorHAnsi" w:hAnsiTheme="minorHAnsi" w:cs="Arial"/>
          <w:sz w:val="22"/>
          <w:szCs w:val="22"/>
        </w:rPr>
        <w:t xml:space="preserve">powinien </w:t>
      </w:r>
      <w:r w:rsidR="00CF6601" w:rsidRPr="00CF6601">
        <w:rPr>
          <w:rFonts w:asciiTheme="minorHAnsi" w:hAnsiTheme="minorHAnsi" w:cs="Arial"/>
          <w:sz w:val="22"/>
          <w:szCs w:val="22"/>
        </w:rPr>
        <w:t>motywować beneficjentów do podejmowania aktywnych działań maj</w:t>
      </w:r>
      <w:r w:rsidR="00CF6601" w:rsidRPr="00CF6601">
        <w:rPr>
          <w:rFonts w:asciiTheme="minorHAnsi" w:hAnsiTheme="minorHAnsi" w:cs="Arial"/>
          <w:sz w:val="22"/>
          <w:szCs w:val="22"/>
        </w:rPr>
        <w:t>ą</w:t>
      </w:r>
      <w:r w:rsidR="00CF6601" w:rsidRPr="00CF6601">
        <w:rPr>
          <w:rFonts w:asciiTheme="minorHAnsi" w:hAnsiTheme="minorHAnsi" w:cs="Arial"/>
          <w:sz w:val="22"/>
          <w:szCs w:val="22"/>
        </w:rPr>
        <w:t>cych na celu poprawę ich sytuacji dochodowej</w:t>
      </w:r>
      <w:r w:rsidR="00077B88">
        <w:rPr>
          <w:rFonts w:asciiTheme="minorHAnsi" w:hAnsiTheme="minorHAnsi" w:cs="Arial"/>
          <w:sz w:val="22"/>
          <w:szCs w:val="22"/>
        </w:rPr>
        <w:t>, tak by zakończenie okresu pobierania dopł</w:t>
      </w:r>
      <w:r w:rsidR="008F3147">
        <w:rPr>
          <w:rFonts w:asciiTheme="minorHAnsi" w:hAnsiTheme="minorHAnsi" w:cs="Arial"/>
          <w:sz w:val="22"/>
          <w:szCs w:val="22"/>
        </w:rPr>
        <w:t>a</w:t>
      </w:r>
      <w:r w:rsidR="00077B88">
        <w:rPr>
          <w:rFonts w:asciiTheme="minorHAnsi" w:hAnsiTheme="minorHAnsi" w:cs="Arial"/>
          <w:sz w:val="22"/>
          <w:szCs w:val="22"/>
        </w:rPr>
        <w:t>t nie wi</w:t>
      </w:r>
      <w:r w:rsidR="00077B88">
        <w:rPr>
          <w:rFonts w:asciiTheme="minorHAnsi" w:hAnsiTheme="minorHAnsi" w:cs="Arial"/>
          <w:sz w:val="22"/>
          <w:szCs w:val="22"/>
        </w:rPr>
        <w:t>ą</w:t>
      </w:r>
      <w:r w:rsidR="00077B88">
        <w:rPr>
          <w:rFonts w:asciiTheme="minorHAnsi" w:hAnsiTheme="minorHAnsi" w:cs="Arial"/>
          <w:sz w:val="22"/>
          <w:szCs w:val="22"/>
        </w:rPr>
        <w:t>zało się ze znaczącym pogorszeniem warunków życia.</w:t>
      </w:r>
    </w:p>
    <w:p w:rsidR="00896AE4" w:rsidRPr="002C7F50" w:rsidRDefault="00CF6601" w:rsidP="00730411">
      <w:pPr>
        <w:tabs>
          <w:tab w:val="left" w:pos="540"/>
        </w:tabs>
        <w:spacing w:after="240" w:line="240" w:lineRule="exact"/>
        <w:rPr>
          <w:rFonts w:asciiTheme="minorHAnsi" w:hAnsiTheme="minorHAnsi" w:cs="Arial"/>
          <w:b/>
          <w:sz w:val="22"/>
          <w:szCs w:val="22"/>
        </w:rPr>
      </w:pPr>
      <w:r>
        <w:rPr>
          <w:rFonts w:asciiTheme="minorHAnsi" w:hAnsiTheme="minorHAnsi" w:cs="Arial"/>
          <w:sz w:val="22"/>
          <w:szCs w:val="22"/>
        </w:rPr>
        <w:t xml:space="preserve">Powyższe przesądzenie </w:t>
      </w:r>
      <w:r w:rsidR="008135D5">
        <w:rPr>
          <w:rFonts w:asciiTheme="minorHAnsi" w:hAnsiTheme="minorHAnsi" w:cs="Arial"/>
          <w:sz w:val="22"/>
          <w:szCs w:val="22"/>
        </w:rPr>
        <w:t xml:space="preserve">nie </w:t>
      </w:r>
      <w:r w:rsidR="008B32A4">
        <w:rPr>
          <w:rFonts w:asciiTheme="minorHAnsi" w:hAnsiTheme="minorHAnsi" w:cs="Arial"/>
          <w:sz w:val="22"/>
          <w:szCs w:val="22"/>
        </w:rPr>
        <w:t xml:space="preserve">oznacza jednak, że dopłaty stosuje się </w:t>
      </w:r>
      <w:r w:rsidR="006D00F7">
        <w:rPr>
          <w:rFonts w:asciiTheme="minorHAnsi" w:hAnsiTheme="minorHAnsi" w:cs="Arial"/>
          <w:sz w:val="22"/>
          <w:szCs w:val="22"/>
        </w:rPr>
        <w:t xml:space="preserve">zawsze </w:t>
      </w:r>
      <w:r w:rsidR="008B32A4">
        <w:rPr>
          <w:rFonts w:asciiTheme="minorHAnsi" w:hAnsiTheme="minorHAnsi" w:cs="Arial"/>
          <w:sz w:val="22"/>
          <w:szCs w:val="22"/>
        </w:rPr>
        <w:t>przez kolejne 9 lat. Okres ten może być podzielony (dopłaty mogą być na pewien czas wstrzymane np. wskutek negatywnej weryfikacji spełniania przez gospodarstwo domowe warunku dochodowego), ale łączny czas uzysk</w:t>
      </w:r>
      <w:r w:rsidR="008B32A4">
        <w:rPr>
          <w:rFonts w:asciiTheme="minorHAnsi" w:hAnsiTheme="minorHAnsi" w:cs="Arial"/>
          <w:sz w:val="22"/>
          <w:szCs w:val="22"/>
        </w:rPr>
        <w:t>i</w:t>
      </w:r>
      <w:r w:rsidR="008B32A4">
        <w:rPr>
          <w:rFonts w:asciiTheme="minorHAnsi" w:hAnsiTheme="minorHAnsi" w:cs="Arial"/>
          <w:sz w:val="22"/>
          <w:szCs w:val="22"/>
        </w:rPr>
        <w:t xml:space="preserve">wania dopłat przez danego najemcę nie może przekroczyć 9 lat. </w:t>
      </w:r>
      <w:r w:rsidR="00187B4F">
        <w:rPr>
          <w:rFonts w:asciiTheme="minorHAnsi" w:hAnsiTheme="minorHAnsi" w:cs="Arial"/>
          <w:sz w:val="22"/>
          <w:szCs w:val="22"/>
        </w:rPr>
        <w:t>Potwierdza to ust. 2</w:t>
      </w:r>
      <w:r w:rsidR="005E3B19">
        <w:rPr>
          <w:rFonts w:asciiTheme="minorHAnsi" w:hAnsiTheme="minorHAnsi" w:cs="Arial"/>
          <w:sz w:val="22"/>
          <w:szCs w:val="22"/>
        </w:rPr>
        <w:t xml:space="preserve"> tego artykułu</w:t>
      </w:r>
      <w:r w:rsidR="00187B4F">
        <w:rPr>
          <w:rFonts w:asciiTheme="minorHAnsi" w:hAnsiTheme="minorHAnsi" w:cs="Arial"/>
          <w:sz w:val="22"/>
          <w:szCs w:val="22"/>
        </w:rPr>
        <w:t>, który stanowi, że p</w:t>
      </w:r>
      <w:r w:rsidR="00187B4F" w:rsidRPr="00187B4F">
        <w:rPr>
          <w:rFonts w:asciiTheme="minorHAnsi" w:hAnsiTheme="minorHAnsi" w:cs="Arial"/>
          <w:sz w:val="22"/>
          <w:szCs w:val="22"/>
        </w:rPr>
        <w:t>rawo do dopłat stosowanych przez okres 9 lat przysługuje najemcy jednorazowo</w:t>
      </w:r>
      <w:r w:rsidR="0045196A">
        <w:rPr>
          <w:rFonts w:asciiTheme="minorHAnsi" w:hAnsiTheme="minorHAnsi" w:cs="Arial"/>
          <w:sz w:val="22"/>
          <w:szCs w:val="22"/>
        </w:rPr>
        <w:t xml:space="preserve"> (choć </w:t>
      </w:r>
      <w:r w:rsidR="008F3147">
        <w:rPr>
          <w:rFonts w:asciiTheme="minorHAnsi" w:hAnsiTheme="minorHAnsi" w:cs="Arial"/>
          <w:sz w:val="22"/>
          <w:szCs w:val="22"/>
        </w:rPr>
        <w:br/>
      </w:r>
      <w:r w:rsidR="0045196A">
        <w:rPr>
          <w:rFonts w:asciiTheme="minorHAnsi" w:hAnsiTheme="minorHAnsi" w:cs="Arial"/>
          <w:sz w:val="22"/>
          <w:szCs w:val="22"/>
        </w:rPr>
        <w:t>z zastrzeżeniami wynikającymi z kolejnych przepisów)</w:t>
      </w:r>
      <w:r w:rsidR="00187B4F">
        <w:rPr>
          <w:rFonts w:asciiTheme="minorHAnsi" w:hAnsiTheme="minorHAnsi" w:cs="Arial"/>
          <w:sz w:val="22"/>
          <w:szCs w:val="22"/>
        </w:rPr>
        <w:t xml:space="preserve">. </w:t>
      </w:r>
      <w:r w:rsidR="00C633D5">
        <w:rPr>
          <w:rFonts w:asciiTheme="minorHAnsi" w:hAnsiTheme="minorHAnsi" w:cs="Arial"/>
          <w:sz w:val="22"/>
          <w:szCs w:val="22"/>
        </w:rPr>
        <w:t>Należy w tym kontekście wspomnieć, że w</w:t>
      </w:r>
      <w:r w:rsidR="00187B4F">
        <w:rPr>
          <w:rFonts w:asciiTheme="minorHAnsi" w:hAnsiTheme="minorHAnsi" w:cs="Arial"/>
          <w:sz w:val="22"/>
          <w:szCs w:val="22"/>
        </w:rPr>
        <w:t xml:space="preserve"> przypadku </w:t>
      </w:r>
      <w:r w:rsidR="00C633D5">
        <w:rPr>
          <w:rFonts w:asciiTheme="minorHAnsi" w:hAnsiTheme="minorHAnsi" w:cs="Arial"/>
          <w:sz w:val="22"/>
          <w:szCs w:val="22"/>
        </w:rPr>
        <w:t>podzielenia okresu</w:t>
      </w:r>
      <w:r w:rsidR="00C633D5" w:rsidRPr="00C633D5">
        <w:rPr>
          <w:rFonts w:asciiTheme="minorHAnsi" w:hAnsiTheme="minorHAnsi" w:cs="Arial"/>
          <w:sz w:val="22"/>
          <w:szCs w:val="22"/>
        </w:rPr>
        <w:t xml:space="preserve"> </w:t>
      </w:r>
      <w:r w:rsidR="00C633D5">
        <w:rPr>
          <w:rFonts w:asciiTheme="minorHAnsi" w:hAnsiTheme="minorHAnsi" w:cs="Arial"/>
          <w:sz w:val="22"/>
          <w:szCs w:val="22"/>
        </w:rPr>
        <w:t xml:space="preserve">9 lat </w:t>
      </w:r>
      <w:r w:rsidR="00C633D5" w:rsidRPr="00C633D5">
        <w:rPr>
          <w:rFonts w:asciiTheme="minorHAnsi" w:hAnsiTheme="minorHAnsi" w:cs="Arial"/>
          <w:sz w:val="22"/>
          <w:szCs w:val="22"/>
        </w:rPr>
        <w:t>przy ustalaniu miesięcznej wysokości dopłaty</w:t>
      </w:r>
      <w:r w:rsidR="00C633D5">
        <w:rPr>
          <w:rFonts w:asciiTheme="minorHAnsi" w:hAnsiTheme="minorHAnsi" w:cs="Arial"/>
          <w:sz w:val="22"/>
          <w:szCs w:val="22"/>
        </w:rPr>
        <w:t xml:space="preserve"> na kolejny okres </w:t>
      </w:r>
      <w:r w:rsidR="00C633D5" w:rsidRPr="00C633D5">
        <w:rPr>
          <w:rFonts w:asciiTheme="minorHAnsi" w:hAnsiTheme="minorHAnsi" w:cs="Arial"/>
          <w:sz w:val="22"/>
          <w:szCs w:val="22"/>
        </w:rPr>
        <w:t xml:space="preserve">uwzględnia się </w:t>
      </w:r>
      <w:r w:rsidR="00C633D5">
        <w:rPr>
          <w:rFonts w:asciiTheme="minorHAnsi" w:hAnsiTheme="minorHAnsi" w:cs="Arial"/>
          <w:sz w:val="22"/>
          <w:szCs w:val="22"/>
        </w:rPr>
        <w:t xml:space="preserve">dotychczasowy </w:t>
      </w:r>
      <w:r w:rsidR="00C633D5" w:rsidRPr="00C633D5">
        <w:rPr>
          <w:rFonts w:asciiTheme="minorHAnsi" w:hAnsiTheme="minorHAnsi" w:cs="Arial"/>
          <w:sz w:val="22"/>
          <w:szCs w:val="22"/>
        </w:rPr>
        <w:t>łączny okres stosowania dopłat w stosunku do danego najemcy</w:t>
      </w:r>
      <w:r w:rsidR="00B63E7C">
        <w:rPr>
          <w:rFonts w:asciiTheme="minorHAnsi" w:hAnsiTheme="minorHAnsi" w:cs="Arial"/>
          <w:sz w:val="22"/>
          <w:szCs w:val="22"/>
        </w:rPr>
        <w:t xml:space="preserve"> (w tym kontekście wysokość dopłaty będzie ustalana na podstawie </w:t>
      </w:r>
      <w:r w:rsidR="00B63E7C" w:rsidRPr="00B63E7C">
        <w:rPr>
          <w:rFonts w:asciiTheme="minorHAnsi" w:hAnsiTheme="minorHAnsi" w:cs="Arial"/>
          <w:sz w:val="22"/>
          <w:szCs w:val="22"/>
        </w:rPr>
        <w:t>średniego wskaźnika przeliczeniow</w:t>
      </w:r>
      <w:r w:rsidR="00B63E7C" w:rsidRPr="00B63E7C">
        <w:rPr>
          <w:rFonts w:asciiTheme="minorHAnsi" w:hAnsiTheme="minorHAnsi" w:cs="Arial"/>
          <w:sz w:val="22"/>
          <w:szCs w:val="22"/>
        </w:rPr>
        <w:t>e</w:t>
      </w:r>
      <w:r w:rsidR="00B63E7C" w:rsidRPr="00B63E7C">
        <w:rPr>
          <w:rFonts w:asciiTheme="minorHAnsi" w:hAnsiTheme="minorHAnsi" w:cs="Arial"/>
          <w:sz w:val="22"/>
          <w:szCs w:val="22"/>
        </w:rPr>
        <w:t>go kosztu odtworzenia 1 m</w:t>
      </w:r>
      <w:r w:rsidR="00B63E7C" w:rsidRPr="00B63E7C">
        <w:rPr>
          <w:rFonts w:asciiTheme="minorHAnsi" w:hAnsiTheme="minorHAnsi" w:cs="Arial"/>
          <w:sz w:val="22"/>
          <w:szCs w:val="22"/>
          <w:vertAlign w:val="superscript"/>
        </w:rPr>
        <w:t>2</w:t>
      </w:r>
      <w:r w:rsidR="00B63E7C" w:rsidRPr="00B63E7C">
        <w:rPr>
          <w:rFonts w:asciiTheme="minorHAnsi" w:hAnsiTheme="minorHAnsi" w:cs="Arial"/>
          <w:sz w:val="22"/>
          <w:szCs w:val="22"/>
        </w:rPr>
        <w:t xml:space="preserve"> powierzchni użytkowej budynków mieszkalnych obowiązującego w dniu złożenia</w:t>
      </w:r>
      <w:r w:rsidR="00B63E7C">
        <w:rPr>
          <w:rFonts w:asciiTheme="minorHAnsi" w:hAnsiTheme="minorHAnsi" w:cs="Arial"/>
          <w:sz w:val="22"/>
          <w:szCs w:val="22"/>
        </w:rPr>
        <w:t xml:space="preserve"> </w:t>
      </w:r>
      <w:r w:rsidR="0045196A">
        <w:rPr>
          <w:rFonts w:asciiTheme="minorHAnsi" w:hAnsiTheme="minorHAnsi" w:cs="Arial"/>
          <w:sz w:val="22"/>
          <w:szCs w:val="22"/>
        </w:rPr>
        <w:t xml:space="preserve">kolejnego </w:t>
      </w:r>
      <w:r w:rsidR="00B63E7C" w:rsidRPr="00B63E7C">
        <w:rPr>
          <w:rFonts w:asciiTheme="minorHAnsi" w:hAnsiTheme="minorHAnsi" w:cs="Arial"/>
          <w:sz w:val="22"/>
          <w:szCs w:val="22"/>
        </w:rPr>
        <w:t>wniosku o dopłat</w:t>
      </w:r>
      <w:r w:rsidR="0045196A">
        <w:rPr>
          <w:rFonts w:asciiTheme="minorHAnsi" w:hAnsiTheme="minorHAnsi" w:cs="Arial"/>
          <w:sz w:val="22"/>
          <w:szCs w:val="22"/>
        </w:rPr>
        <w:t>y</w:t>
      </w:r>
      <w:r w:rsidR="00B63E7C">
        <w:rPr>
          <w:rFonts w:asciiTheme="minorHAnsi" w:hAnsiTheme="minorHAnsi" w:cs="Arial"/>
          <w:sz w:val="22"/>
          <w:szCs w:val="22"/>
        </w:rPr>
        <w:t xml:space="preserve">, powierzchni normatywnej właściwej dla daty </w:t>
      </w:r>
      <w:r w:rsidR="0045196A">
        <w:rPr>
          <w:rFonts w:asciiTheme="minorHAnsi" w:hAnsiTheme="minorHAnsi" w:cs="Arial"/>
          <w:sz w:val="22"/>
          <w:szCs w:val="22"/>
        </w:rPr>
        <w:t xml:space="preserve">nowego </w:t>
      </w:r>
      <w:r w:rsidR="00B63E7C">
        <w:rPr>
          <w:rFonts w:asciiTheme="minorHAnsi" w:hAnsiTheme="minorHAnsi" w:cs="Arial"/>
          <w:sz w:val="22"/>
          <w:szCs w:val="22"/>
        </w:rPr>
        <w:t xml:space="preserve">wniosku </w:t>
      </w:r>
      <w:r w:rsidR="002C7F50">
        <w:rPr>
          <w:rFonts w:asciiTheme="minorHAnsi" w:hAnsiTheme="minorHAnsi" w:cs="Arial"/>
          <w:sz w:val="22"/>
          <w:szCs w:val="22"/>
        </w:rPr>
        <w:t xml:space="preserve">o </w:t>
      </w:r>
      <w:r w:rsidR="0045196A">
        <w:rPr>
          <w:rFonts w:asciiTheme="minorHAnsi" w:hAnsiTheme="minorHAnsi" w:cs="Arial"/>
          <w:sz w:val="22"/>
          <w:szCs w:val="22"/>
        </w:rPr>
        <w:t xml:space="preserve">dopłaty </w:t>
      </w:r>
      <w:r w:rsidR="00B63E7C">
        <w:rPr>
          <w:rFonts w:asciiTheme="minorHAnsi" w:hAnsiTheme="minorHAnsi" w:cs="Arial"/>
          <w:sz w:val="22"/>
          <w:szCs w:val="22"/>
        </w:rPr>
        <w:t xml:space="preserve">oraz </w:t>
      </w:r>
      <w:r w:rsidR="00B63E7C" w:rsidRPr="00B63E7C">
        <w:rPr>
          <w:rFonts w:asciiTheme="minorHAnsi" w:hAnsiTheme="minorHAnsi" w:cs="Arial"/>
          <w:sz w:val="22"/>
          <w:szCs w:val="22"/>
        </w:rPr>
        <w:t>współczynnika dopłaty</w:t>
      </w:r>
      <w:r w:rsidR="00B63E7C">
        <w:rPr>
          <w:rFonts w:asciiTheme="minorHAnsi" w:hAnsiTheme="minorHAnsi" w:cs="Arial"/>
          <w:sz w:val="22"/>
          <w:szCs w:val="22"/>
        </w:rPr>
        <w:t>)</w:t>
      </w:r>
      <w:r w:rsidR="00C633D5" w:rsidRPr="00B63E7C">
        <w:rPr>
          <w:rFonts w:asciiTheme="minorHAnsi" w:hAnsiTheme="minorHAnsi" w:cs="Arial"/>
          <w:sz w:val="22"/>
          <w:szCs w:val="22"/>
        </w:rPr>
        <w:t>.</w:t>
      </w:r>
    </w:p>
    <w:p w:rsidR="00B63E7C" w:rsidRDefault="00B63E7C" w:rsidP="00730411">
      <w:pPr>
        <w:tabs>
          <w:tab w:val="left" w:pos="540"/>
        </w:tabs>
        <w:spacing w:after="240" w:line="240" w:lineRule="exact"/>
        <w:rPr>
          <w:rFonts w:asciiTheme="minorHAnsi" w:hAnsiTheme="minorHAnsi" w:cs="Arial"/>
          <w:sz w:val="22"/>
          <w:szCs w:val="22"/>
        </w:rPr>
      </w:pPr>
      <w:r>
        <w:rPr>
          <w:rFonts w:asciiTheme="minorHAnsi" w:hAnsiTheme="minorHAnsi" w:cs="Arial"/>
          <w:sz w:val="22"/>
          <w:szCs w:val="22"/>
        </w:rPr>
        <w:t xml:space="preserve">Zgodnie z powyższym w przypadku, gdy </w:t>
      </w:r>
      <w:r w:rsidR="00654B5E">
        <w:rPr>
          <w:rFonts w:asciiTheme="minorHAnsi" w:hAnsiTheme="minorHAnsi" w:cs="Arial"/>
          <w:sz w:val="22"/>
          <w:szCs w:val="22"/>
        </w:rPr>
        <w:t xml:space="preserve">inny niż najemca </w:t>
      </w:r>
      <w:r>
        <w:rPr>
          <w:rFonts w:asciiTheme="minorHAnsi" w:hAnsiTheme="minorHAnsi" w:cs="Arial"/>
          <w:sz w:val="22"/>
          <w:szCs w:val="22"/>
        </w:rPr>
        <w:t xml:space="preserve">członek gospodarstwa domowego najemcy uzyskującego dopłaty zawrze umowę najmu </w:t>
      </w:r>
      <w:r w:rsidR="001E7892">
        <w:rPr>
          <w:rFonts w:asciiTheme="minorHAnsi" w:hAnsiTheme="minorHAnsi" w:cs="Arial"/>
          <w:sz w:val="22"/>
          <w:szCs w:val="22"/>
        </w:rPr>
        <w:t>lokalu</w:t>
      </w:r>
      <w:r>
        <w:rPr>
          <w:rFonts w:asciiTheme="minorHAnsi" w:hAnsiTheme="minorHAnsi" w:cs="Arial"/>
          <w:sz w:val="22"/>
          <w:szCs w:val="22"/>
        </w:rPr>
        <w:t>, z najmem którego jest związana możliwość st</w:t>
      </w:r>
      <w:r>
        <w:rPr>
          <w:rFonts w:asciiTheme="minorHAnsi" w:hAnsiTheme="minorHAnsi" w:cs="Arial"/>
          <w:sz w:val="22"/>
          <w:szCs w:val="22"/>
        </w:rPr>
        <w:t>o</w:t>
      </w:r>
      <w:r>
        <w:rPr>
          <w:rFonts w:asciiTheme="minorHAnsi" w:hAnsiTheme="minorHAnsi" w:cs="Arial"/>
          <w:sz w:val="22"/>
          <w:szCs w:val="22"/>
        </w:rPr>
        <w:t xml:space="preserve">sowania dopłat, również przysługuje mu, co do zasady, prawo do uzyskiwania dopłat przez okres 9 lat </w:t>
      </w:r>
      <w:r>
        <w:rPr>
          <w:rFonts w:asciiTheme="minorHAnsi" w:hAnsiTheme="minorHAnsi" w:cs="Arial"/>
          <w:sz w:val="22"/>
          <w:szCs w:val="22"/>
        </w:rPr>
        <w:lastRenderedPageBreak/>
        <w:t>(do tego okresu nie wlicza się, co do zasady, okres</w:t>
      </w:r>
      <w:r w:rsidR="00924F69">
        <w:rPr>
          <w:rFonts w:asciiTheme="minorHAnsi" w:hAnsiTheme="minorHAnsi" w:cs="Arial"/>
          <w:sz w:val="22"/>
          <w:szCs w:val="22"/>
        </w:rPr>
        <w:t>u</w:t>
      </w:r>
      <w:r>
        <w:rPr>
          <w:rFonts w:asciiTheme="minorHAnsi" w:hAnsiTheme="minorHAnsi" w:cs="Arial"/>
          <w:sz w:val="22"/>
          <w:szCs w:val="22"/>
        </w:rPr>
        <w:t xml:space="preserve"> stosowania dopłat wobec poprzedniego najemcy</w:t>
      </w:r>
      <w:r w:rsidR="00924F69">
        <w:rPr>
          <w:rFonts w:asciiTheme="minorHAnsi" w:hAnsiTheme="minorHAnsi" w:cs="Arial"/>
          <w:sz w:val="22"/>
          <w:szCs w:val="22"/>
        </w:rPr>
        <w:t xml:space="preserve">; </w:t>
      </w:r>
      <w:r w:rsidR="001123C8">
        <w:rPr>
          <w:rFonts w:asciiTheme="minorHAnsi" w:hAnsiTheme="minorHAnsi" w:cs="Arial"/>
          <w:sz w:val="22"/>
          <w:szCs w:val="22"/>
        </w:rPr>
        <w:t>argumentem</w:t>
      </w:r>
      <w:r w:rsidR="00924F69">
        <w:rPr>
          <w:rFonts w:asciiTheme="minorHAnsi" w:hAnsiTheme="minorHAnsi" w:cs="Arial"/>
          <w:sz w:val="22"/>
          <w:szCs w:val="22"/>
        </w:rPr>
        <w:t xml:space="preserve"> dla tego przesądzenia jest niezasadność pozbawiania możliwości korzystania </w:t>
      </w:r>
      <w:r w:rsidR="001123C8">
        <w:rPr>
          <w:rFonts w:asciiTheme="minorHAnsi" w:hAnsiTheme="minorHAnsi" w:cs="Arial"/>
          <w:sz w:val="22"/>
          <w:szCs w:val="22"/>
        </w:rPr>
        <w:br/>
      </w:r>
      <w:r w:rsidR="00924F69">
        <w:rPr>
          <w:rFonts w:asciiTheme="minorHAnsi" w:hAnsiTheme="minorHAnsi" w:cs="Arial"/>
          <w:sz w:val="22"/>
          <w:szCs w:val="22"/>
        </w:rPr>
        <w:t>z finansowego wsparcia, przykładowo, osób, które w przeszłości w początkowym okresie podejm</w:t>
      </w:r>
      <w:r w:rsidR="00924F69">
        <w:rPr>
          <w:rFonts w:asciiTheme="minorHAnsi" w:hAnsiTheme="minorHAnsi" w:cs="Arial"/>
          <w:sz w:val="22"/>
          <w:szCs w:val="22"/>
        </w:rPr>
        <w:t>o</w:t>
      </w:r>
      <w:r w:rsidR="00924F69">
        <w:rPr>
          <w:rFonts w:asciiTheme="minorHAnsi" w:hAnsiTheme="minorHAnsi" w:cs="Arial"/>
          <w:sz w:val="22"/>
          <w:szCs w:val="22"/>
        </w:rPr>
        <w:t>wania wyzwań dorosłości mieszkały z rodzicami z powodu braku wystarczających środków do utrz</w:t>
      </w:r>
      <w:r w:rsidR="00924F69">
        <w:rPr>
          <w:rFonts w:asciiTheme="minorHAnsi" w:hAnsiTheme="minorHAnsi" w:cs="Arial"/>
          <w:sz w:val="22"/>
          <w:szCs w:val="22"/>
        </w:rPr>
        <w:t>y</w:t>
      </w:r>
      <w:r w:rsidR="00924F69">
        <w:rPr>
          <w:rFonts w:asciiTheme="minorHAnsi" w:hAnsiTheme="minorHAnsi" w:cs="Arial"/>
          <w:sz w:val="22"/>
          <w:szCs w:val="22"/>
        </w:rPr>
        <w:t xml:space="preserve">mania się samodzielnie, np. studentów). </w:t>
      </w:r>
    </w:p>
    <w:p w:rsidR="00A36C52" w:rsidRDefault="00B63E7C" w:rsidP="00730411">
      <w:pPr>
        <w:tabs>
          <w:tab w:val="left" w:pos="540"/>
        </w:tabs>
        <w:spacing w:after="240" w:line="240" w:lineRule="exact"/>
        <w:rPr>
          <w:rFonts w:asciiTheme="minorHAnsi" w:hAnsiTheme="minorHAnsi" w:cs="Arial"/>
          <w:sz w:val="22"/>
          <w:szCs w:val="22"/>
        </w:rPr>
      </w:pPr>
      <w:r>
        <w:rPr>
          <w:rFonts w:asciiTheme="minorHAnsi" w:hAnsiTheme="minorHAnsi" w:cs="Arial"/>
          <w:sz w:val="22"/>
          <w:szCs w:val="22"/>
        </w:rPr>
        <w:t xml:space="preserve">Projektodawca </w:t>
      </w:r>
      <w:r w:rsidR="00C7538C">
        <w:rPr>
          <w:rFonts w:asciiTheme="minorHAnsi" w:hAnsiTheme="minorHAnsi" w:cs="Arial"/>
          <w:sz w:val="22"/>
          <w:szCs w:val="22"/>
        </w:rPr>
        <w:t xml:space="preserve">wprowadza jednak w powyższym kontekście istotne zastrzeżenie. Prawo do dopłat </w:t>
      </w:r>
      <w:r w:rsidR="00C801ED">
        <w:rPr>
          <w:rFonts w:asciiTheme="minorHAnsi" w:hAnsiTheme="minorHAnsi" w:cs="Arial"/>
          <w:sz w:val="22"/>
          <w:szCs w:val="22"/>
        </w:rPr>
        <w:br/>
      </w:r>
      <w:r w:rsidR="00C7538C">
        <w:rPr>
          <w:rFonts w:asciiTheme="minorHAnsi" w:hAnsiTheme="minorHAnsi" w:cs="Arial"/>
          <w:sz w:val="22"/>
          <w:szCs w:val="22"/>
        </w:rPr>
        <w:t xml:space="preserve">w pełnym </w:t>
      </w:r>
      <w:r w:rsidR="00C801ED">
        <w:rPr>
          <w:rFonts w:asciiTheme="minorHAnsi" w:hAnsiTheme="minorHAnsi" w:cs="Arial"/>
          <w:sz w:val="22"/>
          <w:szCs w:val="22"/>
        </w:rPr>
        <w:t>wymiarze czasowym</w:t>
      </w:r>
      <w:r w:rsidR="00C7538C">
        <w:rPr>
          <w:rFonts w:asciiTheme="minorHAnsi" w:hAnsiTheme="minorHAnsi" w:cs="Arial"/>
          <w:sz w:val="22"/>
          <w:szCs w:val="22"/>
        </w:rPr>
        <w:t xml:space="preserve"> nie przysługuje najemcy, jeżeli </w:t>
      </w:r>
      <w:r w:rsidR="00360CCE" w:rsidRPr="00360CCE">
        <w:rPr>
          <w:rFonts w:asciiTheme="minorHAnsi" w:hAnsiTheme="minorHAnsi" w:cs="Arial"/>
          <w:sz w:val="22"/>
          <w:szCs w:val="22"/>
        </w:rPr>
        <w:t xml:space="preserve">w skład </w:t>
      </w:r>
      <w:r w:rsidR="00360CCE">
        <w:rPr>
          <w:rFonts w:asciiTheme="minorHAnsi" w:hAnsiTheme="minorHAnsi" w:cs="Arial"/>
          <w:sz w:val="22"/>
          <w:szCs w:val="22"/>
        </w:rPr>
        <w:t xml:space="preserve">jego </w:t>
      </w:r>
      <w:r w:rsidR="00360CCE" w:rsidRPr="00360CCE">
        <w:rPr>
          <w:rFonts w:asciiTheme="minorHAnsi" w:hAnsiTheme="minorHAnsi" w:cs="Arial"/>
          <w:sz w:val="22"/>
          <w:szCs w:val="22"/>
        </w:rPr>
        <w:t>gospodarstwa domowego wchodzi osoba, w stosunku do której w przeszłości stosowano dopłaty</w:t>
      </w:r>
      <w:r w:rsidR="00360CCE">
        <w:rPr>
          <w:rFonts w:asciiTheme="minorHAnsi" w:hAnsiTheme="minorHAnsi" w:cs="Arial"/>
          <w:sz w:val="22"/>
          <w:szCs w:val="22"/>
        </w:rPr>
        <w:t xml:space="preserve"> (czyli osoba, która </w:t>
      </w:r>
      <w:r w:rsidR="00544F16">
        <w:rPr>
          <w:rFonts w:asciiTheme="minorHAnsi" w:hAnsiTheme="minorHAnsi" w:cs="Arial"/>
          <w:sz w:val="22"/>
          <w:szCs w:val="22"/>
        </w:rPr>
        <w:t>kiedyś w</w:t>
      </w:r>
      <w:r w:rsidR="00544F16">
        <w:rPr>
          <w:rFonts w:asciiTheme="minorHAnsi" w:hAnsiTheme="minorHAnsi" w:cs="Arial"/>
          <w:sz w:val="22"/>
          <w:szCs w:val="22"/>
        </w:rPr>
        <w:t>y</w:t>
      </w:r>
      <w:r w:rsidR="00544F16">
        <w:rPr>
          <w:rFonts w:asciiTheme="minorHAnsi" w:hAnsiTheme="minorHAnsi" w:cs="Arial"/>
          <w:sz w:val="22"/>
          <w:szCs w:val="22"/>
        </w:rPr>
        <w:t>najmowała mieszkanie, korzystając z dopłat</w:t>
      </w:r>
      <w:r w:rsidR="00360CCE">
        <w:rPr>
          <w:rFonts w:asciiTheme="minorHAnsi" w:hAnsiTheme="minorHAnsi" w:cs="Arial"/>
          <w:sz w:val="22"/>
          <w:szCs w:val="22"/>
        </w:rPr>
        <w:t xml:space="preserve">). W takim przypadku </w:t>
      </w:r>
      <w:r w:rsidR="00360CCE" w:rsidRPr="00360CCE">
        <w:rPr>
          <w:rFonts w:asciiTheme="minorHAnsi" w:hAnsiTheme="minorHAnsi" w:cs="Arial"/>
          <w:sz w:val="22"/>
          <w:szCs w:val="22"/>
        </w:rPr>
        <w:t>okres stosowania dopłat w stosu</w:t>
      </w:r>
      <w:r w:rsidR="00360CCE" w:rsidRPr="00360CCE">
        <w:rPr>
          <w:rFonts w:asciiTheme="minorHAnsi" w:hAnsiTheme="minorHAnsi" w:cs="Arial"/>
          <w:sz w:val="22"/>
          <w:szCs w:val="22"/>
        </w:rPr>
        <w:t>n</w:t>
      </w:r>
      <w:r w:rsidR="00360CCE" w:rsidRPr="00360CCE">
        <w:rPr>
          <w:rFonts w:asciiTheme="minorHAnsi" w:hAnsiTheme="minorHAnsi" w:cs="Arial"/>
          <w:sz w:val="22"/>
          <w:szCs w:val="22"/>
        </w:rPr>
        <w:t>ku do tego najemcy odpowiada różnicy między okresem</w:t>
      </w:r>
      <w:r w:rsidR="00360CCE">
        <w:rPr>
          <w:rFonts w:asciiTheme="minorHAnsi" w:hAnsiTheme="minorHAnsi" w:cs="Arial"/>
          <w:sz w:val="22"/>
          <w:szCs w:val="22"/>
        </w:rPr>
        <w:t xml:space="preserve"> 9 lat </w:t>
      </w:r>
      <w:r w:rsidR="00360CCE" w:rsidRPr="00360CCE">
        <w:rPr>
          <w:rFonts w:asciiTheme="minorHAnsi" w:hAnsiTheme="minorHAnsi" w:cs="Arial"/>
          <w:sz w:val="22"/>
          <w:szCs w:val="22"/>
        </w:rPr>
        <w:t>i okresem stosowania dopłat w stosu</w:t>
      </w:r>
      <w:r w:rsidR="00360CCE" w:rsidRPr="00360CCE">
        <w:rPr>
          <w:rFonts w:asciiTheme="minorHAnsi" w:hAnsiTheme="minorHAnsi" w:cs="Arial"/>
          <w:sz w:val="22"/>
          <w:szCs w:val="22"/>
        </w:rPr>
        <w:t>n</w:t>
      </w:r>
      <w:r w:rsidR="00360CCE" w:rsidRPr="00360CCE">
        <w:rPr>
          <w:rFonts w:asciiTheme="minorHAnsi" w:hAnsiTheme="minorHAnsi" w:cs="Arial"/>
          <w:sz w:val="22"/>
          <w:szCs w:val="22"/>
        </w:rPr>
        <w:t>ku do osoby w przeszłości uzyskującej dopłaty</w:t>
      </w:r>
      <w:r w:rsidR="00360CCE">
        <w:rPr>
          <w:rFonts w:asciiTheme="minorHAnsi" w:hAnsiTheme="minorHAnsi" w:cs="Arial"/>
          <w:sz w:val="22"/>
          <w:szCs w:val="22"/>
        </w:rPr>
        <w:t>. Takie rozwiązanie ma na celu ograniczenie ryzyka</w:t>
      </w:r>
      <w:r w:rsidR="009747E4">
        <w:rPr>
          <w:rFonts w:asciiTheme="minorHAnsi" w:hAnsiTheme="minorHAnsi" w:cs="Arial"/>
          <w:sz w:val="22"/>
          <w:szCs w:val="22"/>
        </w:rPr>
        <w:t xml:space="preserve"> związanego z sytuacją</w:t>
      </w:r>
      <w:r w:rsidR="00360CCE">
        <w:rPr>
          <w:rFonts w:asciiTheme="minorHAnsi" w:hAnsiTheme="minorHAnsi" w:cs="Arial"/>
          <w:sz w:val="22"/>
          <w:szCs w:val="22"/>
        </w:rPr>
        <w:t xml:space="preserve">, </w:t>
      </w:r>
      <w:r w:rsidR="009747E4">
        <w:rPr>
          <w:rFonts w:asciiTheme="minorHAnsi" w:hAnsiTheme="minorHAnsi" w:cs="Arial"/>
          <w:sz w:val="22"/>
          <w:szCs w:val="22"/>
        </w:rPr>
        <w:t>w której to samo gospodarstwo domowe korzysta ponownie z prawa do d</w:t>
      </w:r>
      <w:r w:rsidR="009747E4">
        <w:rPr>
          <w:rFonts w:asciiTheme="minorHAnsi" w:hAnsiTheme="minorHAnsi" w:cs="Arial"/>
          <w:sz w:val="22"/>
          <w:szCs w:val="22"/>
        </w:rPr>
        <w:t>o</w:t>
      </w:r>
      <w:r w:rsidR="009747E4">
        <w:rPr>
          <w:rFonts w:asciiTheme="minorHAnsi" w:hAnsiTheme="minorHAnsi" w:cs="Arial"/>
          <w:sz w:val="22"/>
          <w:szCs w:val="22"/>
        </w:rPr>
        <w:t xml:space="preserve">płat stosowanych przez okres 9 lat </w:t>
      </w:r>
      <w:r w:rsidR="00AA16C1">
        <w:rPr>
          <w:rFonts w:asciiTheme="minorHAnsi" w:hAnsiTheme="minorHAnsi" w:cs="Arial"/>
          <w:sz w:val="22"/>
          <w:szCs w:val="22"/>
        </w:rPr>
        <w:t>jedynie z powodu</w:t>
      </w:r>
      <w:r w:rsidR="009747E4">
        <w:rPr>
          <w:rFonts w:asciiTheme="minorHAnsi" w:hAnsiTheme="minorHAnsi" w:cs="Arial"/>
          <w:sz w:val="22"/>
          <w:szCs w:val="22"/>
        </w:rPr>
        <w:t xml:space="preserve"> zmiany mieszkania</w:t>
      </w:r>
      <w:r w:rsidR="009747E4" w:rsidRPr="009747E4">
        <w:rPr>
          <w:rFonts w:asciiTheme="minorHAnsi" w:hAnsiTheme="minorHAnsi" w:cs="Arial"/>
          <w:sz w:val="22"/>
          <w:szCs w:val="22"/>
        </w:rPr>
        <w:t xml:space="preserve"> na inn</w:t>
      </w:r>
      <w:r w:rsidR="001E7892">
        <w:rPr>
          <w:rFonts w:asciiTheme="minorHAnsi" w:hAnsiTheme="minorHAnsi" w:cs="Arial"/>
          <w:sz w:val="22"/>
          <w:szCs w:val="22"/>
        </w:rPr>
        <w:t xml:space="preserve">y lokal </w:t>
      </w:r>
      <w:r w:rsidR="009747E4" w:rsidRPr="009747E4">
        <w:rPr>
          <w:rFonts w:asciiTheme="minorHAnsi" w:hAnsiTheme="minorHAnsi" w:cs="Arial"/>
          <w:sz w:val="22"/>
          <w:szCs w:val="22"/>
        </w:rPr>
        <w:t>objęt</w:t>
      </w:r>
      <w:r w:rsidR="001E7892">
        <w:rPr>
          <w:rFonts w:asciiTheme="minorHAnsi" w:hAnsiTheme="minorHAnsi" w:cs="Arial"/>
          <w:sz w:val="22"/>
          <w:szCs w:val="22"/>
        </w:rPr>
        <w:t>y</w:t>
      </w:r>
      <w:r w:rsidR="009747E4" w:rsidRPr="009747E4">
        <w:rPr>
          <w:rFonts w:asciiTheme="minorHAnsi" w:hAnsiTheme="minorHAnsi" w:cs="Arial"/>
          <w:sz w:val="22"/>
          <w:szCs w:val="22"/>
        </w:rPr>
        <w:t xml:space="preserve"> możl</w:t>
      </w:r>
      <w:r w:rsidR="009747E4" w:rsidRPr="009747E4">
        <w:rPr>
          <w:rFonts w:asciiTheme="minorHAnsi" w:hAnsiTheme="minorHAnsi" w:cs="Arial"/>
          <w:sz w:val="22"/>
          <w:szCs w:val="22"/>
        </w:rPr>
        <w:t>i</w:t>
      </w:r>
      <w:r w:rsidR="009747E4" w:rsidRPr="009747E4">
        <w:rPr>
          <w:rFonts w:asciiTheme="minorHAnsi" w:hAnsiTheme="minorHAnsi" w:cs="Arial"/>
          <w:sz w:val="22"/>
          <w:szCs w:val="22"/>
        </w:rPr>
        <w:t xml:space="preserve">wością </w:t>
      </w:r>
      <w:r w:rsidR="008C03CC">
        <w:rPr>
          <w:rFonts w:asciiTheme="minorHAnsi" w:hAnsiTheme="minorHAnsi" w:cs="Arial"/>
          <w:sz w:val="22"/>
          <w:szCs w:val="22"/>
        </w:rPr>
        <w:t xml:space="preserve">stosowania </w:t>
      </w:r>
      <w:r w:rsidR="009747E4" w:rsidRPr="009747E4">
        <w:rPr>
          <w:rFonts w:asciiTheme="minorHAnsi" w:hAnsiTheme="minorHAnsi" w:cs="Arial"/>
          <w:sz w:val="22"/>
          <w:szCs w:val="22"/>
        </w:rPr>
        <w:t>dopłat</w:t>
      </w:r>
      <w:r w:rsidR="00BE1AAA">
        <w:rPr>
          <w:rFonts w:asciiTheme="minorHAnsi" w:hAnsiTheme="minorHAnsi" w:cs="Arial"/>
          <w:sz w:val="22"/>
          <w:szCs w:val="22"/>
        </w:rPr>
        <w:t xml:space="preserve"> </w:t>
      </w:r>
      <w:r w:rsidR="00AA16C1">
        <w:rPr>
          <w:rFonts w:asciiTheme="minorHAnsi" w:hAnsiTheme="minorHAnsi" w:cs="Arial"/>
          <w:sz w:val="22"/>
          <w:szCs w:val="22"/>
        </w:rPr>
        <w:t xml:space="preserve">i zmiany osoby najemcy </w:t>
      </w:r>
      <w:r w:rsidR="009747E4">
        <w:rPr>
          <w:rFonts w:asciiTheme="minorHAnsi" w:hAnsiTheme="minorHAnsi" w:cs="Arial"/>
          <w:sz w:val="22"/>
          <w:szCs w:val="22"/>
        </w:rPr>
        <w:t>(</w:t>
      </w:r>
      <w:r w:rsidR="00AA16C1">
        <w:rPr>
          <w:rFonts w:asciiTheme="minorHAnsi" w:hAnsiTheme="minorHAnsi" w:cs="Arial"/>
          <w:sz w:val="22"/>
          <w:szCs w:val="22"/>
        </w:rPr>
        <w:t>chodzi zatem o sytuację</w:t>
      </w:r>
      <w:r w:rsidR="009747E4">
        <w:rPr>
          <w:rFonts w:asciiTheme="minorHAnsi" w:hAnsiTheme="minorHAnsi" w:cs="Arial"/>
          <w:sz w:val="22"/>
          <w:szCs w:val="22"/>
        </w:rPr>
        <w:t xml:space="preserve">, </w:t>
      </w:r>
      <w:r w:rsidR="00AA16C1">
        <w:rPr>
          <w:rFonts w:asciiTheme="minorHAnsi" w:hAnsiTheme="minorHAnsi" w:cs="Arial"/>
          <w:sz w:val="22"/>
          <w:szCs w:val="22"/>
        </w:rPr>
        <w:t>w której</w:t>
      </w:r>
      <w:r w:rsidR="009747E4">
        <w:rPr>
          <w:rFonts w:asciiTheme="minorHAnsi" w:hAnsiTheme="minorHAnsi" w:cs="Arial"/>
          <w:sz w:val="22"/>
          <w:szCs w:val="22"/>
        </w:rPr>
        <w:t xml:space="preserve"> umowę najmu podpisał inny niż poprzednio członek gospodarstwa domowego; skład osobowy gospodarstwa nie zmieniłby się, ale prawo do dopłat przez okres 9 lat zostałoby dla tego gospodarstwa odnowione). </w:t>
      </w:r>
      <w:r w:rsidR="00EB145A">
        <w:rPr>
          <w:rFonts w:asciiTheme="minorHAnsi" w:hAnsiTheme="minorHAnsi" w:cs="Arial"/>
          <w:sz w:val="22"/>
          <w:szCs w:val="22"/>
        </w:rPr>
        <w:t xml:space="preserve"> </w:t>
      </w:r>
      <w:r w:rsidR="00A36C52">
        <w:rPr>
          <w:rFonts w:asciiTheme="minorHAnsi" w:hAnsiTheme="minorHAnsi" w:cs="Arial"/>
          <w:sz w:val="22"/>
          <w:szCs w:val="22"/>
        </w:rPr>
        <w:t xml:space="preserve">W kontekście okresu stosowania dopłat trzeba odnieść się również do sytuacji, w której najemcą są małżonkowie. W takim przypadku okres stosowania dopłat w związku z najmem danego mieszkania dotyczy obojga małżonków. </w:t>
      </w:r>
    </w:p>
    <w:p w:rsidR="008F3147" w:rsidRDefault="006F50B6" w:rsidP="00BA05A3">
      <w:pPr>
        <w:tabs>
          <w:tab w:val="left" w:pos="540"/>
        </w:tabs>
        <w:spacing w:after="120" w:line="240" w:lineRule="exact"/>
        <w:rPr>
          <w:rFonts w:asciiTheme="minorHAnsi" w:hAnsiTheme="minorHAnsi" w:cs="Arial"/>
          <w:sz w:val="22"/>
          <w:szCs w:val="22"/>
        </w:rPr>
      </w:pPr>
      <w:r>
        <w:rPr>
          <w:rFonts w:asciiTheme="minorHAnsi" w:hAnsiTheme="minorHAnsi" w:cs="Arial"/>
          <w:b/>
          <w:sz w:val="22"/>
          <w:szCs w:val="22"/>
        </w:rPr>
        <w:t>Art. 1</w:t>
      </w:r>
      <w:r w:rsidR="00FA3210">
        <w:rPr>
          <w:rFonts w:asciiTheme="minorHAnsi" w:hAnsiTheme="minorHAnsi" w:cs="Arial"/>
          <w:b/>
          <w:sz w:val="22"/>
          <w:szCs w:val="22"/>
        </w:rPr>
        <w:t>1</w:t>
      </w:r>
      <w:r>
        <w:rPr>
          <w:rFonts w:asciiTheme="minorHAnsi" w:hAnsiTheme="minorHAnsi" w:cs="Arial"/>
          <w:sz w:val="22"/>
          <w:szCs w:val="22"/>
        </w:rPr>
        <w:t xml:space="preserve"> reguluje zasady ustalania miesięcznej wysokości</w:t>
      </w:r>
      <w:r w:rsidRPr="00861D23">
        <w:rPr>
          <w:rFonts w:asciiTheme="minorHAnsi" w:hAnsiTheme="minorHAnsi" w:cs="Arial"/>
          <w:sz w:val="22"/>
          <w:szCs w:val="22"/>
        </w:rPr>
        <w:t xml:space="preserve"> dopłaty</w:t>
      </w:r>
      <w:r>
        <w:rPr>
          <w:rFonts w:asciiTheme="minorHAnsi" w:hAnsiTheme="minorHAnsi" w:cs="Arial"/>
          <w:sz w:val="22"/>
          <w:szCs w:val="22"/>
        </w:rPr>
        <w:t xml:space="preserve"> przysługującej najemcy. Jest ona</w:t>
      </w:r>
      <w:r w:rsidRPr="00861D23">
        <w:rPr>
          <w:rFonts w:asciiTheme="minorHAnsi" w:hAnsiTheme="minorHAnsi" w:cs="Arial"/>
          <w:sz w:val="22"/>
          <w:szCs w:val="22"/>
        </w:rPr>
        <w:t xml:space="preserve"> równa 1/12 kwoty iloczynu średniego wskaźnika przeliczeniowego kosztu odtworzenia 1 m</w:t>
      </w:r>
      <w:r w:rsidRPr="00861D23">
        <w:rPr>
          <w:rFonts w:asciiTheme="minorHAnsi" w:hAnsiTheme="minorHAnsi" w:cs="Arial"/>
          <w:sz w:val="22"/>
          <w:szCs w:val="22"/>
          <w:vertAlign w:val="superscript"/>
        </w:rPr>
        <w:t>2</w:t>
      </w:r>
      <w:r w:rsidRPr="00861D23">
        <w:rPr>
          <w:rFonts w:asciiTheme="minorHAnsi" w:hAnsiTheme="minorHAnsi" w:cs="Arial"/>
          <w:sz w:val="22"/>
          <w:szCs w:val="22"/>
        </w:rPr>
        <w:t xml:space="preserve"> p</w:t>
      </w:r>
      <w:r w:rsidRPr="00861D23">
        <w:rPr>
          <w:rFonts w:asciiTheme="minorHAnsi" w:hAnsiTheme="minorHAnsi" w:cs="Arial"/>
          <w:sz w:val="22"/>
          <w:szCs w:val="22"/>
        </w:rPr>
        <w:t>o</w:t>
      </w:r>
      <w:r w:rsidRPr="00861D23">
        <w:rPr>
          <w:rFonts w:asciiTheme="minorHAnsi" w:hAnsiTheme="minorHAnsi" w:cs="Arial"/>
          <w:sz w:val="22"/>
          <w:szCs w:val="22"/>
        </w:rPr>
        <w:t xml:space="preserve">wierzchni użytkowej budynków mieszkalnych obowiązującego w dniu złożenia wniosku o dopłaty </w:t>
      </w:r>
      <w:r>
        <w:rPr>
          <w:rFonts w:asciiTheme="minorHAnsi" w:hAnsiTheme="minorHAnsi" w:cs="Arial"/>
          <w:sz w:val="22"/>
          <w:szCs w:val="22"/>
        </w:rPr>
        <w:br/>
      </w:r>
      <w:r w:rsidR="00042390">
        <w:rPr>
          <w:rFonts w:asciiTheme="minorHAnsi" w:hAnsiTheme="minorHAnsi" w:cs="Arial"/>
          <w:sz w:val="22"/>
          <w:szCs w:val="22"/>
        </w:rPr>
        <w:t xml:space="preserve">(w tym </w:t>
      </w:r>
      <w:r w:rsidR="00182755">
        <w:rPr>
          <w:rFonts w:asciiTheme="minorHAnsi" w:hAnsiTheme="minorHAnsi" w:cs="Arial"/>
          <w:sz w:val="22"/>
          <w:szCs w:val="22"/>
        </w:rPr>
        <w:t xml:space="preserve">kolejnego </w:t>
      </w:r>
      <w:r w:rsidR="00042390">
        <w:rPr>
          <w:rFonts w:asciiTheme="minorHAnsi" w:hAnsiTheme="minorHAnsi" w:cs="Arial"/>
          <w:sz w:val="22"/>
          <w:szCs w:val="22"/>
        </w:rPr>
        <w:t xml:space="preserve">wniosku o </w:t>
      </w:r>
      <w:r w:rsidR="00182755">
        <w:rPr>
          <w:rFonts w:asciiTheme="minorHAnsi" w:hAnsiTheme="minorHAnsi" w:cs="Arial"/>
          <w:sz w:val="22"/>
          <w:szCs w:val="22"/>
        </w:rPr>
        <w:t>dopłaty</w:t>
      </w:r>
      <w:r w:rsidR="00042390">
        <w:rPr>
          <w:rFonts w:asciiTheme="minorHAnsi" w:hAnsiTheme="minorHAnsi" w:cs="Arial"/>
          <w:sz w:val="22"/>
          <w:szCs w:val="22"/>
        </w:rPr>
        <w:t xml:space="preserve">) </w:t>
      </w:r>
      <w:r w:rsidRPr="00861D23">
        <w:rPr>
          <w:rFonts w:asciiTheme="minorHAnsi" w:hAnsiTheme="minorHAnsi" w:cs="Arial"/>
          <w:sz w:val="22"/>
          <w:szCs w:val="22"/>
        </w:rPr>
        <w:t>w gminie, na terenie której położone jest mieszkanie, p</w:t>
      </w:r>
      <w:r w:rsidRPr="00861D23">
        <w:rPr>
          <w:rFonts w:asciiTheme="minorHAnsi" w:hAnsiTheme="minorHAnsi" w:cs="Arial"/>
          <w:sz w:val="22"/>
          <w:szCs w:val="22"/>
        </w:rPr>
        <w:t>o</w:t>
      </w:r>
      <w:r w:rsidRPr="00861D23">
        <w:rPr>
          <w:rFonts w:asciiTheme="minorHAnsi" w:hAnsiTheme="minorHAnsi" w:cs="Arial"/>
          <w:sz w:val="22"/>
          <w:szCs w:val="22"/>
        </w:rPr>
        <w:t>wierzchni normatywnej mieszkania oraz współczynnika dopłaty wynoszącego</w:t>
      </w:r>
      <w:r>
        <w:rPr>
          <w:rFonts w:asciiTheme="minorHAnsi" w:hAnsiTheme="minorHAnsi" w:cs="Arial"/>
          <w:sz w:val="22"/>
          <w:szCs w:val="22"/>
        </w:rPr>
        <w:t xml:space="preserve"> </w:t>
      </w:r>
      <w:r w:rsidRPr="00861D23">
        <w:rPr>
          <w:rFonts w:asciiTheme="minorHAnsi" w:hAnsiTheme="minorHAnsi" w:cs="Arial"/>
          <w:sz w:val="22"/>
          <w:szCs w:val="22"/>
        </w:rPr>
        <w:t>1,8%</w:t>
      </w:r>
      <w:r>
        <w:rPr>
          <w:rFonts w:asciiTheme="minorHAnsi" w:hAnsiTheme="minorHAnsi" w:cs="Arial"/>
          <w:sz w:val="22"/>
          <w:szCs w:val="22"/>
        </w:rPr>
        <w:t xml:space="preserve">. Jak wcześniej wspomniano, wartość wskaźnika jest aktualna dla daty złożenia wniosku o dopłaty (pierwszego lub </w:t>
      </w:r>
      <w:r w:rsidR="00182755">
        <w:rPr>
          <w:rFonts w:asciiTheme="minorHAnsi" w:hAnsiTheme="minorHAnsi" w:cs="Arial"/>
          <w:sz w:val="22"/>
          <w:szCs w:val="22"/>
        </w:rPr>
        <w:t>kolejnego</w:t>
      </w:r>
      <w:r>
        <w:rPr>
          <w:rFonts w:asciiTheme="minorHAnsi" w:hAnsiTheme="minorHAnsi" w:cs="Arial"/>
          <w:sz w:val="22"/>
          <w:szCs w:val="22"/>
        </w:rPr>
        <w:t>, w zależności od przypadku</w:t>
      </w:r>
      <w:r w:rsidR="005F6A44">
        <w:rPr>
          <w:rFonts w:asciiTheme="minorHAnsi" w:hAnsiTheme="minorHAnsi" w:cs="Arial"/>
          <w:sz w:val="22"/>
          <w:szCs w:val="22"/>
        </w:rPr>
        <w:t>)</w:t>
      </w:r>
      <w:r>
        <w:rPr>
          <w:rFonts w:asciiTheme="minorHAnsi" w:hAnsiTheme="minorHAnsi" w:cs="Arial"/>
          <w:sz w:val="22"/>
          <w:szCs w:val="22"/>
        </w:rPr>
        <w:t xml:space="preserve">. Nie ulega zatem zmianie w sytuacji wydania decyzji </w:t>
      </w:r>
      <w:r w:rsidR="00182755">
        <w:rPr>
          <w:rFonts w:asciiTheme="minorHAnsi" w:hAnsiTheme="minorHAnsi" w:cs="Arial"/>
          <w:sz w:val="22"/>
          <w:szCs w:val="22"/>
        </w:rPr>
        <w:t>dotycz</w:t>
      </w:r>
      <w:r w:rsidR="00182755">
        <w:rPr>
          <w:rFonts w:asciiTheme="minorHAnsi" w:hAnsiTheme="minorHAnsi" w:cs="Arial"/>
          <w:sz w:val="22"/>
          <w:szCs w:val="22"/>
        </w:rPr>
        <w:t>ą</w:t>
      </w:r>
      <w:r w:rsidR="00182755">
        <w:rPr>
          <w:rFonts w:asciiTheme="minorHAnsi" w:hAnsiTheme="minorHAnsi" w:cs="Arial"/>
          <w:sz w:val="22"/>
          <w:szCs w:val="22"/>
        </w:rPr>
        <w:t xml:space="preserve">cej stosowania dopłat </w:t>
      </w:r>
      <w:r>
        <w:rPr>
          <w:rFonts w:asciiTheme="minorHAnsi" w:hAnsiTheme="minorHAnsi" w:cs="Arial"/>
          <w:sz w:val="22"/>
          <w:szCs w:val="22"/>
        </w:rPr>
        <w:t xml:space="preserve">w toku procedury weryfikacji dochodu gospodarstwa, co ma na celu uniknięcie </w:t>
      </w:r>
      <w:r w:rsidR="00182755">
        <w:rPr>
          <w:rFonts w:asciiTheme="minorHAnsi" w:hAnsiTheme="minorHAnsi" w:cs="Arial"/>
          <w:sz w:val="22"/>
          <w:szCs w:val="22"/>
        </w:rPr>
        <w:t xml:space="preserve">wahań </w:t>
      </w:r>
      <w:r>
        <w:rPr>
          <w:rFonts w:asciiTheme="minorHAnsi" w:hAnsiTheme="minorHAnsi" w:cs="Arial"/>
          <w:sz w:val="22"/>
          <w:szCs w:val="22"/>
        </w:rPr>
        <w:t>wysokości dopłat ze względu na zmiany wysokości wskaźnika przeliczeniowego. Zmianie może ulec jednak powierzchnia normatywna stanowiąca podstawę obliczania wysokości dopłaty z powodu zmiany liczby osób wchodzących</w:t>
      </w:r>
      <w:r w:rsidR="00FB627B">
        <w:rPr>
          <w:rFonts w:asciiTheme="minorHAnsi" w:hAnsiTheme="minorHAnsi" w:cs="Arial"/>
          <w:sz w:val="22"/>
          <w:szCs w:val="22"/>
        </w:rPr>
        <w:t xml:space="preserve"> </w:t>
      </w:r>
      <w:r>
        <w:rPr>
          <w:rFonts w:asciiTheme="minorHAnsi" w:hAnsiTheme="minorHAnsi" w:cs="Arial"/>
          <w:sz w:val="22"/>
          <w:szCs w:val="22"/>
        </w:rPr>
        <w:t>w skład gospodarstwa, co</w:t>
      </w:r>
      <w:r w:rsidR="00BE1AAA">
        <w:rPr>
          <w:rFonts w:asciiTheme="minorHAnsi" w:hAnsiTheme="minorHAnsi" w:cs="Arial"/>
          <w:sz w:val="22"/>
          <w:szCs w:val="22"/>
        </w:rPr>
        <w:t xml:space="preserve"> </w:t>
      </w:r>
      <w:r>
        <w:rPr>
          <w:rFonts w:asciiTheme="minorHAnsi" w:hAnsiTheme="minorHAnsi" w:cs="Arial"/>
          <w:sz w:val="22"/>
          <w:szCs w:val="22"/>
        </w:rPr>
        <w:t>w toku weryfikacji</w:t>
      </w:r>
      <w:r w:rsidR="005F6A44">
        <w:rPr>
          <w:rFonts w:asciiTheme="minorHAnsi" w:hAnsiTheme="minorHAnsi" w:cs="Arial"/>
          <w:sz w:val="22"/>
          <w:szCs w:val="22"/>
        </w:rPr>
        <w:t>, co do zasady,</w:t>
      </w:r>
      <w:r>
        <w:rPr>
          <w:rFonts w:asciiTheme="minorHAnsi" w:hAnsiTheme="minorHAnsi" w:cs="Arial"/>
          <w:sz w:val="22"/>
          <w:szCs w:val="22"/>
        </w:rPr>
        <w:t xml:space="preserve"> skutkuje </w:t>
      </w:r>
      <w:r w:rsidR="005F6A44">
        <w:rPr>
          <w:rFonts w:asciiTheme="minorHAnsi" w:hAnsiTheme="minorHAnsi" w:cs="Arial"/>
          <w:sz w:val="22"/>
          <w:szCs w:val="22"/>
        </w:rPr>
        <w:t>zmianą</w:t>
      </w:r>
      <w:r>
        <w:rPr>
          <w:rFonts w:asciiTheme="minorHAnsi" w:hAnsiTheme="minorHAnsi" w:cs="Arial"/>
          <w:sz w:val="22"/>
          <w:szCs w:val="22"/>
        </w:rPr>
        <w:t xml:space="preserve"> decyzji, określając</w:t>
      </w:r>
      <w:r w:rsidR="005F6A44">
        <w:rPr>
          <w:rFonts w:asciiTheme="minorHAnsi" w:hAnsiTheme="minorHAnsi" w:cs="Arial"/>
          <w:sz w:val="22"/>
          <w:szCs w:val="22"/>
        </w:rPr>
        <w:t>ą</w:t>
      </w:r>
      <w:r>
        <w:rPr>
          <w:rFonts w:asciiTheme="minorHAnsi" w:hAnsiTheme="minorHAnsi" w:cs="Arial"/>
          <w:sz w:val="22"/>
          <w:szCs w:val="22"/>
        </w:rPr>
        <w:t xml:space="preserve"> nową wysokość dopłaty uwzględniającą zmianę w zakresie powierzchni normatywnej. </w:t>
      </w:r>
      <w:r w:rsidR="008F3147">
        <w:rPr>
          <w:rFonts w:asciiTheme="minorHAnsi" w:hAnsiTheme="minorHAnsi" w:cs="Arial"/>
          <w:sz w:val="22"/>
          <w:szCs w:val="22"/>
        </w:rPr>
        <w:br/>
      </w:r>
      <w:r>
        <w:rPr>
          <w:rFonts w:asciiTheme="minorHAnsi" w:hAnsiTheme="minorHAnsi" w:cs="Arial"/>
          <w:sz w:val="22"/>
          <w:szCs w:val="22"/>
        </w:rPr>
        <w:t>W tym kontekście należy zaznaczyć, że przy ustalaniu wysokości dopłaty bierze się pod uwagę, co do zasady, właśnie normatywną a nie rzeczywistą powierzchnię mieszkania (wynika to z faktu, że k</w:t>
      </w:r>
      <w:r>
        <w:rPr>
          <w:rFonts w:asciiTheme="minorHAnsi" w:hAnsiTheme="minorHAnsi" w:cs="Arial"/>
          <w:sz w:val="22"/>
          <w:szCs w:val="22"/>
        </w:rPr>
        <w:t>o</w:t>
      </w:r>
      <w:r>
        <w:rPr>
          <w:rFonts w:asciiTheme="minorHAnsi" w:hAnsiTheme="minorHAnsi" w:cs="Arial"/>
          <w:sz w:val="22"/>
          <w:szCs w:val="22"/>
        </w:rPr>
        <w:t>nieczne jest zapewnienie porównywalnego dla różnych przypadków przeliczenia powierzchni mies</w:t>
      </w:r>
      <w:r>
        <w:rPr>
          <w:rFonts w:asciiTheme="minorHAnsi" w:hAnsiTheme="minorHAnsi" w:cs="Arial"/>
          <w:sz w:val="22"/>
          <w:szCs w:val="22"/>
        </w:rPr>
        <w:t>z</w:t>
      </w:r>
      <w:r>
        <w:rPr>
          <w:rFonts w:asciiTheme="minorHAnsi" w:hAnsiTheme="minorHAnsi" w:cs="Arial"/>
          <w:sz w:val="22"/>
          <w:szCs w:val="22"/>
        </w:rPr>
        <w:t xml:space="preserve">kania na liczbę osób w gospodarstwie, co stanowi m. in. o jednolitości zasad stosowania dopłat w skali kraju). Dopiero w sytuacji gdy przekracza ona wielkość powierzchni rzeczywistej, jako podstawę ustalenia wysokości dopłaty bierze się limit wyznaczony przez rzeczywistą powierzchnię mieszkania. </w:t>
      </w:r>
      <w:r w:rsidR="008F3147">
        <w:rPr>
          <w:rFonts w:asciiTheme="minorHAnsi" w:hAnsiTheme="minorHAnsi" w:cs="Arial"/>
          <w:sz w:val="22"/>
          <w:szCs w:val="22"/>
        </w:rPr>
        <w:br/>
      </w:r>
      <w:r>
        <w:rPr>
          <w:rFonts w:asciiTheme="minorHAnsi" w:hAnsiTheme="minorHAnsi" w:cs="Arial"/>
          <w:sz w:val="22"/>
          <w:szCs w:val="22"/>
        </w:rPr>
        <w:t>W omawianym przepisie dopuszczono również możliwość zmiany współczynnika dopłaty na obsz</w:t>
      </w:r>
      <w:r>
        <w:rPr>
          <w:rFonts w:asciiTheme="minorHAnsi" w:hAnsiTheme="minorHAnsi" w:cs="Arial"/>
          <w:sz w:val="22"/>
          <w:szCs w:val="22"/>
        </w:rPr>
        <w:t>a</w:t>
      </w:r>
      <w:r>
        <w:rPr>
          <w:rFonts w:asciiTheme="minorHAnsi" w:hAnsiTheme="minorHAnsi" w:cs="Arial"/>
          <w:sz w:val="22"/>
          <w:szCs w:val="22"/>
        </w:rPr>
        <w:t>rach, gdzie ze względu na nietypowe lokalne czynniki dotyczące np. wysokości wartości odtworz</w:t>
      </w:r>
      <w:r>
        <w:rPr>
          <w:rFonts w:asciiTheme="minorHAnsi" w:hAnsiTheme="minorHAnsi" w:cs="Arial"/>
          <w:sz w:val="22"/>
          <w:szCs w:val="22"/>
        </w:rPr>
        <w:t>e</w:t>
      </w:r>
      <w:r>
        <w:rPr>
          <w:rFonts w:asciiTheme="minorHAnsi" w:hAnsiTheme="minorHAnsi" w:cs="Arial"/>
          <w:sz w:val="22"/>
          <w:szCs w:val="22"/>
        </w:rPr>
        <w:t>niowej lub wysokości czynszów najmu, ustawowa konstrukcja obliczania dopłaty nie umożliwia real</w:t>
      </w:r>
      <w:r>
        <w:rPr>
          <w:rFonts w:asciiTheme="minorHAnsi" w:hAnsiTheme="minorHAnsi" w:cs="Arial"/>
          <w:sz w:val="22"/>
          <w:szCs w:val="22"/>
        </w:rPr>
        <w:t>i</w:t>
      </w:r>
      <w:r>
        <w:rPr>
          <w:rFonts w:asciiTheme="minorHAnsi" w:hAnsiTheme="minorHAnsi" w:cs="Arial"/>
          <w:sz w:val="22"/>
          <w:szCs w:val="22"/>
        </w:rPr>
        <w:t xml:space="preserve">zacji celów ustawowych. Dokonuje tego w drodze rozporządzenia Rada Ministrów. </w:t>
      </w:r>
    </w:p>
    <w:p w:rsidR="00BA05A3" w:rsidRDefault="00BA05A3" w:rsidP="00BA05A3">
      <w:pPr>
        <w:tabs>
          <w:tab w:val="left" w:pos="540"/>
        </w:tabs>
        <w:spacing w:after="120" w:line="240" w:lineRule="exact"/>
        <w:rPr>
          <w:rFonts w:asciiTheme="minorHAnsi" w:hAnsiTheme="minorHAnsi" w:cs="Arial"/>
          <w:i/>
          <w:sz w:val="22"/>
          <w:szCs w:val="22"/>
        </w:rPr>
      </w:pPr>
      <w:r>
        <w:rPr>
          <w:rFonts w:asciiTheme="minorHAnsi" w:hAnsiTheme="minorHAnsi" w:cs="Arial"/>
          <w:i/>
          <w:sz w:val="22"/>
          <w:szCs w:val="22"/>
        </w:rPr>
        <w:t>Tab</w:t>
      </w:r>
      <w:r w:rsidRPr="006A15DD">
        <w:rPr>
          <w:rFonts w:asciiTheme="minorHAnsi" w:hAnsiTheme="minorHAnsi" w:cs="Arial"/>
          <w:i/>
          <w:sz w:val="22"/>
          <w:szCs w:val="22"/>
        </w:rPr>
        <w:t>.</w:t>
      </w:r>
      <w:r>
        <w:rPr>
          <w:rFonts w:asciiTheme="minorHAnsi" w:hAnsiTheme="minorHAnsi" w:cs="Arial"/>
          <w:i/>
          <w:sz w:val="22"/>
          <w:szCs w:val="22"/>
        </w:rPr>
        <w:t xml:space="preserve"> 4.</w:t>
      </w:r>
      <w:r w:rsidRPr="006A15DD">
        <w:rPr>
          <w:rFonts w:asciiTheme="minorHAnsi" w:hAnsiTheme="minorHAnsi" w:cs="Arial"/>
          <w:i/>
          <w:sz w:val="22"/>
          <w:szCs w:val="22"/>
        </w:rPr>
        <w:t xml:space="preserve"> Maksymalna wysokość dopłat do czynszu z uwzględnieniem wskaźników ustawowych, na po</w:t>
      </w:r>
      <w:r w:rsidRPr="006A15DD">
        <w:rPr>
          <w:rFonts w:asciiTheme="minorHAnsi" w:hAnsiTheme="minorHAnsi" w:cs="Arial"/>
          <w:i/>
          <w:sz w:val="22"/>
          <w:szCs w:val="22"/>
        </w:rPr>
        <w:t>d</w:t>
      </w:r>
      <w:r w:rsidRPr="006A15DD">
        <w:rPr>
          <w:rFonts w:asciiTheme="minorHAnsi" w:hAnsiTheme="minorHAnsi" w:cs="Arial"/>
          <w:i/>
          <w:sz w:val="22"/>
          <w:szCs w:val="22"/>
        </w:rPr>
        <w:t>stawie wartości odtworzeniowej obowiązującej w I</w:t>
      </w:r>
      <w:r>
        <w:rPr>
          <w:rFonts w:asciiTheme="minorHAnsi" w:hAnsiTheme="minorHAnsi" w:cs="Arial"/>
          <w:i/>
          <w:sz w:val="22"/>
          <w:szCs w:val="22"/>
        </w:rPr>
        <w:t>I</w:t>
      </w:r>
      <w:r w:rsidRPr="006A15DD">
        <w:rPr>
          <w:rFonts w:asciiTheme="minorHAnsi" w:hAnsiTheme="minorHAnsi" w:cs="Arial"/>
          <w:i/>
          <w:sz w:val="22"/>
          <w:szCs w:val="22"/>
        </w:rPr>
        <w:t xml:space="preserve"> kwartale 2018 r.</w:t>
      </w:r>
    </w:p>
    <w:tbl>
      <w:tblPr>
        <w:tblW w:w="9274" w:type="dxa"/>
        <w:tblCellMar>
          <w:left w:w="70" w:type="dxa"/>
          <w:right w:w="70" w:type="dxa"/>
        </w:tblCellMar>
        <w:tblLook w:val="04A0"/>
      </w:tblPr>
      <w:tblGrid>
        <w:gridCol w:w="3520"/>
        <w:gridCol w:w="734"/>
        <w:gridCol w:w="1369"/>
        <w:gridCol w:w="608"/>
        <w:gridCol w:w="608"/>
        <w:gridCol w:w="608"/>
        <w:gridCol w:w="608"/>
        <w:gridCol w:w="608"/>
        <w:gridCol w:w="611"/>
      </w:tblGrid>
      <w:tr w:rsidR="00BA05A3" w:rsidRPr="00E060E5" w:rsidTr="00BA05A3">
        <w:trPr>
          <w:trHeight w:val="1424"/>
        </w:trPr>
        <w:tc>
          <w:tcPr>
            <w:tcW w:w="4254" w:type="dxa"/>
            <w:gridSpan w:val="2"/>
            <w:vMerge w:val="restart"/>
            <w:tcBorders>
              <w:top w:val="single" w:sz="4" w:space="0" w:color="auto"/>
              <w:left w:val="single" w:sz="4" w:space="0" w:color="auto"/>
              <w:right w:val="single" w:sz="4" w:space="0" w:color="auto"/>
            </w:tcBorders>
            <w:shd w:val="clear" w:color="000000" w:fill="27B9CA"/>
            <w:vAlign w:val="center"/>
            <w:hideMark/>
          </w:tcPr>
          <w:p w:rsidR="00BA05A3" w:rsidRPr="00E060E5" w:rsidRDefault="00BA05A3" w:rsidP="00DA7A22">
            <w:pPr>
              <w:spacing w:line="240" w:lineRule="auto"/>
              <w:jc w:val="center"/>
              <w:rPr>
                <w:rFonts w:asciiTheme="minorHAnsi" w:eastAsia="Times New Roman" w:hAnsiTheme="minorHAnsi" w:cstheme="minorHAnsi"/>
                <w:b/>
                <w:bCs/>
                <w:color w:val="000000"/>
                <w:sz w:val="16"/>
                <w:szCs w:val="16"/>
              </w:rPr>
            </w:pPr>
            <w:r w:rsidRPr="00E060E5">
              <w:rPr>
                <w:rFonts w:asciiTheme="minorHAnsi" w:eastAsia="Times New Roman" w:hAnsiTheme="minorHAnsi" w:cstheme="minorHAnsi"/>
                <w:b/>
                <w:bCs/>
                <w:color w:val="000000"/>
                <w:sz w:val="16"/>
                <w:szCs w:val="16"/>
              </w:rPr>
              <w:t>Wysokość średniego wskaźnika przeliczeniowego kosztu odtworzenia 1 m</w:t>
            </w:r>
            <w:r w:rsidRPr="00BA05A3">
              <w:rPr>
                <w:rFonts w:asciiTheme="minorHAnsi" w:eastAsia="Times New Roman" w:hAnsiTheme="minorHAnsi" w:cstheme="minorHAnsi"/>
                <w:b/>
                <w:bCs/>
                <w:color w:val="000000"/>
                <w:sz w:val="16"/>
                <w:szCs w:val="16"/>
                <w:vertAlign w:val="superscript"/>
              </w:rPr>
              <w:t>2</w:t>
            </w:r>
            <w:r w:rsidRPr="00E060E5">
              <w:rPr>
                <w:rFonts w:asciiTheme="minorHAnsi" w:eastAsia="Times New Roman" w:hAnsiTheme="minorHAnsi" w:cstheme="minorHAnsi"/>
                <w:b/>
                <w:bCs/>
                <w:color w:val="000000"/>
                <w:sz w:val="16"/>
                <w:szCs w:val="16"/>
              </w:rPr>
              <w:t xml:space="preserve"> powierzchni użytkowej</w:t>
            </w:r>
            <w:r>
              <w:rPr>
                <w:rFonts w:asciiTheme="minorHAnsi" w:eastAsia="Times New Roman" w:hAnsiTheme="minorHAnsi" w:cstheme="minorHAnsi"/>
                <w:b/>
                <w:bCs/>
                <w:color w:val="000000"/>
                <w:sz w:val="16"/>
                <w:szCs w:val="16"/>
              </w:rPr>
              <w:t xml:space="preserve"> (zł)</w:t>
            </w:r>
          </w:p>
          <w:p w:rsidR="00BA05A3" w:rsidRPr="00E060E5" w:rsidRDefault="00BA05A3" w:rsidP="00BA05A3">
            <w:pPr>
              <w:spacing w:line="240" w:lineRule="auto"/>
              <w:rPr>
                <w:rFonts w:asciiTheme="minorHAnsi" w:eastAsia="Times New Roman" w:hAnsiTheme="minorHAnsi" w:cstheme="minorHAnsi"/>
                <w:b/>
                <w:bCs/>
                <w:color w:val="000000"/>
                <w:sz w:val="16"/>
                <w:szCs w:val="16"/>
              </w:rPr>
            </w:pPr>
          </w:p>
        </w:tc>
        <w:tc>
          <w:tcPr>
            <w:tcW w:w="1369" w:type="dxa"/>
            <w:tcBorders>
              <w:top w:val="single" w:sz="4" w:space="0" w:color="auto"/>
              <w:left w:val="single" w:sz="4" w:space="0" w:color="auto"/>
              <w:bottom w:val="single" w:sz="4" w:space="0" w:color="000000"/>
              <w:right w:val="nil"/>
            </w:tcBorders>
            <w:shd w:val="clear" w:color="000000" w:fill="27B9CA"/>
            <w:vAlign w:val="center"/>
            <w:hideMark/>
          </w:tcPr>
          <w:p w:rsidR="00BA05A3" w:rsidRPr="00E060E5" w:rsidRDefault="00BA05A3" w:rsidP="00DA7A22">
            <w:pPr>
              <w:spacing w:line="240" w:lineRule="auto"/>
              <w:jc w:val="center"/>
              <w:rPr>
                <w:rFonts w:asciiTheme="minorHAnsi" w:eastAsia="Times New Roman" w:hAnsiTheme="minorHAnsi" w:cstheme="minorHAnsi"/>
                <w:b/>
                <w:bCs/>
                <w:color w:val="000000"/>
                <w:sz w:val="16"/>
                <w:szCs w:val="16"/>
              </w:rPr>
            </w:pPr>
            <w:r w:rsidRPr="00E060E5">
              <w:rPr>
                <w:rFonts w:asciiTheme="minorHAnsi" w:eastAsia="Times New Roman" w:hAnsiTheme="minorHAnsi" w:cstheme="minorHAnsi"/>
                <w:b/>
                <w:bCs/>
                <w:color w:val="000000"/>
                <w:sz w:val="16"/>
                <w:szCs w:val="16"/>
              </w:rPr>
              <w:t>Miesięczna wys</w:t>
            </w:r>
            <w:r w:rsidRPr="00E060E5">
              <w:rPr>
                <w:rFonts w:asciiTheme="minorHAnsi" w:eastAsia="Times New Roman" w:hAnsiTheme="minorHAnsi" w:cstheme="minorHAnsi"/>
                <w:b/>
                <w:bCs/>
                <w:color w:val="000000"/>
                <w:sz w:val="16"/>
                <w:szCs w:val="16"/>
              </w:rPr>
              <w:t>o</w:t>
            </w:r>
            <w:r w:rsidRPr="00E060E5">
              <w:rPr>
                <w:rFonts w:asciiTheme="minorHAnsi" w:eastAsia="Times New Roman" w:hAnsiTheme="minorHAnsi" w:cstheme="minorHAnsi"/>
                <w:b/>
                <w:bCs/>
                <w:color w:val="000000"/>
                <w:sz w:val="16"/>
                <w:szCs w:val="16"/>
              </w:rPr>
              <w:t>kość dopłaty za 1 m</w:t>
            </w:r>
            <w:r w:rsidRPr="001952F5">
              <w:rPr>
                <w:rFonts w:asciiTheme="minorHAnsi" w:eastAsia="Times New Roman" w:hAnsiTheme="minorHAnsi" w:cstheme="minorHAnsi"/>
                <w:b/>
                <w:bCs/>
                <w:color w:val="000000"/>
                <w:sz w:val="16"/>
                <w:szCs w:val="16"/>
                <w:vertAlign w:val="superscript"/>
              </w:rPr>
              <w:t>2</w:t>
            </w:r>
            <w:r w:rsidRPr="00E060E5">
              <w:rPr>
                <w:rFonts w:asciiTheme="minorHAnsi" w:eastAsia="Times New Roman" w:hAnsiTheme="minorHAnsi" w:cstheme="minorHAnsi"/>
                <w:b/>
                <w:bCs/>
                <w:color w:val="000000"/>
                <w:sz w:val="16"/>
                <w:szCs w:val="16"/>
              </w:rPr>
              <w:t xml:space="preserve"> (zł)</w:t>
            </w:r>
          </w:p>
        </w:tc>
        <w:tc>
          <w:tcPr>
            <w:tcW w:w="3651" w:type="dxa"/>
            <w:gridSpan w:val="6"/>
            <w:tcBorders>
              <w:top w:val="single" w:sz="4" w:space="0" w:color="auto"/>
              <w:left w:val="single" w:sz="4" w:space="0" w:color="auto"/>
              <w:bottom w:val="single" w:sz="4" w:space="0" w:color="auto"/>
              <w:right w:val="single" w:sz="4" w:space="0" w:color="auto"/>
            </w:tcBorders>
            <w:shd w:val="clear" w:color="000000" w:fill="27B9CA"/>
            <w:vAlign w:val="center"/>
            <w:hideMark/>
          </w:tcPr>
          <w:p w:rsidR="00BA05A3" w:rsidRPr="00E060E5" w:rsidRDefault="00BA05A3" w:rsidP="00DA7A22">
            <w:pPr>
              <w:spacing w:line="240" w:lineRule="auto"/>
              <w:jc w:val="center"/>
              <w:rPr>
                <w:rFonts w:asciiTheme="minorHAnsi" w:eastAsia="Times New Roman" w:hAnsiTheme="minorHAnsi" w:cstheme="minorHAnsi"/>
                <w:b/>
                <w:bCs/>
                <w:color w:val="000000"/>
                <w:sz w:val="16"/>
                <w:szCs w:val="16"/>
              </w:rPr>
            </w:pPr>
            <w:r w:rsidRPr="00E060E5">
              <w:rPr>
                <w:rFonts w:asciiTheme="minorHAnsi" w:eastAsia="Times New Roman" w:hAnsiTheme="minorHAnsi" w:cstheme="minorHAnsi"/>
                <w:b/>
                <w:bCs/>
                <w:color w:val="000000"/>
                <w:sz w:val="16"/>
                <w:szCs w:val="16"/>
              </w:rPr>
              <w:t>Maksymalna wysokość dopłat ze względu na wie</w:t>
            </w:r>
            <w:r w:rsidRPr="00E060E5">
              <w:rPr>
                <w:rFonts w:asciiTheme="minorHAnsi" w:eastAsia="Times New Roman" w:hAnsiTheme="minorHAnsi" w:cstheme="minorHAnsi"/>
                <w:b/>
                <w:bCs/>
                <w:color w:val="000000"/>
                <w:sz w:val="16"/>
                <w:szCs w:val="16"/>
              </w:rPr>
              <w:t>l</w:t>
            </w:r>
            <w:r w:rsidRPr="00E060E5">
              <w:rPr>
                <w:rFonts w:asciiTheme="minorHAnsi" w:eastAsia="Times New Roman" w:hAnsiTheme="minorHAnsi" w:cstheme="minorHAnsi"/>
                <w:b/>
                <w:bCs/>
                <w:color w:val="000000"/>
                <w:sz w:val="16"/>
                <w:szCs w:val="16"/>
              </w:rPr>
              <w:t>kość gospodarstwa domowego (zł)</w:t>
            </w:r>
          </w:p>
        </w:tc>
      </w:tr>
      <w:tr w:rsidR="00BA05A3" w:rsidRPr="00E060E5" w:rsidTr="00BA05A3">
        <w:trPr>
          <w:trHeight w:val="225"/>
        </w:trPr>
        <w:tc>
          <w:tcPr>
            <w:tcW w:w="4254" w:type="dxa"/>
            <w:gridSpan w:val="2"/>
            <w:vMerge/>
            <w:tcBorders>
              <w:left w:val="single" w:sz="4" w:space="0" w:color="auto"/>
              <w:bottom w:val="single" w:sz="4" w:space="0" w:color="auto"/>
              <w:right w:val="single" w:sz="4" w:space="0" w:color="auto"/>
            </w:tcBorders>
            <w:vAlign w:val="center"/>
            <w:hideMark/>
          </w:tcPr>
          <w:p w:rsidR="00BA05A3" w:rsidRPr="00E060E5" w:rsidRDefault="00BA05A3" w:rsidP="00DA7A22">
            <w:pPr>
              <w:spacing w:line="240" w:lineRule="auto"/>
              <w:jc w:val="left"/>
              <w:rPr>
                <w:rFonts w:asciiTheme="minorHAnsi" w:eastAsia="Times New Roman" w:hAnsiTheme="minorHAnsi" w:cstheme="minorHAnsi"/>
                <w:b/>
                <w:bCs/>
                <w:color w:val="000000"/>
                <w:sz w:val="16"/>
                <w:szCs w:val="16"/>
              </w:rPr>
            </w:pPr>
          </w:p>
        </w:tc>
        <w:tc>
          <w:tcPr>
            <w:tcW w:w="1369" w:type="dxa"/>
            <w:tcBorders>
              <w:top w:val="nil"/>
              <w:left w:val="nil"/>
              <w:bottom w:val="single" w:sz="4" w:space="0" w:color="auto"/>
              <w:right w:val="single" w:sz="4" w:space="0" w:color="auto"/>
            </w:tcBorders>
            <w:shd w:val="clear" w:color="000000" w:fill="27B9CA"/>
            <w:vAlign w:val="center"/>
            <w:hideMark/>
          </w:tcPr>
          <w:p w:rsidR="00BA05A3" w:rsidRPr="00E060E5" w:rsidRDefault="00BA05A3" w:rsidP="00DA7A22">
            <w:pPr>
              <w:spacing w:line="240" w:lineRule="auto"/>
              <w:jc w:val="center"/>
              <w:rPr>
                <w:rFonts w:asciiTheme="minorHAnsi" w:eastAsia="Times New Roman" w:hAnsiTheme="minorHAnsi" w:cstheme="minorHAnsi"/>
                <w:b/>
                <w:bCs/>
                <w:color w:val="000000"/>
                <w:sz w:val="16"/>
                <w:szCs w:val="16"/>
              </w:rPr>
            </w:pPr>
            <w:r w:rsidRPr="00E060E5">
              <w:rPr>
                <w:rFonts w:asciiTheme="minorHAnsi" w:eastAsia="Times New Roman" w:hAnsiTheme="minorHAnsi" w:cstheme="minorHAnsi"/>
                <w:b/>
                <w:bCs/>
                <w:color w:val="000000"/>
                <w:sz w:val="16"/>
                <w:szCs w:val="16"/>
              </w:rPr>
              <w:t>1,80%</w:t>
            </w:r>
          </w:p>
        </w:tc>
        <w:tc>
          <w:tcPr>
            <w:tcW w:w="608" w:type="dxa"/>
            <w:tcBorders>
              <w:top w:val="single" w:sz="4" w:space="0" w:color="auto"/>
              <w:left w:val="nil"/>
              <w:bottom w:val="single" w:sz="4" w:space="0" w:color="auto"/>
              <w:right w:val="single" w:sz="4" w:space="0" w:color="auto"/>
            </w:tcBorders>
            <w:shd w:val="clear" w:color="000000" w:fill="27B9CA"/>
            <w:vAlign w:val="center"/>
            <w:hideMark/>
          </w:tcPr>
          <w:p w:rsidR="00BA05A3" w:rsidRPr="00E060E5" w:rsidRDefault="00BA05A3" w:rsidP="00DA7A22">
            <w:pPr>
              <w:spacing w:line="240" w:lineRule="auto"/>
              <w:jc w:val="center"/>
              <w:rPr>
                <w:rFonts w:asciiTheme="minorHAnsi" w:eastAsia="Times New Roman" w:hAnsiTheme="minorHAnsi" w:cstheme="minorHAnsi"/>
                <w:b/>
                <w:bCs/>
                <w:color w:val="000000"/>
                <w:sz w:val="16"/>
                <w:szCs w:val="16"/>
              </w:rPr>
            </w:pPr>
            <w:r w:rsidRPr="00E060E5">
              <w:rPr>
                <w:rFonts w:asciiTheme="minorHAnsi" w:eastAsia="Times New Roman" w:hAnsiTheme="minorHAnsi" w:cstheme="minorHAnsi"/>
                <w:b/>
                <w:bCs/>
                <w:color w:val="000000"/>
                <w:sz w:val="16"/>
                <w:szCs w:val="16"/>
              </w:rPr>
              <w:t>1 os.</w:t>
            </w:r>
          </w:p>
        </w:tc>
        <w:tc>
          <w:tcPr>
            <w:tcW w:w="608" w:type="dxa"/>
            <w:tcBorders>
              <w:top w:val="single" w:sz="4" w:space="0" w:color="auto"/>
              <w:left w:val="nil"/>
              <w:bottom w:val="single" w:sz="4" w:space="0" w:color="auto"/>
              <w:right w:val="single" w:sz="4" w:space="0" w:color="auto"/>
            </w:tcBorders>
            <w:shd w:val="clear" w:color="000000" w:fill="27B9CA"/>
            <w:vAlign w:val="center"/>
            <w:hideMark/>
          </w:tcPr>
          <w:p w:rsidR="00BA05A3" w:rsidRPr="00E060E5" w:rsidRDefault="00BA05A3" w:rsidP="00DA7A22">
            <w:pPr>
              <w:spacing w:line="240" w:lineRule="auto"/>
              <w:jc w:val="center"/>
              <w:rPr>
                <w:rFonts w:asciiTheme="minorHAnsi" w:eastAsia="Times New Roman" w:hAnsiTheme="minorHAnsi" w:cstheme="minorHAnsi"/>
                <w:b/>
                <w:bCs/>
                <w:color w:val="000000"/>
                <w:sz w:val="16"/>
                <w:szCs w:val="16"/>
              </w:rPr>
            </w:pPr>
            <w:r w:rsidRPr="00E060E5">
              <w:rPr>
                <w:rFonts w:asciiTheme="minorHAnsi" w:eastAsia="Times New Roman" w:hAnsiTheme="minorHAnsi" w:cstheme="minorHAnsi"/>
                <w:b/>
                <w:bCs/>
                <w:color w:val="000000"/>
                <w:sz w:val="16"/>
                <w:szCs w:val="16"/>
              </w:rPr>
              <w:t>2 os.</w:t>
            </w:r>
          </w:p>
        </w:tc>
        <w:tc>
          <w:tcPr>
            <w:tcW w:w="608" w:type="dxa"/>
            <w:tcBorders>
              <w:top w:val="single" w:sz="4" w:space="0" w:color="auto"/>
              <w:left w:val="nil"/>
              <w:bottom w:val="single" w:sz="4" w:space="0" w:color="auto"/>
              <w:right w:val="single" w:sz="4" w:space="0" w:color="auto"/>
            </w:tcBorders>
            <w:shd w:val="clear" w:color="000000" w:fill="27B9CA"/>
            <w:vAlign w:val="center"/>
            <w:hideMark/>
          </w:tcPr>
          <w:p w:rsidR="00BA05A3" w:rsidRPr="00E060E5" w:rsidRDefault="00BA05A3" w:rsidP="00DA7A22">
            <w:pPr>
              <w:spacing w:line="240" w:lineRule="auto"/>
              <w:jc w:val="center"/>
              <w:rPr>
                <w:rFonts w:asciiTheme="minorHAnsi" w:eastAsia="Times New Roman" w:hAnsiTheme="minorHAnsi" w:cstheme="minorHAnsi"/>
                <w:b/>
                <w:bCs/>
                <w:color w:val="000000"/>
                <w:sz w:val="16"/>
                <w:szCs w:val="16"/>
              </w:rPr>
            </w:pPr>
            <w:r w:rsidRPr="00E060E5">
              <w:rPr>
                <w:rFonts w:asciiTheme="minorHAnsi" w:eastAsia="Times New Roman" w:hAnsiTheme="minorHAnsi" w:cstheme="minorHAnsi"/>
                <w:b/>
                <w:bCs/>
                <w:color w:val="000000"/>
                <w:sz w:val="16"/>
                <w:szCs w:val="16"/>
              </w:rPr>
              <w:t>3 os.</w:t>
            </w:r>
          </w:p>
        </w:tc>
        <w:tc>
          <w:tcPr>
            <w:tcW w:w="608" w:type="dxa"/>
            <w:tcBorders>
              <w:top w:val="single" w:sz="4" w:space="0" w:color="auto"/>
              <w:left w:val="nil"/>
              <w:bottom w:val="single" w:sz="4" w:space="0" w:color="auto"/>
              <w:right w:val="single" w:sz="4" w:space="0" w:color="auto"/>
            </w:tcBorders>
            <w:shd w:val="clear" w:color="000000" w:fill="27B9CA"/>
            <w:vAlign w:val="center"/>
            <w:hideMark/>
          </w:tcPr>
          <w:p w:rsidR="00BA05A3" w:rsidRPr="00E060E5" w:rsidRDefault="00BA05A3" w:rsidP="00DA7A22">
            <w:pPr>
              <w:spacing w:line="240" w:lineRule="auto"/>
              <w:jc w:val="center"/>
              <w:rPr>
                <w:rFonts w:asciiTheme="minorHAnsi" w:eastAsia="Times New Roman" w:hAnsiTheme="minorHAnsi" w:cstheme="minorHAnsi"/>
                <w:b/>
                <w:bCs/>
                <w:color w:val="000000"/>
                <w:sz w:val="16"/>
                <w:szCs w:val="16"/>
              </w:rPr>
            </w:pPr>
            <w:r w:rsidRPr="00E060E5">
              <w:rPr>
                <w:rFonts w:asciiTheme="minorHAnsi" w:eastAsia="Times New Roman" w:hAnsiTheme="minorHAnsi" w:cstheme="minorHAnsi"/>
                <w:b/>
                <w:bCs/>
                <w:color w:val="000000"/>
                <w:sz w:val="16"/>
                <w:szCs w:val="16"/>
              </w:rPr>
              <w:t>4 os.</w:t>
            </w:r>
          </w:p>
        </w:tc>
        <w:tc>
          <w:tcPr>
            <w:tcW w:w="608" w:type="dxa"/>
            <w:tcBorders>
              <w:top w:val="single" w:sz="4" w:space="0" w:color="auto"/>
              <w:left w:val="nil"/>
              <w:bottom w:val="single" w:sz="4" w:space="0" w:color="auto"/>
              <w:right w:val="single" w:sz="4" w:space="0" w:color="auto"/>
            </w:tcBorders>
            <w:shd w:val="clear" w:color="000000" w:fill="27B9CA"/>
            <w:vAlign w:val="center"/>
            <w:hideMark/>
          </w:tcPr>
          <w:p w:rsidR="00BA05A3" w:rsidRPr="00E060E5" w:rsidRDefault="00BA05A3" w:rsidP="00DA7A22">
            <w:pPr>
              <w:spacing w:line="240" w:lineRule="auto"/>
              <w:jc w:val="center"/>
              <w:rPr>
                <w:rFonts w:asciiTheme="minorHAnsi" w:eastAsia="Times New Roman" w:hAnsiTheme="minorHAnsi" w:cstheme="minorHAnsi"/>
                <w:b/>
                <w:bCs/>
                <w:color w:val="000000"/>
                <w:sz w:val="16"/>
                <w:szCs w:val="16"/>
              </w:rPr>
            </w:pPr>
            <w:r w:rsidRPr="00E060E5">
              <w:rPr>
                <w:rFonts w:asciiTheme="minorHAnsi" w:eastAsia="Times New Roman" w:hAnsiTheme="minorHAnsi" w:cstheme="minorHAnsi"/>
                <w:b/>
                <w:bCs/>
                <w:color w:val="000000"/>
                <w:sz w:val="16"/>
                <w:szCs w:val="16"/>
              </w:rPr>
              <w:t>5 os.</w:t>
            </w:r>
          </w:p>
        </w:tc>
        <w:tc>
          <w:tcPr>
            <w:tcW w:w="611" w:type="dxa"/>
            <w:tcBorders>
              <w:top w:val="single" w:sz="4" w:space="0" w:color="auto"/>
              <w:left w:val="nil"/>
              <w:bottom w:val="single" w:sz="4" w:space="0" w:color="auto"/>
              <w:right w:val="single" w:sz="4" w:space="0" w:color="auto"/>
            </w:tcBorders>
            <w:shd w:val="clear" w:color="000000" w:fill="27B9CA"/>
            <w:vAlign w:val="center"/>
            <w:hideMark/>
          </w:tcPr>
          <w:p w:rsidR="00BA05A3" w:rsidRPr="00E060E5" w:rsidRDefault="00BA05A3" w:rsidP="00DA7A22">
            <w:pPr>
              <w:spacing w:line="240" w:lineRule="auto"/>
              <w:jc w:val="center"/>
              <w:rPr>
                <w:rFonts w:asciiTheme="minorHAnsi" w:eastAsia="Times New Roman" w:hAnsiTheme="minorHAnsi" w:cstheme="minorHAnsi"/>
                <w:b/>
                <w:bCs/>
                <w:color w:val="000000"/>
                <w:sz w:val="16"/>
                <w:szCs w:val="16"/>
              </w:rPr>
            </w:pPr>
            <w:r w:rsidRPr="00E060E5">
              <w:rPr>
                <w:rFonts w:asciiTheme="minorHAnsi" w:eastAsia="Times New Roman" w:hAnsiTheme="minorHAnsi" w:cstheme="minorHAnsi"/>
                <w:b/>
                <w:bCs/>
                <w:color w:val="000000"/>
                <w:sz w:val="16"/>
                <w:szCs w:val="16"/>
              </w:rPr>
              <w:t>6 os.</w:t>
            </w:r>
          </w:p>
        </w:tc>
      </w:tr>
      <w:tr w:rsidR="00BA05A3" w:rsidRPr="00E060E5" w:rsidTr="00BA05A3">
        <w:trPr>
          <w:trHeight w:val="301"/>
        </w:trPr>
        <w:tc>
          <w:tcPr>
            <w:tcW w:w="3520" w:type="dxa"/>
            <w:tcBorders>
              <w:top w:val="nil"/>
              <w:left w:val="single" w:sz="4" w:space="0" w:color="auto"/>
              <w:bottom w:val="single" w:sz="4" w:space="0" w:color="auto"/>
              <w:right w:val="single" w:sz="4" w:space="0" w:color="auto"/>
            </w:tcBorders>
            <w:shd w:val="clear" w:color="auto" w:fill="auto"/>
            <w:noWrap/>
            <w:vAlign w:val="center"/>
            <w:hideMark/>
          </w:tcPr>
          <w:p w:rsidR="00BA05A3" w:rsidRPr="00E060E5" w:rsidRDefault="00BA05A3" w:rsidP="00DA7A22">
            <w:pPr>
              <w:spacing w:line="240" w:lineRule="auto"/>
              <w:rPr>
                <w:rFonts w:asciiTheme="minorHAnsi" w:eastAsia="Times New Roman" w:hAnsiTheme="minorHAnsi" w:cstheme="minorHAnsi"/>
                <w:color w:val="000000"/>
                <w:sz w:val="16"/>
                <w:szCs w:val="16"/>
              </w:rPr>
            </w:pPr>
            <w:r w:rsidRPr="00E060E5">
              <w:rPr>
                <w:rFonts w:asciiTheme="minorHAnsi" w:eastAsia="Times New Roman" w:hAnsiTheme="minorHAnsi" w:cstheme="minorHAnsi"/>
                <w:color w:val="000000"/>
                <w:sz w:val="16"/>
                <w:szCs w:val="16"/>
              </w:rPr>
              <w:t>Wrocław</w:t>
            </w:r>
          </w:p>
        </w:tc>
        <w:tc>
          <w:tcPr>
            <w:tcW w:w="734" w:type="dxa"/>
            <w:tcBorders>
              <w:top w:val="nil"/>
              <w:left w:val="nil"/>
              <w:bottom w:val="single" w:sz="4" w:space="0" w:color="auto"/>
              <w:right w:val="single" w:sz="4" w:space="0" w:color="auto"/>
            </w:tcBorders>
            <w:shd w:val="clear" w:color="auto" w:fill="auto"/>
            <w:noWrap/>
            <w:vAlign w:val="center"/>
            <w:hideMark/>
          </w:tcPr>
          <w:p w:rsidR="00BA05A3" w:rsidRPr="00E060E5" w:rsidRDefault="00BA05A3" w:rsidP="00DA7A22">
            <w:pPr>
              <w:spacing w:line="240" w:lineRule="auto"/>
              <w:rPr>
                <w:rFonts w:asciiTheme="minorHAnsi" w:eastAsia="Times New Roman" w:hAnsiTheme="minorHAnsi" w:cstheme="minorHAnsi"/>
                <w:color w:val="000000"/>
                <w:sz w:val="16"/>
                <w:szCs w:val="16"/>
              </w:rPr>
            </w:pPr>
            <w:r w:rsidRPr="00E060E5">
              <w:rPr>
                <w:rFonts w:asciiTheme="minorHAnsi" w:eastAsia="Times New Roman" w:hAnsiTheme="minorHAnsi" w:cstheme="minorHAnsi"/>
                <w:color w:val="000000"/>
                <w:sz w:val="16"/>
                <w:szCs w:val="16"/>
              </w:rPr>
              <w:t>4829,75</w:t>
            </w:r>
          </w:p>
        </w:tc>
        <w:tc>
          <w:tcPr>
            <w:tcW w:w="1369" w:type="dxa"/>
            <w:tcBorders>
              <w:top w:val="nil"/>
              <w:left w:val="nil"/>
              <w:bottom w:val="single" w:sz="4" w:space="0" w:color="auto"/>
              <w:right w:val="single" w:sz="4" w:space="0" w:color="auto"/>
            </w:tcBorders>
            <w:shd w:val="clear" w:color="auto" w:fill="auto"/>
            <w:noWrap/>
            <w:vAlign w:val="center"/>
            <w:hideMark/>
          </w:tcPr>
          <w:p w:rsidR="00BA05A3" w:rsidRPr="00E060E5" w:rsidRDefault="00BA05A3" w:rsidP="00DA7A22">
            <w:pPr>
              <w:spacing w:line="240" w:lineRule="auto"/>
              <w:jc w:val="center"/>
              <w:rPr>
                <w:rFonts w:asciiTheme="minorHAnsi" w:eastAsia="Times New Roman" w:hAnsiTheme="minorHAnsi" w:cstheme="minorHAnsi"/>
                <w:color w:val="000000"/>
                <w:sz w:val="16"/>
                <w:szCs w:val="16"/>
              </w:rPr>
            </w:pPr>
            <w:r w:rsidRPr="00E060E5">
              <w:rPr>
                <w:rFonts w:asciiTheme="minorHAnsi" w:eastAsia="Times New Roman" w:hAnsiTheme="minorHAnsi" w:cstheme="minorHAnsi"/>
                <w:color w:val="000000"/>
                <w:sz w:val="16"/>
                <w:szCs w:val="16"/>
              </w:rPr>
              <w:t>7,24</w:t>
            </w:r>
          </w:p>
        </w:tc>
        <w:tc>
          <w:tcPr>
            <w:tcW w:w="608" w:type="dxa"/>
            <w:tcBorders>
              <w:top w:val="nil"/>
              <w:left w:val="nil"/>
              <w:bottom w:val="single" w:sz="4" w:space="0" w:color="auto"/>
              <w:right w:val="single" w:sz="4" w:space="0" w:color="auto"/>
            </w:tcBorders>
            <w:shd w:val="clear" w:color="auto" w:fill="auto"/>
            <w:noWrap/>
            <w:vAlign w:val="center"/>
            <w:hideMark/>
          </w:tcPr>
          <w:p w:rsidR="00BA05A3" w:rsidRPr="00E060E5" w:rsidRDefault="00BA05A3" w:rsidP="00DA7A22">
            <w:pPr>
              <w:spacing w:line="240" w:lineRule="auto"/>
              <w:jc w:val="center"/>
              <w:rPr>
                <w:rFonts w:asciiTheme="minorHAnsi" w:eastAsia="Times New Roman" w:hAnsiTheme="minorHAnsi" w:cstheme="minorHAnsi"/>
                <w:color w:val="000000"/>
                <w:sz w:val="16"/>
                <w:szCs w:val="16"/>
              </w:rPr>
            </w:pPr>
            <w:r w:rsidRPr="00E060E5">
              <w:rPr>
                <w:rFonts w:asciiTheme="minorHAnsi" w:eastAsia="Times New Roman" w:hAnsiTheme="minorHAnsi" w:cstheme="minorHAnsi"/>
                <w:color w:val="000000"/>
                <w:sz w:val="16"/>
                <w:szCs w:val="16"/>
              </w:rPr>
              <w:t>145</w:t>
            </w:r>
          </w:p>
        </w:tc>
        <w:tc>
          <w:tcPr>
            <w:tcW w:w="608" w:type="dxa"/>
            <w:tcBorders>
              <w:top w:val="nil"/>
              <w:left w:val="nil"/>
              <w:bottom w:val="single" w:sz="4" w:space="0" w:color="auto"/>
              <w:right w:val="single" w:sz="4" w:space="0" w:color="auto"/>
            </w:tcBorders>
            <w:shd w:val="clear" w:color="auto" w:fill="auto"/>
            <w:noWrap/>
            <w:vAlign w:val="center"/>
            <w:hideMark/>
          </w:tcPr>
          <w:p w:rsidR="00BA05A3" w:rsidRPr="00E060E5" w:rsidRDefault="00BA05A3" w:rsidP="00DA7A22">
            <w:pPr>
              <w:spacing w:line="240" w:lineRule="auto"/>
              <w:jc w:val="center"/>
              <w:rPr>
                <w:rFonts w:asciiTheme="minorHAnsi" w:eastAsia="Times New Roman" w:hAnsiTheme="minorHAnsi" w:cstheme="minorHAnsi"/>
                <w:color w:val="000000"/>
                <w:sz w:val="16"/>
                <w:szCs w:val="16"/>
              </w:rPr>
            </w:pPr>
            <w:r w:rsidRPr="00E060E5">
              <w:rPr>
                <w:rFonts w:asciiTheme="minorHAnsi" w:eastAsia="Times New Roman" w:hAnsiTheme="minorHAnsi" w:cstheme="minorHAnsi"/>
                <w:color w:val="000000"/>
                <w:sz w:val="16"/>
                <w:szCs w:val="16"/>
              </w:rPr>
              <w:t>254</w:t>
            </w:r>
          </w:p>
        </w:tc>
        <w:tc>
          <w:tcPr>
            <w:tcW w:w="608" w:type="dxa"/>
            <w:tcBorders>
              <w:top w:val="nil"/>
              <w:left w:val="nil"/>
              <w:bottom w:val="single" w:sz="4" w:space="0" w:color="auto"/>
              <w:right w:val="single" w:sz="4" w:space="0" w:color="auto"/>
            </w:tcBorders>
            <w:shd w:val="clear" w:color="auto" w:fill="auto"/>
            <w:noWrap/>
            <w:vAlign w:val="center"/>
            <w:hideMark/>
          </w:tcPr>
          <w:p w:rsidR="00BA05A3" w:rsidRPr="00E060E5" w:rsidRDefault="00BA05A3" w:rsidP="00DA7A22">
            <w:pPr>
              <w:spacing w:line="240" w:lineRule="auto"/>
              <w:jc w:val="center"/>
              <w:rPr>
                <w:rFonts w:asciiTheme="minorHAnsi" w:eastAsia="Times New Roman" w:hAnsiTheme="minorHAnsi" w:cstheme="minorHAnsi"/>
                <w:color w:val="000000"/>
                <w:sz w:val="16"/>
                <w:szCs w:val="16"/>
              </w:rPr>
            </w:pPr>
            <w:r w:rsidRPr="00E060E5">
              <w:rPr>
                <w:rFonts w:asciiTheme="minorHAnsi" w:eastAsia="Times New Roman" w:hAnsiTheme="minorHAnsi" w:cstheme="minorHAnsi"/>
                <w:color w:val="000000"/>
                <w:sz w:val="16"/>
                <w:szCs w:val="16"/>
              </w:rPr>
              <w:t>362</w:t>
            </w:r>
          </w:p>
        </w:tc>
        <w:tc>
          <w:tcPr>
            <w:tcW w:w="608" w:type="dxa"/>
            <w:tcBorders>
              <w:top w:val="nil"/>
              <w:left w:val="nil"/>
              <w:bottom w:val="single" w:sz="4" w:space="0" w:color="auto"/>
              <w:right w:val="single" w:sz="4" w:space="0" w:color="auto"/>
            </w:tcBorders>
            <w:shd w:val="clear" w:color="auto" w:fill="auto"/>
            <w:noWrap/>
            <w:vAlign w:val="center"/>
            <w:hideMark/>
          </w:tcPr>
          <w:p w:rsidR="00BA05A3" w:rsidRPr="00E060E5" w:rsidRDefault="00BA05A3" w:rsidP="00DA7A22">
            <w:pPr>
              <w:spacing w:line="240" w:lineRule="auto"/>
              <w:jc w:val="center"/>
              <w:rPr>
                <w:rFonts w:asciiTheme="minorHAnsi" w:eastAsia="Times New Roman" w:hAnsiTheme="minorHAnsi" w:cstheme="minorHAnsi"/>
                <w:color w:val="000000"/>
                <w:sz w:val="16"/>
                <w:szCs w:val="16"/>
              </w:rPr>
            </w:pPr>
            <w:r w:rsidRPr="00E060E5">
              <w:rPr>
                <w:rFonts w:asciiTheme="minorHAnsi" w:eastAsia="Times New Roman" w:hAnsiTheme="minorHAnsi" w:cstheme="minorHAnsi"/>
                <w:color w:val="000000"/>
                <w:sz w:val="16"/>
                <w:szCs w:val="16"/>
              </w:rPr>
              <w:t>471</w:t>
            </w:r>
          </w:p>
        </w:tc>
        <w:tc>
          <w:tcPr>
            <w:tcW w:w="608" w:type="dxa"/>
            <w:tcBorders>
              <w:top w:val="nil"/>
              <w:left w:val="nil"/>
              <w:bottom w:val="single" w:sz="4" w:space="0" w:color="auto"/>
              <w:right w:val="single" w:sz="4" w:space="0" w:color="auto"/>
            </w:tcBorders>
            <w:shd w:val="clear" w:color="auto" w:fill="auto"/>
            <w:noWrap/>
            <w:vAlign w:val="center"/>
            <w:hideMark/>
          </w:tcPr>
          <w:p w:rsidR="00BA05A3" w:rsidRPr="00E060E5" w:rsidRDefault="00BA05A3" w:rsidP="00DA7A22">
            <w:pPr>
              <w:spacing w:line="240" w:lineRule="auto"/>
              <w:jc w:val="center"/>
              <w:rPr>
                <w:rFonts w:asciiTheme="minorHAnsi" w:eastAsia="Times New Roman" w:hAnsiTheme="minorHAnsi" w:cstheme="minorHAnsi"/>
                <w:color w:val="000000"/>
                <w:sz w:val="16"/>
                <w:szCs w:val="16"/>
              </w:rPr>
            </w:pPr>
            <w:r w:rsidRPr="00E060E5">
              <w:rPr>
                <w:rFonts w:asciiTheme="minorHAnsi" w:eastAsia="Times New Roman" w:hAnsiTheme="minorHAnsi" w:cstheme="minorHAnsi"/>
                <w:color w:val="000000"/>
                <w:sz w:val="16"/>
                <w:szCs w:val="16"/>
              </w:rPr>
              <w:t>580</w:t>
            </w:r>
          </w:p>
        </w:tc>
        <w:tc>
          <w:tcPr>
            <w:tcW w:w="611" w:type="dxa"/>
            <w:tcBorders>
              <w:top w:val="nil"/>
              <w:left w:val="nil"/>
              <w:bottom w:val="single" w:sz="4" w:space="0" w:color="auto"/>
              <w:right w:val="single" w:sz="4" w:space="0" w:color="auto"/>
            </w:tcBorders>
            <w:shd w:val="clear" w:color="auto" w:fill="auto"/>
            <w:noWrap/>
            <w:vAlign w:val="center"/>
            <w:hideMark/>
          </w:tcPr>
          <w:p w:rsidR="00BA05A3" w:rsidRPr="00E060E5" w:rsidRDefault="00BA05A3" w:rsidP="00DA7A22">
            <w:pPr>
              <w:spacing w:line="240" w:lineRule="auto"/>
              <w:jc w:val="center"/>
              <w:rPr>
                <w:rFonts w:asciiTheme="minorHAnsi" w:eastAsia="Times New Roman" w:hAnsiTheme="minorHAnsi" w:cstheme="minorHAnsi"/>
                <w:color w:val="000000"/>
                <w:sz w:val="16"/>
                <w:szCs w:val="16"/>
              </w:rPr>
            </w:pPr>
            <w:r w:rsidRPr="00E060E5">
              <w:rPr>
                <w:rFonts w:asciiTheme="minorHAnsi" w:eastAsia="Times New Roman" w:hAnsiTheme="minorHAnsi" w:cstheme="minorHAnsi"/>
                <w:color w:val="000000"/>
                <w:sz w:val="16"/>
                <w:szCs w:val="16"/>
              </w:rPr>
              <w:t>688</w:t>
            </w:r>
          </w:p>
        </w:tc>
      </w:tr>
      <w:tr w:rsidR="00BA05A3" w:rsidRPr="00E060E5" w:rsidTr="00BA05A3">
        <w:trPr>
          <w:trHeight w:val="301"/>
        </w:trPr>
        <w:tc>
          <w:tcPr>
            <w:tcW w:w="3520" w:type="dxa"/>
            <w:tcBorders>
              <w:top w:val="nil"/>
              <w:left w:val="single" w:sz="4" w:space="0" w:color="auto"/>
              <w:bottom w:val="single" w:sz="4" w:space="0" w:color="auto"/>
              <w:right w:val="single" w:sz="4" w:space="0" w:color="auto"/>
            </w:tcBorders>
            <w:shd w:val="clear" w:color="000000" w:fill="BEECF0"/>
            <w:noWrap/>
            <w:vAlign w:val="center"/>
            <w:hideMark/>
          </w:tcPr>
          <w:p w:rsidR="00BA05A3" w:rsidRPr="00E060E5" w:rsidRDefault="00BA05A3" w:rsidP="00DA7A22">
            <w:pPr>
              <w:spacing w:line="240" w:lineRule="auto"/>
              <w:rPr>
                <w:rFonts w:asciiTheme="minorHAnsi" w:eastAsia="Times New Roman" w:hAnsiTheme="minorHAnsi" w:cstheme="minorHAnsi"/>
                <w:color w:val="000000"/>
                <w:sz w:val="16"/>
                <w:szCs w:val="16"/>
              </w:rPr>
            </w:pPr>
            <w:r w:rsidRPr="00E060E5">
              <w:rPr>
                <w:rFonts w:asciiTheme="minorHAnsi" w:eastAsia="Times New Roman" w:hAnsiTheme="minorHAnsi" w:cstheme="minorHAnsi"/>
                <w:color w:val="000000"/>
                <w:sz w:val="16"/>
                <w:szCs w:val="16"/>
              </w:rPr>
              <w:t>gminy sąsiadujące</w:t>
            </w:r>
          </w:p>
        </w:tc>
        <w:tc>
          <w:tcPr>
            <w:tcW w:w="734" w:type="dxa"/>
            <w:tcBorders>
              <w:top w:val="nil"/>
              <w:left w:val="nil"/>
              <w:bottom w:val="single" w:sz="4" w:space="0" w:color="auto"/>
              <w:right w:val="single" w:sz="4" w:space="0" w:color="auto"/>
            </w:tcBorders>
            <w:shd w:val="clear" w:color="000000" w:fill="BEECF0"/>
            <w:noWrap/>
            <w:vAlign w:val="center"/>
            <w:hideMark/>
          </w:tcPr>
          <w:p w:rsidR="00BA05A3" w:rsidRPr="00E060E5" w:rsidRDefault="00BA05A3" w:rsidP="00DA7A22">
            <w:pPr>
              <w:spacing w:line="240" w:lineRule="auto"/>
              <w:rPr>
                <w:rFonts w:asciiTheme="minorHAnsi" w:eastAsia="Times New Roman" w:hAnsiTheme="minorHAnsi" w:cstheme="minorHAnsi"/>
                <w:color w:val="000000"/>
                <w:sz w:val="16"/>
                <w:szCs w:val="16"/>
              </w:rPr>
            </w:pPr>
            <w:r w:rsidRPr="00E060E5">
              <w:rPr>
                <w:rFonts w:asciiTheme="minorHAnsi" w:eastAsia="Times New Roman" w:hAnsiTheme="minorHAnsi" w:cstheme="minorHAnsi"/>
                <w:color w:val="000000"/>
                <w:sz w:val="16"/>
                <w:szCs w:val="16"/>
              </w:rPr>
              <w:t>4260,88</w:t>
            </w:r>
          </w:p>
        </w:tc>
        <w:tc>
          <w:tcPr>
            <w:tcW w:w="1369" w:type="dxa"/>
            <w:tcBorders>
              <w:top w:val="nil"/>
              <w:left w:val="nil"/>
              <w:bottom w:val="single" w:sz="4" w:space="0" w:color="auto"/>
              <w:right w:val="single" w:sz="4" w:space="0" w:color="auto"/>
            </w:tcBorders>
            <w:shd w:val="clear" w:color="000000" w:fill="BEECF0"/>
            <w:noWrap/>
            <w:vAlign w:val="center"/>
            <w:hideMark/>
          </w:tcPr>
          <w:p w:rsidR="00BA05A3" w:rsidRPr="00E060E5" w:rsidRDefault="00BA05A3" w:rsidP="00DA7A22">
            <w:pPr>
              <w:spacing w:line="240" w:lineRule="auto"/>
              <w:jc w:val="center"/>
              <w:rPr>
                <w:rFonts w:asciiTheme="minorHAnsi" w:eastAsia="Times New Roman" w:hAnsiTheme="minorHAnsi" w:cstheme="minorHAnsi"/>
                <w:color w:val="000000"/>
                <w:sz w:val="16"/>
                <w:szCs w:val="16"/>
              </w:rPr>
            </w:pPr>
            <w:r w:rsidRPr="00E060E5">
              <w:rPr>
                <w:rFonts w:asciiTheme="minorHAnsi" w:eastAsia="Times New Roman" w:hAnsiTheme="minorHAnsi" w:cstheme="minorHAnsi"/>
                <w:color w:val="000000"/>
                <w:sz w:val="16"/>
                <w:szCs w:val="16"/>
              </w:rPr>
              <w:t>6,39</w:t>
            </w:r>
          </w:p>
        </w:tc>
        <w:tc>
          <w:tcPr>
            <w:tcW w:w="608" w:type="dxa"/>
            <w:tcBorders>
              <w:top w:val="nil"/>
              <w:left w:val="nil"/>
              <w:bottom w:val="single" w:sz="4" w:space="0" w:color="auto"/>
              <w:right w:val="single" w:sz="4" w:space="0" w:color="auto"/>
            </w:tcBorders>
            <w:shd w:val="clear" w:color="000000" w:fill="BEECF0"/>
            <w:noWrap/>
            <w:vAlign w:val="center"/>
            <w:hideMark/>
          </w:tcPr>
          <w:p w:rsidR="00BA05A3" w:rsidRPr="00E060E5" w:rsidRDefault="00BA05A3" w:rsidP="00DA7A22">
            <w:pPr>
              <w:spacing w:line="240" w:lineRule="auto"/>
              <w:jc w:val="center"/>
              <w:rPr>
                <w:rFonts w:asciiTheme="minorHAnsi" w:eastAsia="Times New Roman" w:hAnsiTheme="minorHAnsi" w:cstheme="minorHAnsi"/>
                <w:color w:val="000000"/>
                <w:sz w:val="16"/>
                <w:szCs w:val="16"/>
              </w:rPr>
            </w:pPr>
            <w:r w:rsidRPr="00E060E5">
              <w:rPr>
                <w:rFonts w:asciiTheme="minorHAnsi" w:eastAsia="Times New Roman" w:hAnsiTheme="minorHAnsi" w:cstheme="minorHAnsi"/>
                <w:color w:val="000000"/>
                <w:sz w:val="16"/>
                <w:szCs w:val="16"/>
              </w:rPr>
              <w:t>128</w:t>
            </w:r>
          </w:p>
        </w:tc>
        <w:tc>
          <w:tcPr>
            <w:tcW w:w="608" w:type="dxa"/>
            <w:tcBorders>
              <w:top w:val="nil"/>
              <w:left w:val="nil"/>
              <w:bottom w:val="single" w:sz="4" w:space="0" w:color="auto"/>
              <w:right w:val="single" w:sz="4" w:space="0" w:color="auto"/>
            </w:tcBorders>
            <w:shd w:val="clear" w:color="000000" w:fill="BEECF0"/>
            <w:noWrap/>
            <w:vAlign w:val="center"/>
            <w:hideMark/>
          </w:tcPr>
          <w:p w:rsidR="00BA05A3" w:rsidRPr="00E060E5" w:rsidRDefault="00BA05A3" w:rsidP="00DA7A22">
            <w:pPr>
              <w:spacing w:line="240" w:lineRule="auto"/>
              <w:jc w:val="center"/>
              <w:rPr>
                <w:rFonts w:asciiTheme="minorHAnsi" w:eastAsia="Times New Roman" w:hAnsiTheme="minorHAnsi" w:cstheme="minorHAnsi"/>
                <w:color w:val="000000"/>
                <w:sz w:val="16"/>
                <w:szCs w:val="16"/>
              </w:rPr>
            </w:pPr>
            <w:r w:rsidRPr="00E060E5">
              <w:rPr>
                <w:rFonts w:asciiTheme="minorHAnsi" w:eastAsia="Times New Roman" w:hAnsiTheme="minorHAnsi" w:cstheme="minorHAnsi"/>
                <w:color w:val="000000"/>
                <w:sz w:val="16"/>
                <w:szCs w:val="16"/>
              </w:rPr>
              <w:t>224</w:t>
            </w:r>
          </w:p>
        </w:tc>
        <w:tc>
          <w:tcPr>
            <w:tcW w:w="608" w:type="dxa"/>
            <w:tcBorders>
              <w:top w:val="nil"/>
              <w:left w:val="nil"/>
              <w:bottom w:val="single" w:sz="4" w:space="0" w:color="auto"/>
              <w:right w:val="single" w:sz="4" w:space="0" w:color="auto"/>
            </w:tcBorders>
            <w:shd w:val="clear" w:color="000000" w:fill="BEECF0"/>
            <w:noWrap/>
            <w:vAlign w:val="center"/>
            <w:hideMark/>
          </w:tcPr>
          <w:p w:rsidR="00BA05A3" w:rsidRPr="00E060E5" w:rsidRDefault="00BA05A3" w:rsidP="00DA7A22">
            <w:pPr>
              <w:spacing w:line="240" w:lineRule="auto"/>
              <w:jc w:val="center"/>
              <w:rPr>
                <w:rFonts w:asciiTheme="minorHAnsi" w:eastAsia="Times New Roman" w:hAnsiTheme="minorHAnsi" w:cstheme="minorHAnsi"/>
                <w:color w:val="000000"/>
                <w:sz w:val="16"/>
                <w:szCs w:val="16"/>
              </w:rPr>
            </w:pPr>
            <w:r w:rsidRPr="00E060E5">
              <w:rPr>
                <w:rFonts w:asciiTheme="minorHAnsi" w:eastAsia="Times New Roman" w:hAnsiTheme="minorHAnsi" w:cstheme="minorHAnsi"/>
                <w:color w:val="000000"/>
                <w:sz w:val="16"/>
                <w:szCs w:val="16"/>
              </w:rPr>
              <w:t>320</w:t>
            </w:r>
          </w:p>
        </w:tc>
        <w:tc>
          <w:tcPr>
            <w:tcW w:w="608" w:type="dxa"/>
            <w:tcBorders>
              <w:top w:val="nil"/>
              <w:left w:val="nil"/>
              <w:bottom w:val="single" w:sz="4" w:space="0" w:color="auto"/>
              <w:right w:val="single" w:sz="4" w:space="0" w:color="auto"/>
            </w:tcBorders>
            <w:shd w:val="clear" w:color="000000" w:fill="BEECF0"/>
            <w:noWrap/>
            <w:vAlign w:val="center"/>
            <w:hideMark/>
          </w:tcPr>
          <w:p w:rsidR="00BA05A3" w:rsidRPr="00E060E5" w:rsidRDefault="00BA05A3" w:rsidP="00DA7A22">
            <w:pPr>
              <w:spacing w:line="240" w:lineRule="auto"/>
              <w:jc w:val="center"/>
              <w:rPr>
                <w:rFonts w:asciiTheme="minorHAnsi" w:eastAsia="Times New Roman" w:hAnsiTheme="minorHAnsi" w:cstheme="minorHAnsi"/>
                <w:color w:val="000000"/>
                <w:sz w:val="16"/>
                <w:szCs w:val="16"/>
              </w:rPr>
            </w:pPr>
            <w:r w:rsidRPr="00E060E5">
              <w:rPr>
                <w:rFonts w:asciiTheme="minorHAnsi" w:eastAsia="Times New Roman" w:hAnsiTheme="minorHAnsi" w:cstheme="minorHAnsi"/>
                <w:color w:val="000000"/>
                <w:sz w:val="16"/>
                <w:szCs w:val="16"/>
              </w:rPr>
              <w:t>415</w:t>
            </w:r>
          </w:p>
        </w:tc>
        <w:tc>
          <w:tcPr>
            <w:tcW w:w="608" w:type="dxa"/>
            <w:tcBorders>
              <w:top w:val="nil"/>
              <w:left w:val="nil"/>
              <w:bottom w:val="single" w:sz="4" w:space="0" w:color="auto"/>
              <w:right w:val="single" w:sz="4" w:space="0" w:color="auto"/>
            </w:tcBorders>
            <w:shd w:val="clear" w:color="000000" w:fill="BEECF0"/>
            <w:noWrap/>
            <w:vAlign w:val="center"/>
            <w:hideMark/>
          </w:tcPr>
          <w:p w:rsidR="00BA05A3" w:rsidRPr="00E060E5" w:rsidRDefault="00BA05A3" w:rsidP="00DA7A22">
            <w:pPr>
              <w:spacing w:line="240" w:lineRule="auto"/>
              <w:jc w:val="center"/>
              <w:rPr>
                <w:rFonts w:asciiTheme="minorHAnsi" w:eastAsia="Times New Roman" w:hAnsiTheme="minorHAnsi" w:cstheme="minorHAnsi"/>
                <w:color w:val="000000"/>
                <w:sz w:val="16"/>
                <w:szCs w:val="16"/>
              </w:rPr>
            </w:pPr>
            <w:r w:rsidRPr="00E060E5">
              <w:rPr>
                <w:rFonts w:asciiTheme="minorHAnsi" w:eastAsia="Times New Roman" w:hAnsiTheme="minorHAnsi" w:cstheme="minorHAnsi"/>
                <w:color w:val="000000"/>
                <w:sz w:val="16"/>
                <w:szCs w:val="16"/>
              </w:rPr>
              <w:t>511</w:t>
            </w:r>
          </w:p>
        </w:tc>
        <w:tc>
          <w:tcPr>
            <w:tcW w:w="611" w:type="dxa"/>
            <w:tcBorders>
              <w:top w:val="nil"/>
              <w:left w:val="nil"/>
              <w:bottom w:val="single" w:sz="4" w:space="0" w:color="auto"/>
              <w:right w:val="single" w:sz="4" w:space="0" w:color="auto"/>
            </w:tcBorders>
            <w:shd w:val="clear" w:color="000000" w:fill="BEECF0"/>
            <w:noWrap/>
            <w:vAlign w:val="center"/>
            <w:hideMark/>
          </w:tcPr>
          <w:p w:rsidR="00BA05A3" w:rsidRPr="00E060E5" w:rsidRDefault="00BA05A3" w:rsidP="00DA7A22">
            <w:pPr>
              <w:spacing w:line="240" w:lineRule="auto"/>
              <w:jc w:val="center"/>
              <w:rPr>
                <w:rFonts w:asciiTheme="minorHAnsi" w:eastAsia="Times New Roman" w:hAnsiTheme="minorHAnsi" w:cstheme="minorHAnsi"/>
                <w:color w:val="000000"/>
                <w:sz w:val="16"/>
                <w:szCs w:val="16"/>
              </w:rPr>
            </w:pPr>
            <w:r w:rsidRPr="00E060E5">
              <w:rPr>
                <w:rFonts w:asciiTheme="minorHAnsi" w:eastAsia="Times New Roman" w:hAnsiTheme="minorHAnsi" w:cstheme="minorHAnsi"/>
                <w:color w:val="000000"/>
                <w:sz w:val="16"/>
                <w:szCs w:val="16"/>
              </w:rPr>
              <w:t>607</w:t>
            </w:r>
          </w:p>
        </w:tc>
      </w:tr>
      <w:tr w:rsidR="00BA05A3" w:rsidRPr="00E060E5" w:rsidTr="00BA05A3">
        <w:trPr>
          <w:trHeight w:val="301"/>
        </w:trPr>
        <w:tc>
          <w:tcPr>
            <w:tcW w:w="3520" w:type="dxa"/>
            <w:tcBorders>
              <w:top w:val="nil"/>
              <w:left w:val="single" w:sz="4" w:space="0" w:color="auto"/>
              <w:bottom w:val="single" w:sz="4" w:space="0" w:color="auto"/>
              <w:right w:val="single" w:sz="4" w:space="0" w:color="auto"/>
            </w:tcBorders>
            <w:shd w:val="clear" w:color="auto" w:fill="auto"/>
            <w:noWrap/>
            <w:vAlign w:val="center"/>
            <w:hideMark/>
          </w:tcPr>
          <w:p w:rsidR="00BA05A3" w:rsidRPr="00E060E5" w:rsidRDefault="00BA05A3" w:rsidP="00DA7A22">
            <w:pPr>
              <w:spacing w:line="240" w:lineRule="auto"/>
              <w:rPr>
                <w:rFonts w:asciiTheme="minorHAnsi" w:eastAsia="Times New Roman" w:hAnsiTheme="minorHAnsi" w:cstheme="minorHAnsi"/>
                <w:color w:val="000000"/>
                <w:sz w:val="16"/>
                <w:szCs w:val="16"/>
              </w:rPr>
            </w:pPr>
            <w:r w:rsidRPr="00E060E5">
              <w:rPr>
                <w:rFonts w:asciiTheme="minorHAnsi" w:eastAsia="Times New Roman" w:hAnsiTheme="minorHAnsi" w:cstheme="minorHAnsi"/>
                <w:color w:val="000000"/>
                <w:sz w:val="16"/>
                <w:szCs w:val="16"/>
              </w:rPr>
              <w:t>województwo dolnośląskie</w:t>
            </w:r>
          </w:p>
        </w:tc>
        <w:tc>
          <w:tcPr>
            <w:tcW w:w="734" w:type="dxa"/>
            <w:tcBorders>
              <w:top w:val="nil"/>
              <w:left w:val="nil"/>
              <w:bottom w:val="single" w:sz="4" w:space="0" w:color="auto"/>
              <w:right w:val="single" w:sz="4" w:space="0" w:color="auto"/>
            </w:tcBorders>
            <w:shd w:val="clear" w:color="auto" w:fill="auto"/>
            <w:noWrap/>
            <w:vAlign w:val="center"/>
            <w:hideMark/>
          </w:tcPr>
          <w:p w:rsidR="00BA05A3" w:rsidRPr="00E060E5" w:rsidRDefault="00BA05A3" w:rsidP="00DA7A22">
            <w:pPr>
              <w:spacing w:line="240" w:lineRule="auto"/>
              <w:rPr>
                <w:rFonts w:asciiTheme="minorHAnsi" w:eastAsia="Times New Roman" w:hAnsiTheme="minorHAnsi" w:cstheme="minorHAnsi"/>
                <w:color w:val="000000"/>
                <w:sz w:val="16"/>
                <w:szCs w:val="16"/>
              </w:rPr>
            </w:pPr>
            <w:r w:rsidRPr="00E060E5">
              <w:rPr>
                <w:rFonts w:asciiTheme="minorHAnsi" w:eastAsia="Times New Roman" w:hAnsiTheme="minorHAnsi" w:cstheme="minorHAnsi"/>
                <w:color w:val="000000"/>
                <w:sz w:val="16"/>
                <w:szCs w:val="16"/>
              </w:rPr>
              <w:t>3692,00</w:t>
            </w:r>
          </w:p>
        </w:tc>
        <w:tc>
          <w:tcPr>
            <w:tcW w:w="1369" w:type="dxa"/>
            <w:tcBorders>
              <w:top w:val="nil"/>
              <w:left w:val="nil"/>
              <w:bottom w:val="single" w:sz="4" w:space="0" w:color="auto"/>
              <w:right w:val="single" w:sz="4" w:space="0" w:color="auto"/>
            </w:tcBorders>
            <w:shd w:val="clear" w:color="auto" w:fill="auto"/>
            <w:noWrap/>
            <w:vAlign w:val="center"/>
            <w:hideMark/>
          </w:tcPr>
          <w:p w:rsidR="00BA05A3" w:rsidRPr="00E060E5" w:rsidRDefault="00BA05A3" w:rsidP="00DA7A22">
            <w:pPr>
              <w:spacing w:line="240" w:lineRule="auto"/>
              <w:jc w:val="center"/>
              <w:rPr>
                <w:rFonts w:asciiTheme="minorHAnsi" w:eastAsia="Times New Roman" w:hAnsiTheme="minorHAnsi" w:cstheme="minorHAnsi"/>
                <w:color w:val="000000"/>
                <w:sz w:val="16"/>
                <w:szCs w:val="16"/>
              </w:rPr>
            </w:pPr>
            <w:r w:rsidRPr="00E060E5">
              <w:rPr>
                <w:rFonts w:asciiTheme="minorHAnsi" w:eastAsia="Times New Roman" w:hAnsiTheme="minorHAnsi" w:cstheme="minorHAnsi"/>
                <w:color w:val="000000"/>
                <w:sz w:val="16"/>
                <w:szCs w:val="16"/>
              </w:rPr>
              <w:t>5,54</w:t>
            </w:r>
          </w:p>
        </w:tc>
        <w:tc>
          <w:tcPr>
            <w:tcW w:w="608" w:type="dxa"/>
            <w:tcBorders>
              <w:top w:val="nil"/>
              <w:left w:val="nil"/>
              <w:bottom w:val="single" w:sz="4" w:space="0" w:color="auto"/>
              <w:right w:val="single" w:sz="4" w:space="0" w:color="auto"/>
            </w:tcBorders>
            <w:shd w:val="clear" w:color="auto" w:fill="auto"/>
            <w:noWrap/>
            <w:vAlign w:val="center"/>
            <w:hideMark/>
          </w:tcPr>
          <w:p w:rsidR="00BA05A3" w:rsidRPr="00E060E5" w:rsidRDefault="00BA05A3" w:rsidP="00DA7A22">
            <w:pPr>
              <w:spacing w:line="240" w:lineRule="auto"/>
              <w:jc w:val="center"/>
              <w:rPr>
                <w:rFonts w:asciiTheme="minorHAnsi" w:eastAsia="Times New Roman" w:hAnsiTheme="minorHAnsi" w:cstheme="minorHAnsi"/>
                <w:color w:val="000000"/>
                <w:sz w:val="16"/>
                <w:szCs w:val="16"/>
              </w:rPr>
            </w:pPr>
            <w:r w:rsidRPr="00E060E5">
              <w:rPr>
                <w:rFonts w:asciiTheme="minorHAnsi" w:eastAsia="Times New Roman" w:hAnsiTheme="minorHAnsi" w:cstheme="minorHAnsi"/>
                <w:color w:val="000000"/>
                <w:sz w:val="16"/>
                <w:szCs w:val="16"/>
              </w:rPr>
              <w:t>111</w:t>
            </w:r>
          </w:p>
        </w:tc>
        <w:tc>
          <w:tcPr>
            <w:tcW w:w="608" w:type="dxa"/>
            <w:tcBorders>
              <w:top w:val="nil"/>
              <w:left w:val="nil"/>
              <w:bottom w:val="single" w:sz="4" w:space="0" w:color="auto"/>
              <w:right w:val="single" w:sz="4" w:space="0" w:color="auto"/>
            </w:tcBorders>
            <w:shd w:val="clear" w:color="auto" w:fill="auto"/>
            <w:noWrap/>
            <w:vAlign w:val="center"/>
            <w:hideMark/>
          </w:tcPr>
          <w:p w:rsidR="00BA05A3" w:rsidRPr="00E060E5" w:rsidRDefault="00BA05A3" w:rsidP="00DA7A22">
            <w:pPr>
              <w:spacing w:line="240" w:lineRule="auto"/>
              <w:jc w:val="center"/>
              <w:rPr>
                <w:rFonts w:asciiTheme="minorHAnsi" w:eastAsia="Times New Roman" w:hAnsiTheme="minorHAnsi" w:cstheme="minorHAnsi"/>
                <w:color w:val="000000"/>
                <w:sz w:val="16"/>
                <w:szCs w:val="16"/>
              </w:rPr>
            </w:pPr>
            <w:r w:rsidRPr="00E060E5">
              <w:rPr>
                <w:rFonts w:asciiTheme="minorHAnsi" w:eastAsia="Times New Roman" w:hAnsiTheme="minorHAnsi" w:cstheme="minorHAnsi"/>
                <w:color w:val="000000"/>
                <w:sz w:val="16"/>
                <w:szCs w:val="16"/>
              </w:rPr>
              <w:t>194</w:t>
            </w:r>
          </w:p>
        </w:tc>
        <w:tc>
          <w:tcPr>
            <w:tcW w:w="608" w:type="dxa"/>
            <w:tcBorders>
              <w:top w:val="nil"/>
              <w:left w:val="nil"/>
              <w:bottom w:val="single" w:sz="4" w:space="0" w:color="auto"/>
              <w:right w:val="single" w:sz="4" w:space="0" w:color="auto"/>
            </w:tcBorders>
            <w:shd w:val="clear" w:color="auto" w:fill="auto"/>
            <w:noWrap/>
            <w:vAlign w:val="center"/>
            <w:hideMark/>
          </w:tcPr>
          <w:p w:rsidR="00BA05A3" w:rsidRPr="00E060E5" w:rsidRDefault="00BA05A3" w:rsidP="00DA7A22">
            <w:pPr>
              <w:spacing w:line="240" w:lineRule="auto"/>
              <w:jc w:val="center"/>
              <w:rPr>
                <w:rFonts w:asciiTheme="minorHAnsi" w:eastAsia="Times New Roman" w:hAnsiTheme="minorHAnsi" w:cstheme="minorHAnsi"/>
                <w:color w:val="000000"/>
                <w:sz w:val="16"/>
                <w:szCs w:val="16"/>
              </w:rPr>
            </w:pPr>
            <w:r w:rsidRPr="00E060E5">
              <w:rPr>
                <w:rFonts w:asciiTheme="minorHAnsi" w:eastAsia="Times New Roman" w:hAnsiTheme="minorHAnsi" w:cstheme="minorHAnsi"/>
                <w:color w:val="000000"/>
                <w:sz w:val="16"/>
                <w:szCs w:val="16"/>
              </w:rPr>
              <w:t>277</w:t>
            </w:r>
          </w:p>
        </w:tc>
        <w:tc>
          <w:tcPr>
            <w:tcW w:w="608" w:type="dxa"/>
            <w:tcBorders>
              <w:top w:val="nil"/>
              <w:left w:val="nil"/>
              <w:bottom w:val="single" w:sz="4" w:space="0" w:color="auto"/>
              <w:right w:val="single" w:sz="4" w:space="0" w:color="auto"/>
            </w:tcBorders>
            <w:shd w:val="clear" w:color="auto" w:fill="auto"/>
            <w:noWrap/>
            <w:vAlign w:val="center"/>
            <w:hideMark/>
          </w:tcPr>
          <w:p w:rsidR="00BA05A3" w:rsidRPr="00E060E5" w:rsidRDefault="00BA05A3" w:rsidP="00DA7A22">
            <w:pPr>
              <w:spacing w:line="240" w:lineRule="auto"/>
              <w:jc w:val="center"/>
              <w:rPr>
                <w:rFonts w:asciiTheme="minorHAnsi" w:eastAsia="Times New Roman" w:hAnsiTheme="minorHAnsi" w:cstheme="minorHAnsi"/>
                <w:color w:val="000000"/>
                <w:sz w:val="16"/>
                <w:szCs w:val="16"/>
              </w:rPr>
            </w:pPr>
            <w:r w:rsidRPr="00E060E5">
              <w:rPr>
                <w:rFonts w:asciiTheme="minorHAnsi" w:eastAsia="Times New Roman" w:hAnsiTheme="minorHAnsi" w:cstheme="minorHAnsi"/>
                <w:color w:val="000000"/>
                <w:sz w:val="16"/>
                <w:szCs w:val="16"/>
              </w:rPr>
              <w:t>360</w:t>
            </w:r>
          </w:p>
        </w:tc>
        <w:tc>
          <w:tcPr>
            <w:tcW w:w="608" w:type="dxa"/>
            <w:tcBorders>
              <w:top w:val="nil"/>
              <w:left w:val="nil"/>
              <w:bottom w:val="single" w:sz="4" w:space="0" w:color="auto"/>
              <w:right w:val="single" w:sz="4" w:space="0" w:color="auto"/>
            </w:tcBorders>
            <w:shd w:val="clear" w:color="auto" w:fill="auto"/>
            <w:noWrap/>
            <w:vAlign w:val="center"/>
            <w:hideMark/>
          </w:tcPr>
          <w:p w:rsidR="00BA05A3" w:rsidRPr="00E060E5" w:rsidRDefault="00BA05A3" w:rsidP="00DA7A22">
            <w:pPr>
              <w:spacing w:line="240" w:lineRule="auto"/>
              <w:jc w:val="center"/>
              <w:rPr>
                <w:rFonts w:asciiTheme="minorHAnsi" w:eastAsia="Times New Roman" w:hAnsiTheme="minorHAnsi" w:cstheme="minorHAnsi"/>
                <w:color w:val="000000"/>
                <w:sz w:val="16"/>
                <w:szCs w:val="16"/>
              </w:rPr>
            </w:pPr>
            <w:r w:rsidRPr="00E060E5">
              <w:rPr>
                <w:rFonts w:asciiTheme="minorHAnsi" w:eastAsia="Times New Roman" w:hAnsiTheme="minorHAnsi" w:cstheme="minorHAnsi"/>
                <w:color w:val="000000"/>
                <w:sz w:val="16"/>
                <w:szCs w:val="16"/>
              </w:rPr>
              <w:t>443</w:t>
            </w:r>
          </w:p>
        </w:tc>
        <w:tc>
          <w:tcPr>
            <w:tcW w:w="611" w:type="dxa"/>
            <w:tcBorders>
              <w:top w:val="nil"/>
              <w:left w:val="nil"/>
              <w:bottom w:val="single" w:sz="4" w:space="0" w:color="auto"/>
              <w:right w:val="single" w:sz="4" w:space="0" w:color="auto"/>
            </w:tcBorders>
            <w:shd w:val="clear" w:color="auto" w:fill="auto"/>
            <w:noWrap/>
            <w:vAlign w:val="center"/>
            <w:hideMark/>
          </w:tcPr>
          <w:p w:rsidR="00BA05A3" w:rsidRPr="00E060E5" w:rsidRDefault="00BA05A3" w:rsidP="00DA7A22">
            <w:pPr>
              <w:spacing w:line="240" w:lineRule="auto"/>
              <w:jc w:val="center"/>
              <w:rPr>
                <w:rFonts w:asciiTheme="minorHAnsi" w:eastAsia="Times New Roman" w:hAnsiTheme="minorHAnsi" w:cstheme="minorHAnsi"/>
                <w:color w:val="000000"/>
                <w:sz w:val="16"/>
                <w:szCs w:val="16"/>
              </w:rPr>
            </w:pPr>
            <w:r w:rsidRPr="00E060E5">
              <w:rPr>
                <w:rFonts w:asciiTheme="minorHAnsi" w:eastAsia="Times New Roman" w:hAnsiTheme="minorHAnsi" w:cstheme="minorHAnsi"/>
                <w:color w:val="000000"/>
                <w:sz w:val="16"/>
                <w:szCs w:val="16"/>
              </w:rPr>
              <w:t>526</w:t>
            </w:r>
          </w:p>
        </w:tc>
      </w:tr>
      <w:tr w:rsidR="00BA05A3" w:rsidRPr="00E060E5" w:rsidTr="00BA05A3">
        <w:trPr>
          <w:trHeight w:val="301"/>
        </w:trPr>
        <w:tc>
          <w:tcPr>
            <w:tcW w:w="3520" w:type="dxa"/>
            <w:tcBorders>
              <w:top w:val="nil"/>
              <w:left w:val="single" w:sz="4" w:space="0" w:color="auto"/>
              <w:bottom w:val="single" w:sz="4" w:space="0" w:color="auto"/>
              <w:right w:val="single" w:sz="4" w:space="0" w:color="auto"/>
            </w:tcBorders>
            <w:shd w:val="clear" w:color="000000" w:fill="BEECF0"/>
            <w:noWrap/>
            <w:vAlign w:val="center"/>
            <w:hideMark/>
          </w:tcPr>
          <w:p w:rsidR="00BA05A3" w:rsidRPr="00E060E5" w:rsidRDefault="00BA05A3" w:rsidP="00DA7A22">
            <w:pPr>
              <w:spacing w:line="240" w:lineRule="auto"/>
              <w:rPr>
                <w:rFonts w:asciiTheme="minorHAnsi" w:eastAsia="Times New Roman" w:hAnsiTheme="minorHAnsi" w:cstheme="minorHAnsi"/>
                <w:color w:val="000000"/>
                <w:sz w:val="16"/>
                <w:szCs w:val="16"/>
              </w:rPr>
            </w:pPr>
            <w:r w:rsidRPr="00E060E5">
              <w:rPr>
                <w:rFonts w:asciiTheme="minorHAnsi" w:eastAsia="Times New Roman" w:hAnsiTheme="minorHAnsi" w:cstheme="minorHAnsi"/>
                <w:color w:val="000000"/>
                <w:sz w:val="16"/>
                <w:szCs w:val="16"/>
              </w:rPr>
              <w:lastRenderedPageBreak/>
              <w:t>Bydgoszcz</w:t>
            </w:r>
          </w:p>
        </w:tc>
        <w:tc>
          <w:tcPr>
            <w:tcW w:w="734" w:type="dxa"/>
            <w:tcBorders>
              <w:top w:val="nil"/>
              <w:left w:val="nil"/>
              <w:bottom w:val="single" w:sz="4" w:space="0" w:color="auto"/>
              <w:right w:val="single" w:sz="4" w:space="0" w:color="auto"/>
            </w:tcBorders>
            <w:shd w:val="clear" w:color="000000" w:fill="BEECF0"/>
            <w:noWrap/>
            <w:vAlign w:val="center"/>
            <w:hideMark/>
          </w:tcPr>
          <w:p w:rsidR="00BA05A3" w:rsidRPr="00E060E5" w:rsidRDefault="00BA05A3" w:rsidP="00DA7A22">
            <w:pPr>
              <w:spacing w:line="240" w:lineRule="auto"/>
              <w:rPr>
                <w:rFonts w:asciiTheme="minorHAnsi" w:eastAsia="Times New Roman" w:hAnsiTheme="minorHAnsi" w:cstheme="minorHAnsi"/>
                <w:color w:val="000000"/>
                <w:sz w:val="16"/>
                <w:szCs w:val="16"/>
              </w:rPr>
            </w:pPr>
            <w:r w:rsidRPr="00E060E5">
              <w:rPr>
                <w:rFonts w:asciiTheme="minorHAnsi" w:eastAsia="Times New Roman" w:hAnsiTheme="minorHAnsi" w:cstheme="minorHAnsi"/>
                <w:color w:val="000000"/>
                <w:sz w:val="16"/>
                <w:szCs w:val="16"/>
              </w:rPr>
              <w:t>4452,75</w:t>
            </w:r>
          </w:p>
        </w:tc>
        <w:tc>
          <w:tcPr>
            <w:tcW w:w="1369" w:type="dxa"/>
            <w:tcBorders>
              <w:top w:val="nil"/>
              <w:left w:val="nil"/>
              <w:bottom w:val="single" w:sz="4" w:space="0" w:color="auto"/>
              <w:right w:val="single" w:sz="4" w:space="0" w:color="auto"/>
            </w:tcBorders>
            <w:shd w:val="clear" w:color="000000" w:fill="BEECF0"/>
            <w:noWrap/>
            <w:vAlign w:val="center"/>
            <w:hideMark/>
          </w:tcPr>
          <w:p w:rsidR="00BA05A3" w:rsidRPr="00E060E5" w:rsidRDefault="00BA05A3" w:rsidP="00DA7A22">
            <w:pPr>
              <w:spacing w:line="240" w:lineRule="auto"/>
              <w:jc w:val="center"/>
              <w:rPr>
                <w:rFonts w:asciiTheme="minorHAnsi" w:eastAsia="Times New Roman" w:hAnsiTheme="minorHAnsi" w:cstheme="minorHAnsi"/>
                <w:color w:val="000000"/>
                <w:sz w:val="16"/>
                <w:szCs w:val="16"/>
              </w:rPr>
            </w:pPr>
            <w:r w:rsidRPr="00E060E5">
              <w:rPr>
                <w:rFonts w:asciiTheme="minorHAnsi" w:eastAsia="Times New Roman" w:hAnsiTheme="minorHAnsi" w:cstheme="minorHAnsi"/>
                <w:color w:val="000000"/>
                <w:sz w:val="16"/>
                <w:szCs w:val="16"/>
              </w:rPr>
              <w:t>6,68</w:t>
            </w:r>
          </w:p>
        </w:tc>
        <w:tc>
          <w:tcPr>
            <w:tcW w:w="608" w:type="dxa"/>
            <w:tcBorders>
              <w:top w:val="nil"/>
              <w:left w:val="nil"/>
              <w:bottom w:val="single" w:sz="4" w:space="0" w:color="auto"/>
              <w:right w:val="single" w:sz="4" w:space="0" w:color="auto"/>
            </w:tcBorders>
            <w:shd w:val="clear" w:color="000000" w:fill="BEECF0"/>
            <w:noWrap/>
            <w:vAlign w:val="center"/>
            <w:hideMark/>
          </w:tcPr>
          <w:p w:rsidR="00BA05A3" w:rsidRPr="00E060E5" w:rsidRDefault="00BA05A3" w:rsidP="00DA7A22">
            <w:pPr>
              <w:spacing w:line="240" w:lineRule="auto"/>
              <w:jc w:val="center"/>
              <w:rPr>
                <w:rFonts w:asciiTheme="minorHAnsi" w:eastAsia="Times New Roman" w:hAnsiTheme="minorHAnsi" w:cstheme="minorHAnsi"/>
                <w:color w:val="000000"/>
                <w:sz w:val="16"/>
                <w:szCs w:val="16"/>
              </w:rPr>
            </w:pPr>
            <w:r w:rsidRPr="00E060E5">
              <w:rPr>
                <w:rFonts w:asciiTheme="minorHAnsi" w:eastAsia="Times New Roman" w:hAnsiTheme="minorHAnsi" w:cstheme="minorHAnsi"/>
                <w:color w:val="000000"/>
                <w:sz w:val="16"/>
                <w:szCs w:val="16"/>
              </w:rPr>
              <w:t>134</w:t>
            </w:r>
          </w:p>
        </w:tc>
        <w:tc>
          <w:tcPr>
            <w:tcW w:w="608" w:type="dxa"/>
            <w:tcBorders>
              <w:top w:val="nil"/>
              <w:left w:val="nil"/>
              <w:bottom w:val="single" w:sz="4" w:space="0" w:color="auto"/>
              <w:right w:val="single" w:sz="4" w:space="0" w:color="auto"/>
            </w:tcBorders>
            <w:shd w:val="clear" w:color="000000" w:fill="BEECF0"/>
            <w:noWrap/>
            <w:vAlign w:val="center"/>
            <w:hideMark/>
          </w:tcPr>
          <w:p w:rsidR="00BA05A3" w:rsidRPr="00E060E5" w:rsidRDefault="00BA05A3" w:rsidP="00DA7A22">
            <w:pPr>
              <w:spacing w:line="240" w:lineRule="auto"/>
              <w:jc w:val="center"/>
              <w:rPr>
                <w:rFonts w:asciiTheme="minorHAnsi" w:eastAsia="Times New Roman" w:hAnsiTheme="minorHAnsi" w:cstheme="minorHAnsi"/>
                <w:color w:val="000000"/>
                <w:sz w:val="16"/>
                <w:szCs w:val="16"/>
              </w:rPr>
            </w:pPr>
            <w:r w:rsidRPr="00E060E5">
              <w:rPr>
                <w:rFonts w:asciiTheme="minorHAnsi" w:eastAsia="Times New Roman" w:hAnsiTheme="minorHAnsi" w:cstheme="minorHAnsi"/>
                <w:color w:val="000000"/>
                <w:sz w:val="16"/>
                <w:szCs w:val="16"/>
              </w:rPr>
              <w:t>234</w:t>
            </w:r>
          </w:p>
        </w:tc>
        <w:tc>
          <w:tcPr>
            <w:tcW w:w="608" w:type="dxa"/>
            <w:tcBorders>
              <w:top w:val="nil"/>
              <w:left w:val="nil"/>
              <w:bottom w:val="single" w:sz="4" w:space="0" w:color="auto"/>
              <w:right w:val="single" w:sz="4" w:space="0" w:color="auto"/>
            </w:tcBorders>
            <w:shd w:val="clear" w:color="000000" w:fill="BEECF0"/>
            <w:noWrap/>
            <w:vAlign w:val="center"/>
            <w:hideMark/>
          </w:tcPr>
          <w:p w:rsidR="00BA05A3" w:rsidRPr="00E060E5" w:rsidRDefault="00BA05A3" w:rsidP="00DA7A22">
            <w:pPr>
              <w:spacing w:line="240" w:lineRule="auto"/>
              <w:jc w:val="center"/>
              <w:rPr>
                <w:rFonts w:asciiTheme="minorHAnsi" w:eastAsia="Times New Roman" w:hAnsiTheme="minorHAnsi" w:cstheme="minorHAnsi"/>
                <w:color w:val="000000"/>
                <w:sz w:val="16"/>
                <w:szCs w:val="16"/>
              </w:rPr>
            </w:pPr>
            <w:r w:rsidRPr="00E060E5">
              <w:rPr>
                <w:rFonts w:asciiTheme="minorHAnsi" w:eastAsia="Times New Roman" w:hAnsiTheme="minorHAnsi" w:cstheme="minorHAnsi"/>
                <w:color w:val="000000"/>
                <w:sz w:val="16"/>
                <w:szCs w:val="16"/>
              </w:rPr>
              <w:t>334</w:t>
            </w:r>
          </w:p>
        </w:tc>
        <w:tc>
          <w:tcPr>
            <w:tcW w:w="608" w:type="dxa"/>
            <w:tcBorders>
              <w:top w:val="nil"/>
              <w:left w:val="nil"/>
              <w:bottom w:val="single" w:sz="4" w:space="0" w:color="auto"/>
              <w:right w:val="single" w:sz="4" w:space="0" w:color="auto"/>
            </w:tcBorders>
            <w:shd w:val="clear" w:color="000000" w:fill="BEECF0"/>
            <w:noWrap/>
            <w:vAlign w:val="center"/>
            <w:hideMark/>
          </w:tcPr>
          <w:p w:rsidR="00BA05A3" w:rsidRPr="00E060E5" w:rsidRDefault="00BA05A3" w:rsidP="00DA7A22">
            <w:pPr>
              <w:spacing w:line="240" w:lineRule="auto"/>
              <w:jc w:val="center"/>
              <w:rPr>
                <w:rFonts w:asciiTheme="minorHAnsi" w:eastAsia="Times New Roman" w:hAnsiTheme="minorHAnsi" w:cstheme="minorHAnsi"/>
                <w:color w:val="000000"/>
                <w:sz w:val="16"/>
                <w:szCs w:val="16"/>
              </w:rPr>
            </w:pPr>
            <w:r w:rsidRPr="00E060E5">
              <w:rPr>
                <w:rFonts w:asciiTheme="minorHAnsi" w:eastAsia="Times New Roman" w:hAnsiTheme="minorHAnsi" w:cstheme="minorHAnsi"/>
                <w:color w:val="000000"/>
                <w:sz w:val="16"/>
                <w:szCs w:val="16"/>
              </w:rPr>
              <w:t>434</w:t>
            </w:r>
          </w:p>
        </w:tc>
        <w:tc>
          <w:tcPr>
            <w:tcW w:w="608" w:type="dxa"/>
            <w:tcBorders>
              <w:top w:val="nil"/>
              <w:left w:val="nil"/>
              <w:bottom w:val="single" w:sz="4" w:space="0" w:color="auto"/>
              <w:right w:val="single" w:sz="4" w:space="0" w:color="auto"/>
            </w:tcBorders>
            <w:shd w:val="clear" w:color="000000" w:fill="BEECF0"/>
            <w:noWrap/>
            <w:vAlign w:val="center"/>
            <w:hideMark/>
          </w:tcPr>
          <w:p w:rsidR="00BA05A3" w:rsidRPr="00E060E5" w:rsidRDefault="00BA05A3" w:rsidP="00DA7A22">
            <w:pPr>
              <w:spacing w:line="240" w:lineRule="auto"/>
              <w:jc w:val="center"/>
              <w:rPr>
                <w:rFonts w:asciiTheme="minorHAnsi" w:eastAsia="Times New Roman" w:hAnsiTheme="minorHAnsi" w:cstheme="minorHAnsi"/>
                <w:color w:val="000000"/>
                <w:sz w:val="16"/>
                <w:szCs w:val="16"/>
              </w:rPr>
            </w:pPr>
            <w:r w:rsidRPr="00E060E5">
              <w:rPr>
                <w:rFonts w:asciiTheme="minorHAnsi" w:eastAsia="Times New Roman" w:hAnsiTheme="minorHAnsi" w:cstheme="minorHAnsi"/>
                <w:color w:val="000000"/>
                <w:sz w:val="16"/>
                <w:szCs w:val="16"/>
              </w:rPr>
              <w:t>534</w:t>
            </w:r>
          </w:p>
        </w:tc>
        <w:tc>
          <w:tcPr>
            <w:tcW w:w="611" w:type="dxa"/>
            <w:tcBorders>
              <w:top w:val="nil"/>
              <w:left w:val="nil"/>
              <w:bottom w:val="single" w:sz="4" w:space="0" w:color="auto"/>
              <w:right w:val="single" w:sz="4" w:space="0" w:color="auto"/>
            </w:tcBorders>
            <w:shd w:val="clear" w:color="000000" w:fill="BEECF0"/>
            <w:noWrap/>
            <w:vAlign w:val="center"/>
            <w:hideMark/>
          </w:tcPr>
          <w:p w:rsidR="00BA05A3" w:rsidRPr="00E060E5" w:rsidRDefault="00BA05A3" w:rsidP="00DA7A22">
            <w:pPr>
              <w:spacing w:line="240" w:lineRule="auto"/>
              <w:jc w:val="center"/>
              <w:rPr>
                <w:rFonts w:asciiTheme="minorHAnsi" w:eastAsia="Times New Roman" w:hAnsiTheme="minorHAnsi" w:cstheme="minorHAnsi"/>
                <w:color w:val="000000"/>
                <w:sz w:val="16"/>
                <w:szCs w:val="16"/>
              </w:rPr>
            </w:pPr>
            <w:r w:rsidRPr="00E060E5">
              <w:rPr>
                <w:rFonts w:asciiTheme="minorHAnsi" w:eastAsia="Times New Roman" w:hAnsiTheme="minorHAnsi" w:cstheme="minorHAnsi"/>
                <w:color w:val="000000"/>
                <w:sz w:val="16"/>
                <w:szCs w:val="16"/>
              </w:rPr>
              <w:t>635</w:t>
            </w:r>
          </w:p>
        </w:tc>
      </w:tr>
      <w:tr w:rsidR="00BA05A3" w:rsidRPr="00E060E5" w:rsidTr="00BA05A3">
        <w:trPr>
          <w:trHeight w:val="301"/>
        </w:trPr>
        <w:tc>
          <w:tcPr>
            <w:tcW w:w="3520" w:type="dxa"/>
            <w:tcBorders>
              <w:top w:val="nil"/>
              <w:left w:val="single" w:sz="4" w:space="0" w:color="auto"/>
              <w:bottom w:val="single" w:sz="4" w:space="0" w:color="auto"/>
              <w:right w:val="single" w:sz="4" w:space="0" w:color="auto"/>
            </w:tcBorders>
            <w:shd w:val="clear" w:color="auto" w:fill="auto"/>
            <w:noWrap/>
            <w:vAlign w:val="center"/>
            <w:hideMark/>
          </w:tcPr>
          <w:p w:rsidR="00BA05A3" w:rsidRPr="00E060E5" w:rsidRDefault="00BA05A3" w:rsidP="00DA7A22">
            <w:pPr>
              <w:spacing w:line="240" w:lineRule="auto"/>
              <w:rPr>
                <w:rFonts w:asciiTheme="minorHAnsi" w:eastAsia="Times New Roman" w:hAnsiTheme="minorHAnsi" w:cstheme="minorHAnsi"/>
                <w:color w:val="000000"/>
                <w:sz w:val="16"/>
                <w:szCs w:val="16"/>
              </w:rPr>
            </w:pPr>
            <w:r w:rsidRPr="00E060E5">
              <w:rPr>
                <w:rFonts w:asciiTheme="minorHAnsi" w:eastAsia="Times New Roman" w:hAnsiTheme="minorHAnsi" w:cstheme="minorHAnsi"/>
                <w:color w:val="000000"/>
                <w:sz w:val="16"/>
                <w:szCs w:val="16"/>
              </w:rPr>
              <w:t>gminy sąsiadujące</w:t>
            </w:r>
          </w:p>
        </w:tc>
        <w:tc>
          <w:tcPr>
            <w:tcW w:w="734" w:type="dxa"/>
            <w:tcBorders>
              <w:top w:val="nil"/>
              <w:left w:val="nil"/>
              <w:bottom w:val="single" w:sz="4" w:space="0" w:color="auto"/>
              <w:right w:val="single" w:sz="4" w:space="0" w:color="auto"/>
            </w:tcBorders>
            <w:shd w:val="clear" w:color="auto" w:fill="auto"/>
            <w:noWrap/>
            <w:vAlign w:val="center"/>
            <w:hideMark/>
          </w:tcPr>
          <w:p w:rsidR="00BA05A3" w:rsidRPr="00E060E5" w:rsidRDefault="00BA05A3" w:rsidP="00DA7A22">
            <w:pPr>
              <w:spacing w:line="240" w:lineRule="auto"/>
              <w:rPr>
                <w:rFonts w:asciiTheme="minorHAnsi" w:eastAsia="Times New Roman" w:hAnsiTheme="minorHAnsi" w:cstheme="minorHAnsi"/>
                <w:color w:val="000000"/>
                <w:sz w:val="16"/>
                <w:szCs w:val="16"/>
              </w:rPr>
            </w:pPr>
            <w:r w:rsidRPr="00E060E5">
              <w:rPr>
                <w:rFonts w:asciiTheme="minorHAnsi" w:eastAsia="Times New Roman" w:hAnsiTheme="minorHAnsi" w:cstheme="minorHAnsi"/>
                <w:color w:val="000000"/>
                <w:sz w:val="16"/>
                <w:szCs w:val="16"/>
              </w:rPr>
              <w:t>3970,38</w:t>
            </w:r>
          </w:p>
        </w:tc>
        <w:tc>
          <w:tcPr>
            <w:tcW w:w="1369" w:type="dxa"/>
            <w:tcBorders>
              <w:top w:val="nil"/>
              <w:left w:val="nil"/>
              <w:bottom w:val="single" w:sz="4" w:space="0" w:color="auto"/>
              <w:right w:val="single" w:sz="4" w:space="0" w:color="auto"/>
            </w:tcBorders>
            <w:shd w:val="clear" w:color="auto" w:fill="auto"/>
            <w:noWrap/>
            <w:vAlign w:val="center"/>
            <w:hideMark/>
          </w:tcPr>
          <w:p w:rsidR="00BA05A3" w:rsidRPr="00E060E5" w:rsidRDefault="00BA05A3" w:rsidP="00DA7A22">
            <w:pPr>
              <w:spacing w:line="240" w:lineRule="auto"/>
              <w:jc w:val="center"/>
              <w:rPr>
                <w:rFonts w:asciiTheme="minorHAnsi" w:eastAsia="Times New Roman" w:hAnsiTheme="minorHAnsi" w:cstheme="minorHAnsi"/>
                <w:color w:val="000000"/>
                <w:sz w:val="16"/>
                <w:szCs w:val="16"/>
              </w:rPr>
            </w:pPr>
            <w:r w:rsidRPr="00E060E5">
              <w:rPr>
                <w:rFonts w:asciiTheme="minorHAnsi" w:eastAsia="Times New Roman" w:hAnsiTheme="minorHAnsi" w:cstheme="minorHAnsi"/>
                <w:color w:val="000000"/>
                <w:sz w:val="16"/>
                <w:szCs w:val="16"/>
              </w:rPr>
              <w:t>5,96</w:t>
            </w:r>
          </w:p>
        </w:tc>
        <w:tc>
          <w:tcPr>
            <w:tcW w:w="608" w:type="dxa"/>
            <w:tcBorders>
              <w:top w:val="nil"/>
              <w:left w:val="nil"/>
              <w:bottom w:val="single" w:sz="4" w:space="0" w:color="auto"/>
              <w:right w:val="single" w:sz="4" w:space="0" w:color="auto"/>
            </w:tcBorders>
            <w:shd w:val="clear" w:color="auto" w:fill="auto"/>
            <w:noWrap/>
            <w:vAlign w:val="center"/>
            <w:hideMark/>
          </w:tcPr>
          <w:p w:rsidR="00BA05A3" w:rsidRPr="00E060E5" w:rsidRDefault="00BA05A3" w:rsidP="00DA7A22">
            <w:pPr>
              <w:spacing w:line="240" w:lineRule="auto"/>
              <w:jc w:val="center"/>
              <w:rPr>
                <w:rFonts w:asciiTheme="minorHAnsi" w:eastAsia="Times New Roman" w:hAnsiTheme="minorHAnsi" w:cstheme="minorHAnsi"/>
                <w:color w:val="000000"/>
                <w:sz w:val="16"/>
                <w:szCs w:val="16"/>
              </w:rPr>
            </w:pPr>
            <w:r w:rsidRPr="00E060E5">
              <w:rPr>
                <w:rFonts w:asciiTheme="minorHAnsi" w:eastAsia="Times New Roman" w:hAnsiTheme="minorHAnsi" w:cstheme="minorHAnsi"/>
                <w:color w:val="000000"/>
                <w:sz w:val="16"/>
                <w:szCs w:val="16"/>
              </w:rPr>
              <w:t>119</w:t>
            </w:r>
          </w:p>
        </w:tc>
        <w:tc>
          <w:tcPr>
            <w:tcW w:w="608" w:type="dxa"/>
            <w:tcBorders>
              <w:top w:val="nil"/>
              <w:left w:val="nil"/>
              <w:bottom w:val="single" w:sz="4" w:space="0" w:color="auto"/>
              <w:right w:val="single" w:sz="4" w:space="0" w:color="auto"/>
            </w:tcBorders>
            <w:shd w:val="clear" w:color="auto" w:fill="auto"/>
            <w:noWrap/>
            <w:vAlign w:val="center"/>
            <w:hideMark/>
          </w:tcPr>
          <w:p w:rsidR="00BA05A3" w:rsidRPr="00E060E5" w:rsidRDefault="00BA05A3" w:rsidP="00DA7A22">
            <w:pPr>
              <w:spacing w:line="240" w:lineRule="auto"/>
              <w:jc w:val="center"/>
              <w:rPr>
                <w:rFonts w:asciiTheme="minorHAnsi" w:eastAsia="Times New Roman" w:hAnsiTheme="minorHAnsi" w:cstheme="minorHAnsi"/>
                <w:color w:val="000000"/>
                <w:sz w:val="16"/>
                <w:szCs w:val="16"/>
              </w:rPr>
            </w:pPr>
            <w:r w:rsidRPr="00E060E5">
              <w:rPr>
                <w:rFonts w:asciiTheme="minorHAnsi" w:eastAsia="Times New Roman" w:hAnsiTheme="minorHAnsi" w:cstheme="minorHAnsi"/>
                <w:color w:val="000000"/>
                <w:sz w:val="16"/>
                <w:szCs w:val="16"/>
              </w:rPr>
              <w:t>208</w:t>
            </w:r>
          </w:p>
        </w:tc>
        <w:tc>
          <w:tcPr>
            <w:tcW w:w="608" w:type="dxa"/>
            <w:tcBorders>
              <w:top w:val="nil"/>
              <w:left w:val="nil"/>
              <w:bottom w:val="single" w:sz="4" w:space="0" w:color="auto"/>
              <w:right w:val="single" w:sz="4" w:space="0" w:color="auto"/>
            </w:tcBorders>
            <w:shd w:val="clear" w:color="auto" w:fill="auto"/>
            <w:noWrap/>
            <w:vAlign w:val="center"/>
            <w:hideMark/>
          </w:tcPr>
          <w:p w:rsidR="00BA05A3" w:rsidRPr="00E060E5" w:rsidRDefault="00BA05A3" w:rsidP="00DA7A22">
            <w:pPr>
              <w:spacing w:line="240" w:lineRule="auto"/>
              <w:jc w:val="center"/>
              <w:rPr>
                <w:rFonts w:asciiTheme="minorHAnsi" w:eastAsia="Times New Roman" w:hAnsiTheme="minorHAnsi" w:cstheme="minorHAnsi"/>
                <w:color w:val="000000"/>
                <w:sz w:val="16"/>
                <w:szCs w:val="16"/>
              </w:rPr>
            </w:pPr>
            <w:r w:rsidRPr="00E060E5">
              <w:rPr>
                <w:rFonts w:asciiTheme="minorHAnsi" w:eastAsia="Times New Roman" w:hAnsiTheme="minorHAnsi" w:cstheme="minorHAnsi"/>
                <w:color w:val="000000"/>
                <w:sz w:val="16"/>
                <w:szCs w:val="16"/>
              </w:rPr>
              <w:t>298</w:t>
            </w:r>
          </w:p>
        </w:tc>
        <w:tc>
          <w:tcPr>
            <w:tcW w:w="608" w:type="dxa"/>
            <w:tcBorders>
              <w:top w:val="nil"/>
              <w:left w:val="nil"/>
              <w:bottom w:val="single" w:sz="4" w:space="0" w:color="auto"/>
              <w:right w:val="single" w:sz="4" w:space="0" w:color="auto"/>
            </w:tcBorders>
            <w:shd w:val="clear" w:color="auto" w:fill="auto"/>
            <w:noWrap/>
            <w:vAlign w:val="center"/>
            <w:hideMark/>
          </w:tcPr>
          <w:p w:rsidR="00BA05A3" w:rsidRPr="00E060E5" w:rsidRDefault="00BA05A3" w:rsidP="00DA7A22">
            <w:pPr>
              <w:spacing w:line="240" w:lineRule="auto"/>
              <w:jc w:val="center"/>
              <w:rPr>
                <w:rFonts w:asciiTheme="minorHAnsi" w:eastAsia="Times New Roman" w:hAnsiTheme="minorHAnsi" w:cstheme="minorHAnsi"/>
                <w:color w:val="000000"/>
                <w:sz w:val="16"/>
                <w:szCs w:val="16"/>
              </w:rPr>
            </w:pPr>
            <w:r w:rsidRPr="00E060E5">
              <w:rPr>
                <w:rFonts w:asciiTheme="minorHAnsi" w:eastAsia="Times New Roman" w:hAnsiTheme="minorHAnsi" w:cstheme="minorHAnsi"/>
                <w:color w:val="000000"/>
                <w:sz w:val="16"/>
                <w:szCs w:val="16"/>
              </w:rPr>
              <w:t>387</w:t>
            </w:r>
          </w:p>
        </w:tc>
        <w:tc>
          <w:tcPr>
            <w:tcW w:w="608" w:type="dxa"/>
            <w:tcBorders>
              <w:top w:val="nil"/>
              <w:left w:val="nil"/>
              <w:bottom w:val="single" w:sz="4" w:space="0" w:color="auto"/>
              <w:right w:val="single" w:sz="4" w:space="0" w:color="auto"/>
            </w:tcBorders>
            <w:shd w:val="clear" w:color="auto" w:fill="auto"/>
            <w:noWrap/>
            <w:vAlign w:val="center"/>
            <w:hideMark/>
          </w:tcPr>
          <w:p w:rsidR="00BA05A3" w:rsidRPr="00E060E5" w:rsidRDefault="00BA05A3" w:rsidP="00DA7A22">
            <w:pPr>
              <w:spacing w:line="240" w:lineRule="auto"/>
              <w:jc w:val="center"/>
              <w:rPr>
                <w:rFonts w:asciiTheme="minorHAnsi" w:eastAsia="Times New Roman" w:hAnsiTheme="minorHAnsi" w:cstheme="minorHAnsi"/>
                <w:color w:val="000000"/>
                <w:sz w:val="16"/>
                <w:szCs w:val="16"/>
              </w:rPr>
            </w:pPr>
            <w:r w:rsidRPr="00E060E5">
              <w:rPr>
                <w:rFonts w:asciiTheme="minorHAnsi" w:eastAsia="Times New Roman" w:hAnsiTheme="minorHAnsi" w:cstheme="minorHAnsi"/>
                <w:color w:val="000000"/>
                <w:sz w:val="16"/>
                <w:szCs w:val="16"/>
              </w:rPr>
              <w:t>476</w:t>
            </w:r>
          </w:p>
        </w:tc>
        <w:tc>
          <w:tcPr>
            <w:tcW w:w="611" w:type="dxa"/>
            <w:tcBorders>
              <w:top w:val="nil"/>
              <w:left w:val="nil"/>
              <w:bottom w:val="single" w:sz="4" w:space="0" w:color="auto"/>
              <w:right w:val="single" w:sz="4" w:space="0" w:color="auto"/>
            </w:tcBorders>
            <w:shd w:val="clear" w:color="auto" w:fill="auto"/>
            <w:noWrap/>
            <w:vAlign w:val="center"/>
            <w:hideMark/>
          </w:tcPr>
          <w:p w:rsidR="00BA05A3" w:rsidRPr="00E060E5" w:rsidRDefault="00BA05A3" w:rsidP="00DA7A22">
            <w:pPr>
              <w:spacing w:line="240" w:lineRule="auto"/>
              <w:jc w:val="center"/>
              <w:rPr>
                <w:rFonts w:asciiTheme="minorHAnsi" w:eastAsia="Times New Roman" w:hAnsiTheme="minorHAnsi" w:cstheme="minorHAnsi"/>
                <w:color w:val="000000"/>
                <w:sz w:val="16"/>
                <w:szCs w:val="16"/>
              </w:rPr>
            </w:pPr>
            <w:r w:rsidRPr="00E060E5">
              <w:rPr>
                <w:rFonts w:asciiTheme="minorHAnsi" w:eastAsia="Times New Roman" w:hAnsiTheme="minorHAnsi" w:cstheme="minorHAnsi"/>
                <w:color w:val="000000"/>
                <w:sz w:val="16"/>
                <w:szCs w:val="16"/>
              </w:rPr>
              <w:t>566</w:t>
            </w:r>
          </w:p>
        </w:tc>
      </w:tr>
      <w:tr w:rsidR="00BA05A3" w:rsidRPr="00E060E5" w:rsidTr="00BA05A3">
        <w:trPr>
          <w:trHeight w:val="301"/>
        </w:trPr>
        <w:tc>
          <w:tcPr>
            <w:tcW w:w="3520" w:type="dxa"/>
            <w:tcBorders>
              <w:top w:val="nil"/>
              <w:left w:val="single" w:sz="4" w:space="0" w:color="auto"/>
              <w:bottom w:val="single" w:sz="4" w:space="0" w:color="auto"/>
              <w:right w:val="single" w:sz="4" w:space="0" w:color="auto"/>
            </w:tcBorders>
            <w:shd w:val="clear" w:color="000000" w:fill="BEECF0"/>
            <w:noWrap/>
            <w:vAlign w:val="center"/>
            <w:hideMark/>
          </w:tcPr>
          <w:p w:rsidR="00BA05A3" w:rsidRPr="00E060E5" w:rsidRDefault="00BA05A3" w:rsidP="00DA7A22">
            <w:pPr>
              <w:spacing w:line="240" w:lineRule="auto"/>
              <w:rPr>
                <w:rFonts w:asciiTheme="minorHAnsi" w:eastAsia="Times New Roman" w:hAnsiTheme="minorHAnsi" w:cstheme="minorHAnsi"/>
                <w:color w:val="000000"/>
                <w:sz w:val="16"/>
                <w:szCs w:val="16"/>
              </w:rPr>
            </w:pPr>
            <w:r w:rsidRPr="00E060E5">
              <w:rPr>
                <w:rFonts w:asciiTheme="minorHAnsi" w:eastAsia="Times New Roman" w:hAnsiTheme="minorHAnsi" w:cstheme="minorHAnsi"/>
                <w:color w:val="000000"/>
                <w:sz w:val="16"/>
                <w:szCs w:val="16"/>
              </w:rPr>
              <w:t>Toruń</w:t>
            </w:r>
          </w:p>
        </w:tc>
        <w:tc>
          <w:tcPr>
            <w:tcW w:w="734" w:type="dxa"/>
            <w:tcBorders>
              <w:top w:val="nil"/>
              <w:left w:val="nil"/>
              <w:bottom w:val="single" w:sz="4" w:space="0" w:color="auto"/>
              <w:right w:val="single" w:sz="4" w:space="0" w:color="auto"/>
            </w:tcBorders>
            <w:shd w:val="clear" w:color="000000" w:fill="BEECF0"/>
            <w:noWrap/>
            <w:vAlign w:val="center"/>
            <w:hideMark/>
          </w:tcPr>
          <w:p w:rsidR="00BA05A3" w:rsidRPr="00E060E5" w:rsidRDefault="00BA05A3" w:rsidP="00DA7A22">
            <w:pPr>
              <w:spacing w:line="240" w:lineRule="auto"/>
              <w:rPr>
                <w:rFonts w:asciiTheme="minorHAnsi" w:eastAsia="Times New Roman" w:hAnsiTheme="minorHAnsi" w:cstheme="minorHAnsi"/>
                <w:color w:val="000000"/>
                <w:sz w:val="16"/>
                <w:szCs w:val="16"/>
              </w:rPr>
            </w:pPr>
            <w:r w:rsidRPr="00E060E5">
              <w:rPr>
                <w:rFonts w:asciiTheme="minorHAnsi" w:eastAsia="Times New Roman" w:hAnsiTheme="minorHAnsi" w:cstheme="minorHAnsi"/>
                <w:color w:val="000000"/>
                <w:sz w:val="16"/>
                <w:szCs w:val="16"/>
              </w:rPr>
              <w:t>4452,75</w:t>
            </w:r>
          </w:p>
        </w:tc>
        <w:tc>
          <w:tcPr>
            <w:tcW w:w="1369" w:type="dxa"/>
            <w:tcBorders>
              <w:top w:val="nil"/>
              <w:left w:val="nil"/>
              <w:bottom w:val="single" w:sz="4" w:space="0" w:color="auto"/>
              <w:right w:val="single" w:sz="4" w:space="0" w:color="auto"/>
            </w:tcBorders>
            <w:shd w:val="clear" w:color="000000" w:fill="BEECF0"/>
            <w:noWrap/>
            <w:vAlign w:val="center"/>
            <w:hideMark/>
          </w:tcPr>
          <w:p w:rsidR="00BA05A3" w:rsidRPr="00E060E5" w:rsidRDefault="00BA05A3" w:rsidP="00DA7A22">
            <w:pPr>
              <w:spacing w:line="240" w:lineRule="auto"/>
              <w:jc w:val="center"/>
              <w:rPr>
                <w:rFonts w:asciiTheme="minorHAnsi" w:eastAsia="Times New Roman" w:hAnsiTheme="minorHAnsi" w:cstheme="minorHAnsi"/>
                <w:color w:val="000000"/>
                <w:sz w:val="16"/>
                <w:szCs w:val="16"/>
              </w:rPr>
            </w:pPr>
            <w:r w:rsidRPr="00E060E5">
              <w:rPr>
                <w:rFonts w:asciiTheme="minorHAnsi" w:eastAsia="Times New Roman" w:hAnsiTheme="minorHAnsi" w:cstheme="minorHAnsi"/>
                <w:color w:val="000000"/>
                <w:sz w:val="16"/>
                <w:szCs w:val="16"/>
              </w:rPr>
              <w:t>6,68</w:t>
            </w:r>
          </w:p>
        </w:tc>
        <w:tc>
          <w:tcPr>
            <w:tcW w:w="608" w:type="dxa"/>
            <w:tcBorders>
              <w:top w:val="nil"/>
              <w:left w:val="nil"/>
              <w:bottom w:val="single" w:sz="4" w:space="0" w:color="auto"/>
              <w:right w:val="single" w:sz="4" w:space="0" w:color="auto"/>
            </w:tcBorders>
            <w:shd w:val="clear" w:color="000000" w:fill="BEECF0"/>
            <w:noWrap/>
            <w:vAlign w:val="center"/>
            <w:hideMark/>
          </w:tcPr>
          <w:p w:rsidR="00BA05A3" w:rsidRPr="00E060E5" w:rsidRDefault="00BA05A3" w:rsidP="00DA7A22">
            <w:pPr>
              <w:spacing w:line="240" w:lineRule="auto"/>
              <w:jc w:val="center"/>
              <w:rPr>
                <w:rFonts w:asciiTheme="minorHAnsi" w:eastAsia="Times New Roman" w:hAnsiTheme="minorHAnsi" w:cstheme="minorHAnsi"/>
                <w:color w:val="000000"/>
                <w:sz w:val="16"/>
                <w:szCs w:val="16"/>
              </w:rPr>
            </w:pPr>
            <w:r w:rsidRPr="00E060E5">
              <w:rPr>
                <w:rFonts w:asciiTheme="minorHAnsi" w:eastAsia="Times New Roman" w:hAnsiTheme="minorHAnsi" w:cstheme="minorHAnsi"/>
                <w:color w:val="000000"/>
                <w:sz w:val="16"/>
                <w:szCs w:val="16"/>
              </w:rPr>
              <w:t>134</w:t>
            </w:r>
          </w:p>
        </w:tc>
        <w:tc>
          <w:tcPr>
            <w:tcW w:w="608" w:type="dxa"/>
            <w:tcBorders>
              <w:top w:val="nil"/>
              <w:left w:val="nil"/>
              <w:bottom w:val="single" w:sz="4" w:space="0" w:color="auto"/>
              <w:right w:val="single" w:sz="4" w:space="0" w:color="auto"/>
            </w:tcBorders>
            <w:shd w:val="clear" w:color="000000" w:fill="BEECF0"/>
            <w:noWrap/>
            <w:vAlign w:val="center"/>
            <w:hideMark/>
          </w:tcPr>
          <w:p w:rsidR="00BA05A3" w:rsidRPr="00E060E5" w:rsidRDefault="00BA05A3" w:rsidP="00DA7A22">
            <w:pPr>
              <w:spacing w:line="240" w:lineRule="auto"/>
              <w:jc w:val="center"/>
              <w:rPr>
                <w:rFonts w:asciiTheme="minorHAnsi" w:eastAsia="Times New Roman" w:hAnsiTheme="minorHAnsi" w:cstheme="minorHAnsi"/>
                <w:color w:val="000000"/>
                <w:sz w:val="16"/>
                <w:szCs w:val="16"/>
              </w:rPr>
            </w:pPr>
            <w:r w:rsidRPr="00E060E5">
              <w:rPr>
                <w:rFonts w:asciiTheme="minorHAnsi" w:eastAsia="Times New Roman" w:hAnsiTheme="minorHAnsi" w:cstheme="minorHAnsi"/>
                <w:color w:val="000000"/>
                <w:sz w:val="16"/>
                <w:szCs w:val="16"/>
              </w:rPr>
              <w:t>234</w:t>
            </w:r>
          </w:p>
        </w:tc>
        <w:tc>
          <w:tcPr>
            <w:tcW w:w="608" w:type="dxa"/>
            <w:tcBorders>
              <w:top w:val="nil"/>
              <w:left w:val="nil"/>
              <w:bottom w:val="single" w:sz="4" w:space="0" w:color="auto"/>
              <w:right w:val="single" w:sz="4" w:space="0" w:color="auto"/>
            </w:tcBorders>
            <w:shd w:val="clear" w:color="000000" w:fill="BEECF0"/>
            <w:noWrap/>
            <w:vAlign w:val="center"/>
            <w:hideMark/>
          </w:tcPr>
          <w:p w:rsidR="00BA05A3" w:rsidRPr="00E060E5" w:rsidRDefault="00BA05A3" w:rsidP="00DA7A22">
            <w:pPr>
              <w:spacing w:line="240" w:lineRule="auto"/>
              <w:jc w:val="center"/>
              <w:rPr>
                <w:rFonts w:asciiTheme="minorHAnsi" w:eastAsia="Times New Roman" w:hAnsiTheme="minorHAnsi" w:cstheme="minorHAnsi"/>
                <w:color w:val="000000"/>
                <w:sz w:val="16"/>
                <w:szCs w:val="16"/>
              </w:rPr>
            </w:pPr>
            <w:r w:rsidRPr="00E060E5">
              <w:rPr>
                <w:rFonts w:asciiTheme="minorHAnsi" w:eastAsia="Times New Roman" w:hAnsiTheme="minorHAnsi" w:cstheme="minorHAnsi"/>
                <w:color w:val="000000"/>
                <w:sz w:val="16"/>
                <w:szCs w:val="16"/>
              </w:rPr>
              <w:t>334</w:t>
            </w:r>
          </w:p>
        </w:tc>
        <w:tc>
          <w:tcPr>
            <w:tcW w:w="608" w:type="dxa"/>
            <w:tcBorders>
              <w:top w:val="nil"/>
              <w:left w:val="nil"/>
              <w:bottom w:val="single" w:sz="4" w:space="0" w:color="auto"/>
              <w:right w:val="single" w:sz="4" w:space="0" w:color="auto"/>
            </w:tcBorders>
            <w:shd w:val="clear" w:color="000000" w:fill="BEECF0"/>
            <w:noWrap/>
            <w:vAlign w:val="center"/>
            <w:hideMark/>
          </w:tcPr>
          <w:p w:rsidR="00BA05A3" w:rsidRPr="00E060E5" w:rsidRDefault="00BA05A3" w:rsidP="00DA7A22">
            <w:pPr>
              <w:spacing w:line="240" w:lineRule="auto"/>
              <w:jc w:val="center"/>
              <w:rPr>
                <w:rFonts w:asciiTheme="minorHAnsi" w:eastAsia="Times New Roman" w:hAnsiTheme="minorHAnsi" w:cstheme="minorHAnsi"/>
                <w:color w:val="000000"/>
                <w:sz w:val="16"/>
                <w:szCs w:val="16"/>
              </w:rPr>
            </w:pPr>
            <w:r w:rsidRPr="00E060E5">
              <w:rPr>
                <w:rFonts w:asciiTheme="minorHAnsi" w:eastAsia="Times New Roman" w:hAnsiTheme="minorHAnsi" w:cstheme="minorHAnsi"/>
                <w:color w:val="000000"/>
                <w:sz w:val="16"/>
                <w:szCs w:val="16"/>
              </w:rPr>
              <w:t>434</w:t>
            </w:r>
          </w:p>
        </w:tc>
        <w:tc>
          <w:tcPr>
            <w:tcW w:w="608" w:type="dxa"/>
            <w:tcBorders>
              <w:top w:val="nil"/>
              <w:left w:val="nil"/>
              <w:bottom w:val="single" w:sz="4" w:space="0" w:color="auto"/>
              <w:right w:val="single" w:sz="4" w:space="0" w:color="auto"/>
            </w:tcBorders>
            <w:shd w:val="clear" w:color="000000" w:fill="BEECF0"/>
            <w:noWrap/>
            <w:vAlign w:val="center"/>
            <w:hideMark/>
          </w:tcPr>
          <w:p w:rsidR="00BA05A3" w:rsidRPr="00E060E5" w:rsidRDefault="00BA05A3" w:rsidP="00DA7A22">
            <w:pPr>
              <w:spacing w:line="240" w:lineRule="auto"/>
              <w:jc w:val="center"/>
              <w:rPr>
                <w:rFonts w:asciiTheme="minorHAnsi" w:eastAsia="Times New Roman" w:hAnsiTheme="minorHAnsi" w:cstheme="minorHAnsi"/>
                <w:color w:val="000000"/>
                <w:sz w:val="16"/>
                <w:szCs w:val="16"/>
              </w:rPr>
            </w:pPr>
            <w:r w:rsidRPr="00E060E5">
              <w:rPr>
                <w:rFonts w:asciiTheme="minorHAnsi" w:eastAsia="Times New Roman" w:hAnsiTheme="minorHAnsi" w:cstheme="minorHAnsi"/>
                <w:color w:val="000000"/>
                <w:sz w:val="16"/>
                <w:szCs w:val="16"/>
              </w:rPr>
              <w:t>534</w:t>
            </w:r>
          </w:p>
        </w:tc>
        <w:tc>
          <w:tcPr>
            <w:tcW w:w="611" w:type="dxa"/>
            <w:tcBorders>
              <w:top w:val="nil"/>
              <w:left w:val="nil"/>
              <w:bottom w:val="single" w:sz="4" w:space="0" w:color="auto"/>
              <w:right w:val="single" w:sz="4" w:space="0" w:color="auto"/>
            </w:tcBorders>
            <w:shd w:val="clear" w:color="000000" w:fill="BEECF0"/>
            <w:noWrap/>
            <w:vAlign w:val="center"/>
            <w:hideMark/>
          </w:tcPr>
          <w:p w:rsidR="00BA05A3" w:rsidRPr="00E060E5" w:rsidRDefault="00BA05A3" w:rsidP="00DA7A22">
            <w:pPr>
              <w:spacing w:line="240" w:lineRule="auto"/>
              <w:jc w:val="center"/>
              <w:rPr>
                <w:rFonts w:asciiTheme="minorHAnsi" w:eastAsia="Times New Roman" w:hAnsiTheme="minorHAnsi" w:cstheme="minorHAnsi"/>
                <w:color w:val="000000"/>
                <w:sz w:val="16"/>
                <w:szCs w:val="16"/>
              </w:rPr>
            </w:pPr>
            <w:r w:rsidRPr="00E060E5">
              <w:rPr>
                <w:rFonts w:asciiTheme="minorHAnsi" w:eastAsia="Times New Roman" w:hAnsiTheme="minorHAnsi" w:cstheme="minorHAnsi"/>
                <w:color w:val="000000"/>
                <w:sz w:val="16"/>
                <w:szCs w:val="16"/>
              </w:rPr>
              <w:t>635</w:t>
            </w:r>
          </w:p>
        </w:tc>
      </w:tr>
      <w:tr w:rsidR="00BA05A3" w:rsidRPr="00E060E5" w:rsidTr="00BA05A3">
        <w:trPr>
          <w:trHeight w:val="301"/>
        </w:trPr>
        <w:tc>
          <w:tcPr>
            <w:tcW w:w="3520" w:type="dxa"/>
            <w:tcBorders>
              <w:top w:val="nil"/>
              <w:left w:val="single" w:sz="4" w:space="0" w:color="auto"/>
              <w:bottom w:val="single" w:sz="4" w:space="0" w:color="auto"/>
              <w:right w:val="single" w:sz="4" w:space="0" w:color="auto"/>
            </w:tcBorders>
            <w:shd w:val="clear" w:color="auto" w:fill="auto"/>
            <w:noWrap/>
            <w:vAlign w:val="center"/>
            <w:hideMark/>
          </w:tcPr>
          <w:p w:rsidR="00BA05A3" w:rsidRPr="00E060E5" w:rsidRDefault="00BA05A3" w:rsidP="00DA7A22">
            <w:pPr>
              <w:spacing w:line="240" w:lineRule="auto"/>
              <w:rPr>
                <w:rFonts w:asciiTheme="minorHAnsi" w:eastAsia="Times New Roman" w:hAnsiTheme="minorHAnsi" w:cstheme="minorHAnsi"/>
                <w:color w:val="000000"/>
                <w:sz w:val="16"/>
                <w:szCs w:val="16"/>
              </w:rPr>
            </w:pPr>
            <w:r w:rsidRPr="00E060E5">
              <w:rPr>
                <w:rFonts w:asciiTheme="minorHAnsi" w:eastAsia="Times New Roman" w:hAnsiTheme="minorHAnsi" w:cstheme="minorHAnsi"/>
                <w:color w:val="000000"/>
                <w:sz w:val="16"/>
                <w:szCs w:val="16"/>
              </w:rPr>
              <w:t>gminy sąsiadujące</w:t>
            </w:r>
          </w:p>
        </w:tc>
        <w:tc>
          <w:tcPr>
            <w:tcW w:w="734" w:type="dxa"/>
            <w:tcBorders>
              <w:top w:val="nil"/>
              <w:left w:val="nil"/>
              <w:bottom w:val="single" w:sz="4" w:space="0" w:color="auto"/>
              <w:right w:val="single" w:sz="4" w:space="0" w:color="auto"/>
            </w:tcBorders>
            <w:shd w:val="clear" w:color="auto" w:fill="auto"/>
            <w:noWrap/>
            <w:vAlign w:val="center"/>
            <w:hideMark/>
          </w:tcPr>
          <w:p w:rsidR="00BA05A3" w:rsidRPr="00E060E5" w:rsidRDefault="00BA05A3" w:rsidP="00DA7A22">
            <w:pPr>
              <w:spacing w:line="240" w:lineRule="auto"/>
              <w:rPr>
                <w:rFonts w:asciiTheme="minorHAnsi" w:eastAsia="Times New Roman" w:hAnsiTheme="minorHAnsi" w:cstheme="minorHAnsi"/>
                <w:color w:val="000000"/>
                <w:sz w:val="16"/>
                <w:szCs w:val="16"/>
              </w:rPr>
            </w:pPr>
            <w:r w:rsidRPr="00E060E5">
              <w:rPr>
                <w:rFonts w:asciiTheme="minorHAnsi" w:eastAsia="Times New Roman" w:hAnsiTheme="minorHAnsi" w:cstheme="minorHAnsi"/>
                <w:color w:val="000000"/>
                <w:sz w:val="16"/>
                <w:szCs w:val="16"/>
              </w:rPr>
              <w:t>3970,38</w:t>
            </w:r>
          </w:p>
        </w:tc>
        <w:tc>
          <w:tcPr>
            <w:tcW w:w="1369" w:type="dxa"/>
            <w:tcBorders>
              <w:top w:val="nil"/>
              <w:left w:val="nil"/>
              <w:bottom w:val="single" w:sz="4" w:space="0" w:color="auto"/>
              <w:right w:val="single" w:sz="4" w:space="0" w:color="auto"/>
            </w:tcBorders>
            <w:shd w:val="clear" w:color="auto" w:fill="auto"/>
            <w:noWrap/>
            <w:vAlign w:val="center"/>
            <w:hideMark/>
          </w:tcPr>
          <w:p w:rsidR="00BA05A3" w:rsidRPr="00E060E5" w:rsidRDefault="00BA05A3" w:rsidP="00DA7A22">
            <w:pPr>
              <w:spacing w:line="240" w:lineRule="auto"/>
              <w:jc w:val="center"/>
              <w:rPr>
                <w:rFonts w:asciiTheme="minorHAnsi" w:eastAsia="Times New Roman" w:hAnsiTheme="minorHAnsi" w:cstheme="minorHAnsi"/>
                <w:color w:val="000000"/>
                <w:sz w:val="16"/>
                <w:szCs w:val="16"/>
              </w:rPr>
            </w:pPr>
            <w:r w:rsidRPr="00E060E5">
              <w:rPr>
                <w:rFonts w:asciiTheme="minorHAnsi" w:eastAsia="Times New Roman" w:hAnsiTheme="minorHAnsi" w:cstheme="minorHAnsi"/>
                <w:color w:val="000000"/>
                <w:sz w:val="16"/>
                <w:szCs w:val="16"/>
              </w:rPr>
              <w:t>5,96</w:t>
            </w:r>
          </w:p>
        </w:tc>
        <w:tc>
          <w:tcPr>
            <w:tcW w:w="608" w:type="dxa"/>
            <w:tcBorders>
              <w:top w:val="nil"/>
              <w:left w:val="nil"/>
              <w:bottom w:val="single" w:sz="4" w:space="0" w:color="auto"/>
              <w:right w:val="single" w:sz="4" w:space="0" w:color="auto"/>
            </w:tcBorders>
            <w:shd w:val="clear" w:color="auto" w:fill="auto"/>
            <w:noWrap/>
            <w:vAlign w:val="center"/>
            <w:hideMark/>
          </w:tcPr>
          <w:p w:rsidR="00BA05A3" w:rsidRPr="00E060E5" w:rsidRDefault="00BA05A3" w:rsidP="00DA7A22">
            <w:pPr>
              <w:spacing w:line="240" w:lineRule="auto"/>
              <w:jc w:val="center"/>
              <w:rPr>
                <w:rFonts w:asciiTheme="minorHAnsi" w:eastAsia="Times New Roman" w:hAnsiTheme="minorHAnsi" w:cstheme="minorHAnsi"/>
                <w:color w:val="000000"/>
                <w:sz w:val="16"/>
                <w:szCs w:val="16"/>
              </w:rPr>
            </w:pPr>
            <w:r w:rsidRPr="00E060E5">
              <w:rPr>
                <w:rFonts w:asciiTheme="minorHAnsi" w:eastAsia="Times New Roman" w:hAnsiTheme="minorHAnsi" w:cstheme="minorHAnsi"/>
                <w:color w:val="000000"/>
                <w:sz w:val="16"/>
                <w:szCs w:val="16"/>
              </w:rPr>
              <w:t>119</w:t>
            </w:r>
          </w:p>
        </w:tc>
        <w:tc>
          <w:tcPr>
            <w:tcW w:w="608" w:type="dxa"/>
            <w:tcBorders>
              <w:top w:val="nil"/>
              <w:left w:val="nil"/>
              <w:bottom w:val="single" w:sz="4" w:space="0" w:color="auto"/>
              <w:right w:val="single" w:sz="4" w:space="0" w:color="auto"/>
            </w:tcBorders>
            <w:shd w:val="clear" w:color="auto" w:fill="auto"/>
            <w:noWrap/>
            <w:vAlign w:val="center"/>
            <w:hideMark/>
          </w:tcPr>
          <w:p w:rsidR="00BA05A3" w:rsidRPr="00E060E5" w:rsidRDefault="00BA05A3" w:rsidP="00DA7A22">
            <w:pPr>
              <w:spacing w:line="240" w:lineRule="auto"/>
              <w:jc w:val="center"/>
              <w:rPr>
                <w:rFonts w:asciiTheme="minorHAnsi" w:eastAsia="Times New Roman" w:hAnsiTheme="minorHAnsi" w:cstheme="minorHAnsi"/>
                <w:color w:val="000000"/>
                <w:sz w:val="16"/>
                <w:szCs w:val="16"/>
              </w:rPr>
            </w:pPr>
            <w:r w:rsidRPr="00E060E5">
              <w:rPr>
                <w:rFonts w:asciiTheme="minorHAnsi" w:eastAsia="Times New Roman" w:hAnsiTheme="minorHAnsi" w:cstheme="minorHAnsi"/>
                <w:color w:val="000000"/>
                <w:sz w:val="16"/>
                <w:szCs w:val="16"/>
              </w:rPr>
              <w:t>208</w:t>
            </w:r>
          </w:p>
        </w:tc>
        <w:tc>
          <w:tcPr>
            <w:tcW w:w="608" w:type="dxa"/>
            <w:tcBorders>
              <w:top w:val="nil"/>
              <w:left w:val="nil"/>
              <w:bottom w:val="single" w:sz="4" w:space="0" w:color="auto"/>
              <w:right w:val="single" w:sz="4" w:space="0" w:color="auto"/>
            </w:tcBorders>
            <w:shd w:val="clear" w:color="auto" w:fill="auto"/>
            <w:noWrap/>
            <w:vAlign w:val="center"/>
            <w:hideMark/>
          </w:tcPr>
          <w:p w:rsidR="00BA05A3" w:rsidRPr="00E060E5" w:rsidRDefault="00BA05A3" w:rsidP="00DA7A22">
            <w:pPr>
              <w:spacing w:line="240" w:lineRule="auto"/>
              <w:jc w:val="center"/>
              <w:rPr>
                <w:rFonts w:asciiTheme="minorHAnsi" w:eastAsia="Times New Roman" w:hAnsiTheme="minorHAnsi" w:cstheme="minorHAnsi"/>
                <w:color w:val="000000"/>
                <w:sz w:val="16"/>
                <w:szCs w:val="16"/>
              </w:rPr>
            </w:pPr>
            <w:r w:rsidRPr="00E060E5">
              <w:rPr>
                <w:rFonts w:asciiTheme="minorHAnsi" w:eastAsia="Times New Roman" w:hAnsiTheme="minorHAnsi" w:cstheme="minorHAnsi"/>
                <w:color w:val="000000"/>
                <w:sz w:val="16"/>
                <w:szCs w:val="16"/>
              </w:rPr>
              <w:t>298</w:t>
            </w:r>
          </w:p>
        </w:tc>
        <w:tc>
          <w:tcPr>
            <w:tcW w:w="608" w:type="dxa"/>
            <w:tcBorders>
              <w:top w:val="nil"/>
              <w:left w:val="nil"/>
              <w:bottom w:val="single" w:sz="4" w:space="0" w:color="auto"/>
              <w:right w:val="single" w:sz="4" w:space="0" w:color="auto"/>
            </w:tcBorders>
            <w:shd w:val="clear" w:color="auto" w:fill="auto"/>
            <w:noWrap/>
            <w:vAlign w:val="center"/>
            <w:hideMark/>
          </w:tcPr>
          <w:p w:rsidR="00BA05A3" w:rsidRPr="00E060E5" w:rsidRDefault="00BA05A3" w:rsidP="00DA7A22">
            <w:pPr>
              <w:spacing w:line="240" w:lineRule="auto"/>
              <w:jc w:val="center"/>
              <w:rPr>
                <w:rFonts w:asciiTheme="minorHAnsi" w:eastAsia="Times New Roman" w:hAnsiTheme="minorHAnsi" w:cstheme="minorHAnsi"/>
                <w:color w:val="000000"/>
                <w:sz w:val="16"/>
                <w:szCs w:val="16"/>
              </w:rPr>
            </w:pPr>
            <w:r w:rsidRPr="00E060E5">
              <w:rPr>
                <w:rFonts w:asciiTheme="minorHAnsi" w:eastAsia="Times New Roman" w:hAnsiTheme="minorHAnsi" w:cstheme="minorHAnsi"/>
                <w:color w:val="000000"/>
                <w:sz w:val="16"/>
                <w:szCs w:val="16"/>
              </w:rPr>
              <w:t>387</w:t>
            </w:r>
          </w:p>
        </w:tc>
        <w:tc>
          <w:tcPr>
            <w:tcW w:w="608" w:type="dxa"/>
            <w:tcBorders>
              <w:top w:val="nil"/>
              <w:left w:val="nil"/>
              <w:bottom w:val="single" w:sz="4" w:space="0" w:color="auto"/>
              <w:right w:val="single" w:sz="4" w:space="0" w:color="auto"/>
            </w:tcBorders>
            <w:shd w:val="clear" w:color="auto" w:fill="auto"/>
            <w:noWrap/>
            <w:vAlign w:val="center"/>
            <w:hideMark/>
          </w:tcPr>
          <w:p w:rsidR="00BA05A3" w:rsidRPr="00E060E5" w:rsidRDefault="00BA05A3" w:rsidP="00DA7A22">
            <w:pPr>
              <w:spacing w:line="240" w:lineRule="auto"/>
              <w:jc w:val="center"/>
              <w:rPr>
                <w:rFonts w:asciiTheme="minorHAnsi" w:eastAsia="Times New Roman" w:hAnsiTheme="minorHAnsi" w:cstheme="minorHAnsi"/>
                <w:color w:val="000000"/>
                <w:sz w:val="16"/>
                <w:szCs w:val="16"/>
              </w:rPr>
            </w:pPr>
            <w:r w:rsidRPr="00E060E5">
              <w:rPr>
                <w:rFonts w:asciiTheme="minorHAnsi" w:eastAsia="Times New Roman" w:hAnsiTheme="minorHAnsi" w:cstheme="minorHAnsi"/>
                <w:color w:val="000000"/>
                <w:sz w:val="16"/>
                <w:szCs w:val="16"/>
              </w:rPr>
              <w:t>476</w:t>
            </w:r>
          </w:p>
        </w:tc>
        <w:tc>
          <w:tcPr>
            <w:tcW w:w="611" w:type="dxa"/>
            <w:tcBorders>
              <w:top w:val="nil"/>
              <w:left w:val="nil"/>
              <w:bottom w:val="single" w:sz="4" w:space="0" w:color="auto"/>
              <w:right w:val="single" w:sz="4" w:space="0" w:color="auto"/>
            </w:tcBorders>
            <w:shd w:val="clear" w:color="auto" w:fill="auto"/>
            <w:noWrap/>
            <w:vAlign w:val="center"/>
            <w:hideMark/>
          </w:tcPr>
          <w:p w:rsidR="00BA05A3" w:rsidRPr="00E060E5" w:rsidRDefault="00BA05A3" w:rsidP="00DA7A22">
            <w:pPr>
              <w:spacing w:line="240" w:lineRule="auto"/>
              <w:jc w:val="center"/>
              <w:rPr>
                <w:rFonts w:asciiTheme="minorHAnsi" w:eastAsia="Times New Roman" w:hAnsiTheme="minorHAnsi" w:cstheme="minorHAnsi"/>
                <w:color w:val="000000"/>
                <w:sz w:val="16"/>
                <w:szCs w:val="16"/>
              </w:rPr>
            </w:pPr>
            <w:r w:rsidRPr="00E060E5">
              <w:rPr>
                <w:rFonts w:asciiTheme="minorHAnsi" w:eastAsia="Times New Roman" w:hAnsiTheme="minorHAnsi" w:cstheme="minorHAnsi"/>
                <w:color w:val="000000"/>
                <w:sz w:val="16"/>
                <w:szCs w:val="16"/>
              </w:rPr>
              <w:t>566</w:t>
            </w:r>
          </w:p>
        </w:tc>
      </w:tr>
      <w:tr w:rsidR="00BA05A3" w:rsidRPr="00E060E5" w:rsidTr="00BA05A3">
        <w:trPr>
          <w:trHeight w:val="301"/>
        </w:trPr>
        <w:tc>
          <w:tcPr>
            <w:tcW w:w="3520" w:type="dxa"/>
            <w:tcBorders>
              <w:top w:val="nil"/>
              <w:left w:val="single" w:sz="4" w:space="0" w:color="auto"/>
              <w:bottom w:val="single" w:sz="4" w:space="0" w:color="auto"/>
              <w:right w:val="single" w:sz="4" w:space="0" w:color="auto"/>
            </w:tcBorders>
            <w:shd w:val="clear" w:color="000000" w:fill="BEECF0"/>
            <w:noWrap/>
            <w:vAlign w:val="center"/>
            <w:hideMark/>
          </w:tcPr>
          <w:p w:rsidR="00BA05A3" w:rsidRPr="00E060E5" w:rsidRDefault="00BA05A3" w:rsidP="00DA7A22">
            <w:pPr>
              <w:spacing w:line="240" w:lineRule="auto"/>
              <w:rPr>
                <w:rFonts w:asciiTheme="minorHAnsi" w:eastAsia="Times New Roman" w:hAnsiTheme="minorHAnsi" w:cstheme="minorHAnsi"/>
                <w:color w:val="000000"/>
                <w:sz w:val="16"/>
                <w:szCs w:val="16"/>
              </w:rPr>
            </w:pPr>
            <w:r w:rsidRPr="00E060E5">
              <w:rPr>
                <w:rFonts w:asciiTheme="minorHAnsi" w:eastAsia="Times New Roman" w:hAnsiTheme="minorHAnsi" w:cstheme="minorHAnsi"/>
                <w:color w:val="000000"/>
                <w:sz w:val="16"/>
                <w:szCs w:val="16"/>
              </w:rPr>
              <w:t>województwo kujawsko-pomorskie</w:t>
            </w:r>
          </w:p>
        </w:tc>
        <w:tc>
          <w:tcPr>
            <w:tcW w:w="734" w:type="dxa"/>
            <w:tcBorders>
              <w:top w:val="nil"/>
              <w:left w:val="nil"/>
              <w:bottom w:val="single" w:sz="4" w:space="0" w:color="auto"/>
              <w:right w:val="single" w:sz="4" w:space="0" w:color="auto"/>
            </w:tcBorders>
            <w:shd w:val="clear" w:color="000000" w:fill="BEECF0"/>
            <w:noWrap/>
            <w:vAlign w:val="center"/>
            <w:hideMark/>
          </w:tcPr>
          <w:p w:rsidR="00BA05A3" w:rsidRPr="00E060E5" w:rsidRDefault="00BA05A3" w:rsidP="00DA7A22">
            <w:pPr>
              <w:spacing w:line="240" w:lineRule="auto"/>
              <w:rPr>
                <w:rFonts w:asciiTheme="minorHAnsi" w:eastAsia="Times New Roman" w:hAnsiTheme="minorHAnsi" w:cstheme="minorHAnsi"/>
                <w:color w:val="000000"/>
                <w:sz w:val="16"/>
                <w:szCs w:val="16"/>
              </w:rPr>
            </w:pPr>
            <w:r w:rsidRPr="00E060E5">
              <w:rPr>
                <w:rFonts w:asciiTheme="minorHAnsi" w:eastAsia="Times New Roman" w:hAnsiTheme="minorHAnsi" w:cstheme="minorHAnsi"/>
                <w:color w:val="000000"/>
                <w:sz w:val="16"/>
                <w:szCs w:val="16"/>
              </w:rPr>
              <w:t>3488,00</w:t>
            </w:r>
          </w:p>
        </w:tc>
        <w:tc>
          <w:tcPr>
            <w:tcW w:w="1369" w:type="dxa"/>
            <w:tcBorders>
              <w:top w:val="nil"/>
              <w:left w:val="nil"/>
              <w:bottom w:val="single" w:sz="4" w:space="0" w:color="auto"/>
              <w:right w:val="single" w:sz="4" w:space="0" w:color="auto"/>
            </w:tcBorders>
            <w:shd w:val="clear" w:color="000000" w:fill="BEECF0"/>
            <w:noWrap/>
            <w:vAlign w:val="center"/>
            <w:hideMark/>
          </w:tcPr>
          <w:p w:rsidR="00BA05A3" w:rsidRPr="00E060E5" w:rsidRDefault="00BA05A3" w:rsidP="00DA7A22">
            <w:pPr>
              <w:spacing w:line="240" w:lineRule="auto"/>
              <w:jc w:val="center"/>
              <w:rPr>
                <w:rFonts w:asciiTheme="minorHAnsi" w:eastAsia="Times New Roman" w:hAnsiTheme="minorHAnsi" w:cstheme="minorHAnsi"/>
                <w:color w:val="000000"/>
                <w:sz w:val="16"/>
                <w:szCs w:val="16"/>
              </w:rPr>
            </w:pPr>
            <w:r w:rsidRPr="00E060E5">
              <w:rPr>
                <w:rFonts w:asciiTheme="minorHAnsi" w:eastAsia="Times New Roman" w:hAnsiTheme="minorHAnsi" w:cstheme="minorHAnsi"/>
                <w:color w:val="000000"/>
                <w:sz w:val="16"/>
                <w:szCs w:val="16"/>
              </w:rPr>
              <w:t>5,23</w:t>
            </w:r>
          </w:p>
        </w:tc>
        <w:tc>
          <w:tcPr>
            <w:tcW w:w="608" w:type="dxa"/>
            <w:tcBorders>
              <w:top w:val="nil"/>
              <w:left w:val="nil"/>
              <w:bottom w:val="single" w:sz="4" w:space="0" w:color="auto"/>
              <w:right w:val="single" w:sz="4" w:space="0" w:color="auto"/>
            </w:tcBorders>
            <w:shd w:val="clear" w:color="000000" w:fill="BEECF0"/>
            <w:noWrap/>
            <w:vAlign w:val="center"/>
            <w:hideMark/>
          </w:tcPr>
          <w:p w:rsidR="00BA05A3" w:rsidRPr="00E060E5" w:rsidRDefault="00BA05A3" w:rsidP="00DA7A22">
            <w:pPr>
              <w:spacing w:line="240" w:lineRule="auto"/>
              <w:jc w:val="center"/>
              <w:rPr>
                <w:rFonts w:asciiTheme="minorHAnsi" w:eastAsia="Times New Roman" w:hAnsiTheme="minorHAnsi" w:cstheme="minorHAnsi"/>
                <w:color w:val="000000"/>
                <w:sz w:val="16"/>
                <w:szCs w:val="16"/>
              </w:rPr>
            </w:pPr>
            <w:r w:rsidRPr="00E060E5">
              <w:rPr>
                <w:rFonts w:asciiTheme="minorHAnsi" w:eastAsia="Times New Roman" w:hAnsiTheme="minorHAnsi" w:cstheme="minorHAnsi"/>
                <w:color w:val="000000"/>
                <w:sz w:val="16"/>
                <w:szCs w:val="16"/>
              </w:rPr>
              <w:t>105</w:t>
            </w:r>
          </w:p>
        </w:tc>
        <w:tc>
          <w:tcPr>
            <w:tcW w:w="608" w:type="dxa"/>
            <w:tcBorders>
              <w:top w:val="nil"/>
              <w:left w:val="nil"/>
              <w:bottom w:val="single" w:sz="4" w:space="0" w:color="auto"/>
              <w:right w:val="single" w:sz="4" w:space="0" w:color="auto"/>
            </w:tcBorders>
            <w:shd w:val="clear" w:color="000000" w:fill="BEECF0"/>
            <w:noWrap/>
            <w:vAlign w:val="center"/>
            <w:hideMark/>
          </w:tcPr>
          <w:p w:rsidR="00BA05A3" w:rsidRPr="00E060E5" w:rsidRDefault="00BA05A3" w:rsidP="00DA7A22">
            <w:pPr>
              <w:spacing w:line="240" w:lineRule="auto"/>
              <w:jc w:val="center"/>
              <w:rPr>
                <w:rFonts w:asciiTheme="minorHAnsi" w:eastAsia="Times New Roman" w:hAnsiTheme="minorHAnsi" w:cstheme="minorHAnsi"/>
                <w:color w:val="000000"/>
                <w:sz w:val="16"/>
                <w:szCs w:val="16"/>
              </w:rPr>
            </w:pPr>
            <w:r w:rsidRPr="00E060E5">
              <w:rPr>
                <w:rFonts w:asciiTheme="minorHAnsi" w:eastAsia="Times New Roman" w:hAnsiTheme="minorHAnsi" w:cstheme="minorHAnsi"/>
                <w:color w:val="000000"/>
                <w:sz w:val="16"/>
                <w:szCs w:val="16"/>
              </w:rPr>
              <w:t>183</w:t>
            </w:r>
          </w:p>
        </w:tc>
        <w:tc>
          <w:tcPr>
            <w:tcW w:w="608" w:type="dxa"/>
            <w:tcBorders>
              <w:top w:val="nil"/>
              <w:left w:val="nil"/>
              <w:bottom w:val="single" w:sz="4" w:space="0" w:color="auto"/>
              <w:right w:val="single" w:sz="4" w:space="0" w:color="auto"/>
            </w:tcBorders>
            <w:shd w:val="clear" w:color="000000" w:fill="BEECF0"/>
            <w:noWrap/>
            <w:vAlign w:val="center"/>
            <w:hideMark/>
          </w:tcPr>
          <w:p w:rsidR="00BA05A3" w:rsidRPr="00E060E5" w:rsidRDefault="00BA05A3" w:rsidP="00DA7A22">
            <w:pPr>
              <w:spacing w:line="240" w:lineRule="auto"/>
              <w:jc w:val="center"/>
              <w:rPr>
                <w:rFonts w:asciiTheme="minorHAnsi" w:eastAsia="Times New Roman" w:hAnsiTheme="minorHAnsi" w:cstheme="minorHAnsi"/>
                <w:color w:val="000000"/>
                <w:sz w:val="16"/>
                <w:szCs w:val="16"/>
              </w:rPr>
            </w:pPr>
            <w:r w:rsidRPr="00E060E5">
              <w:rPr>
                <w:rFonts w:asciiTheme="minorHAnsi" w:eastAsia="Times New Roman" w:hAnsiTheme="minorHAnsi" w:cstheme="minorHAnsi"/>
                <w:color w:val="000000"/>
                <w:sz w:val="16"/>
                <w:szCs w:val="16"/>
              </w:rPr>
              <w:t>262</w:t>
            </w:r>
          </w:p>
        </w:tc>
        <w:tc>
          <w:tcPr>
            <w:tcW w:w="608" w:type="dxa"/>
            <w:tcBorders>
              <w:top w:val="nil"/>
              <w:left w:val="nil"/>
              <w:bottom w:val="single" w:sz="4" w:space="0" w:color="auto"/>
              <w:right w:val="single" w:sz="4" w:space="0" w:color="auto"/>
            </w:tcBorders>
            <w:shd w:val="clear" w:color="000000" w:fill="BEECF0"/>
            <w:noWrap/>
            <w:vAlign w:val="center"/>
            <w:hideMark/>
          </w:tcPr>
          <w:p w:rsidR="00BA05A3" w:rsidRPr="00E060E5" w:rsidRDefault="00BA05A3" w:rsidP="00DA7A22">
            <w:pPr>
              <w:spacing w:line="240" w:lineRule="auto"/>
              <w:jc w:val="center"/>
              <w:rPr>
                <w:rFonts w:asciiTheme="minorHAnsi" w:eastAsia="Times New Roman" w:hAnsiTheme="minorHAnsi" w:cstheme="minorHAnsi"/>
                <w:color w:val="000000"/>
                <w:sz w:val="16"/>
                <w:szCs w:val="16"/>
              </w:rPr>
            </w:pPr>
            <w:r w:rsidRPr="00E060E5">
              <w:rPr>
                <w:rFonts w:asciiTheme="minorHAnsi" w:eastAsia="Times New Roman" w:hAnsiTheme="minorHAnsi" w:cstheme="minorHAnsi"/>
                <w:color w:val="000000"/>
                <w:sz w:val="16"/>
                <w:szCs w:val="16"/>
              </w:rPr>
              <w:t>340</w:t>
            </w:r>
          </w:p>
        </w:tc>
        <w:tc>
          <w:tcPr>
            <w:tcW w:w="608" w:type="dxa"/>
            <w:tcBorders>
              <w:top w:val="nil"/>
              <w:left w:val="nil"/>
              <w:bottom w:val="single" w:sz="4" w:space="0" w:color="auto"/>
              <w:right w:val="single" w:sz="4" w:space="0" w:color="auto"/>
            </w:tcBorders>
            <w:shd w:val="clear" w:color="000000" w:fill="BEECF0"/>
            <w:noWrap/>
            <w:vAlign w:val="center"/>
            <w:hideMark/>
          </w:tcPr>
          <w:p w:rsidR="00BA05A3" w:rsidRPr="00E060E5" w:rsidRDefault="00BA05A3" w:rsidP="00DA7A22">
            <w:pPr>
              <w:spacing w:line="240" w:lineRule="auto"/>
              <w:jc w:val="center"/>
              <w:rPr>
                <w:rFonts w:asciiTheme="minorHAnsi" w:eastAsia="Times New Roman" w:hAnsiTheme="minorHAnsi" w:cstheme="minorHAnsi"/>
                <w:color w:val="000000"/>
                <w:sz w:val="16"/>
                <w:szCs w:val="16"/>
              </w:rPr>
            </w:pPr>
            <w:r w:rsidRPr="00E060E5">
              <w:rPr>
                <w:rFonts w:asciiTheme="minorHAnsi" w:eastAsia="Times New Roman" w:hAnsiTheme="minorHAnsi" w:cstheme="minorHAnsi"/>
                <w:color w:val="000000"/>
                <w:sz w:val="16"/>
                <w:szCs w:val="16"/>
              </w:rPr>
              <w:t>419</w:t>
            </w:r>
          </w:p>
        </w:tc>
        <w:tc>
          <w:tcPr>
            <w:tcW w:w="611" w:type="dxa"/>
            <w:tcBorders>
              <w:top w:val="nil"/>
              <w:left w:val="nil"/>
              <w:bottom w:val="single" w:sz="4" w:space="0" w:color="auto"/>
              <w:right w:val="single" w:sz="4" w:space="0" w:color="auto"/>
            </w:tcBorders>
            <w:shd w:val="clear" w:color="000000" w:fill="BEECF0"/>
            <w:noWrap/>
            <w:vAlign w:val="center"/>
            <w:hideMark/>
          </w:tcPr>
          <w:p w:rsidR="00BA05A3" w:rsidRPr="00E060E5" w:rsidRDefault="00BA05A3" w:rsidP="00DA7A22">
            <w:pPr>
              <w:spacing w:line="240" w:lineRule="auto"/>
              <w:jc w:val="center"/>
              <w:rPr>
                <w:rFonts w:asciiTheme="minorHAnsi" w:eastAsia="Times New Roman" w:hAnsiTheme="minorHAnsi" w:cstheme="minorHAnsi"/>
                <w:color w:val="000000"/>
                <w:sz w:val="16"/>
                <w:szCs w:val="16"/>
              </w:rPr>
            </w:pPr>
            <w:r w:rsidRPr="00E060E5">
              <w:rPr>
                <w:rFonts w:asciiTheme="minorHAnsi" w:eastAsia="Times New Roman" w:hAnsiTheme="minorHAnsi" w:cstheme="minorHAnsi"/>
                <w:color w:val="000000"/>
                <w:sz w:val="16"/>
                <w:szCs w:val="16"/>
              </w:rPr>
              <w:t>497</w:t>
            </w:r>
          </w:p>
        </w:tc>
      </w:tr>
      <w:tr w:rsidR="00BA05A3" w:rsidRPr="00E060E5" w:rsidTr="00BA05A3">
        <w:trPr>
          <w:trHeight w:val="301"/>
        </w:trPr>
        <w:tc>
          <w:tcPr>
            <w:tcW w:w="3520" w:type="dxa"/>
            <w:tcBorders>
              <w:top w:val="nil"/>
              <w:left w:val="single" w:sz="4" w:space="0" w:color="auto"/>
              <w:bottom w:val="single" w:sz="4" w:space="0" w:color="auto"/>
              <w:right w:val="single" w:sz="4" w:space="0" w:color="auto"/>
            </w:tcBorders>
            <w:shd w:val="clear" w:color="auto" w:fill="auto"/>
            <w:noWrap/>
            <w:vAlign w:val="center"/>
            <w:hideMark/>
          </w:tcPr>
          <w:p w:rsidR="00BA05A3" w:rsidRPr="00E060E5" w:rsidRDefault="00BA05A3" w:rsidP="00DA7A22">
            <w:pPr>
              <w:spacing w:line="240" w:lineRule="auto"/>
              <w:rPr>
                <w:rFonts w:asciiTheme="minorHAnsi" w:eastAsia="Times New Roman" w:hAnsiTheme="minorHAnsi" w:cstheme="minorHAnsi"/>
                <w:color w:val="000000"/>
                <w:sz w:val="16"/>
                <w:szCs w:val="16"/>
              </w:rPr>
            </w:pPr>
            <w:r w:rsidRPr="00E060E5">
              <w:rPr>
                <w:rFonts w:asciiTheme="minorHAnsi" w:eastAsia="Times New Roman" w:hAnsiTheme="minorHAnsi" w:cstheme="minorHAnsi"/>
                <w:color w:val="000000"/>
                <w:sz w:val="16"/>
                <w:szCs w:val="16"/>
              </w:rPr>
              <w:t>Lublin</w:t>
            </w:r>
          </w:p>
        </w:tc>
        <w:tc>
          <w:tcPr>
            <w:tcW w:w="734" w:type="dxa"/>
            <w:tcBorders>
              <w:top w:val="nil"/>
              <w:left w:val="nil"/>
              <w:bottom w:val="single" w:sz="4" w:space="0" w:color="auto"/>
              <w:right w:val="single" w:sz="4" w:space="0" w:color="auto"/>
            </w:tcBorders>
            <w:shd w:val="clear" w:color="auto" w:fill="auto"/>
            <w:noWrap/>
            <w:vAlign w:val="center"/>
            <w:hideMark/>
          </w:tcPr>
          <w:p w:rsidR="00BA05A3" w:rsidRPr="00E060E5" w:rsidRDefault="00BA05A3" w:rsidP="00DA7A22">
            <w:pPr>
              <w:spacing w:line="240" w:lineRule="auto"/>
              <w:rPr>
                <w:rFonts w:asciiTheme="minorHAnsi" w:eastAsia="Times New Roman" w:hAnsiTheme="minorHAnsi" w:cstheme="minorHAnsi"/>
                <w:color w:val="000000"/>
                <w:sz w:val="16"/>
                <w:szCs w:val="16"/>
              </w:rPr>
            </w:pPr>
            <w:r w:rsidRPr="00E060E5">
              <w:rPr>
                <w:rFonts w:asciiTheme="minorHAnsi" w:eastAsia="Times New Roman" w:hAnsiTheme="minorHAnsi" w:cstheme="minorHAnsi"/>
                <w:color w:val="000000"/>
                <w:sz w:val="16"/>
                <w:szCs w:val="16"/>
              </w:rPr>
              <w:t>4300,75</w:t>
            </w:r>
          </w:p>
        </w:tc>
        <w:tc>
          <w:tcPr>
            <w:tcW w:w="1369" w:type="dxa"/>
            <w:tcBorders>
              <w:top w:val="nil"/>
              <w:left w:val="nil"/>
              <w:bottom w:val="single" w:sz="4" w:space="0" w:color="auto"/>
              <w:right w:val="single" w:sz="4" w:space="0" w:color="auto"/>
            </w:tcBorders>
            <w:shd w:val="clear" w:color="auto" w:fill="auto"/>
            <w:noWrap/>
            <w:vAlign w:val="center"/>
            <w:hideMark/>
          </w:tcPr>
          <w:p w:rsidR="00BA05A3" w:rsidRPr="00E060E5" w:rsidRDefault="00BA05A3" w:rsidP="00DA7A22">
            <w:pPr>
              <w:spacing w:line="240" w:lineRule="auto"/>
              <w:jc w:val="center"/>
              <w:rPr>
                <w:rFonts w:asciiTheme="minorHAnsi" w:eastAsia="Times New Roman" w:hAnsiTheme="minorHAnsi" w:cstheme="minorHAnsi"/>
                <w:color w:val="000000"/>
                <w:sz w:val="16"/>
                <w:szCs w:val="16"/>
              </w:rPr>
            </w:pPr>
            <w:r w:rsidRPr="00E060E5">
              <w:rPr>
                <w:rFonts w:asciiTheme="minorHAnsi" w:eastAsia="Times New Roman" w:hAnsiTheme="minorHAnsi" w:cstheme="minorHAnsi"/>
                <w:color w:val="000000"/>
                <w:sz w:val="16"/>
                <w:szCs w:val="16"/>
              </w:rPr>
              <w:t>6,45</w:t>
            </w:r>
          </w:p>
        </w:tc>
        <w:tc>
          <w:tcPr>
            <w:tcW w:w="608" w:type="dxa"/>
            <w:tcBorders>
              <w:top w:val="nil"/>
              <w:left w:val="nil"/>
              <w:bottom w:val="single" w:sz="4" w:space="0" w:color="auto"/>
              <w:right w:val="single" w:sz="4" w:space="0" w:color="auto"/>
            </w:tcBorders>
            <w:shd w:val="clear" w:color="auto" w:fill="auto"/>
            <w:noWrap/>
            <w:vAlign w:val="center"/>
            <w:hideMark/>
          </w:tcPr>
          <w:p w:rsidR="00BA05A3" w:rsidRPr="00E060E5" w:rsidRDefault="00BA05A3" w:rsidP="00DA7A22">
            <w:pPr>
              <w:spacing w:line="240" w:lineRule="auto"/>
              <w:jc w:val="center"/>
              <w:rPr>
                <w:rFonts w:asciiTheme="minorHAnsi" w:eastAsia="Times New Roman" w:hAnsiTheme="minorHAnsi" w:cstheme="minorHAnsi"/>
                <w:color w:val="000000"/>
                <w:sz w:val="16"/>
                <w:szCs w:val="16"/>
              </w:rPr>
            </w:pPr>
            <w:r w:rsidRPr="00E060E5">
              <w:rPr>
                <w:rFonts w:asciiTheme="minorHAnsi" w:eastAsia="Times New Roman" w:hAnsiTheme="minorHAnsi" w:cstheme="minorHAnsi"/>
                <w:color w:val="000000"/>
                <w:sz w:val="16"/>
                <w:szCs w:val="16"/>
              </w:rPr>
              <w:t>129</w:t>
            </w:r>
          </w:p>
        </w:tc>
        <w:tc>
          <w:tcPr>
            <w:tcW w:w="608" w:type="dxa"/>
            <w:tcBorders>
              <w:top w:val="nil"/>
              <w:left w:val="nil"/>
              <w:bottom w:val="single" w:sz="4" w:space="0" w:color="auto"/>
              <w:right w:val="single" w:sz="4" w:space="0" w:color="auto"/>
            </w:tcBorders>
            <w:shd w:val="clear" w:color="auto" w:fill="auto"/>
            <w:noWrap/>
            <w:vAlign w:val="center"/>
            <w:hideMark/>
          </w:tcPr>
          <w:p w:rsidR="00BA05A3" w:rsidRPr="00E060E5" w:rsidRDefault="00BA05A3" w:rsidP="00DA7A22">
            <w:pPr>
              <w:spacing w:line="240" w:lineRule="auto"/>
              <w:jc w:val="center"/>
              <w:rPr>
                <w:rFonts w:asciiTheme="minorHAnsi" w:eastAsia="Times New Roman" w:hAnsiTheme="minorHAnsi" w:cstheme="minorHAnsi"/>
                <w:color w:val="000000"/>
                <w:sz w:val="16"/>
                <w:szCs w:val="16"/>
              </w:rPr>
            </w:pPr>
            <w:r w:rsidRPr="00E060E5">
              <w:rPr>
                <w:rFonts w:asciiTheme="minorHAnsi" w:eastAsia="Times New Roman" w:hAnsiTheme="minorHAnsi" w:cstheme="minorHAnsi"/>
                <w:color w:val="000000"/>
                <w:sz w:val="16"/>
                <w:szCs w:val="16"/>
              </w:rPr>
              <w:t>226</w:t>
            </w:r>
          </w:p>
        </w:tc>
        <w:tc>
          <w:tcPr>
            <w:tcW w:w="608" w:type="dxa"/>
            <w:tcBorders>
              <w:top w:val="nil"/>
              <w:left w:val="nil"/>
              <w:bottom w:val="single" w:sz="4" w:space="0" w:color="auto"/>
              <w:right w:val="single" w:sz="4" w:space="0" w:color="auto"/>
            </w:tcBorders>
            <w:shd w:val="clear" w:color="auto" w:fill="auto"/>
            <w:noWrap/>
            <w:vAlign w:val="center"/>
            <w:hideMark/>
          </w:tcPr>
          <w:p w:rsidR="00BA05A3" w:rsidRPr="00E060E5" w:rsidRDefault="00BA05A3" w:rsidP="00DA7A22">
            <w:pPr>
              <w:spacing w:line="240" w:lineRule="auto"/>
              <w:jc w:val="center"/>
              <w:rPr>
                <w:rFonts w:asciiTheme="minorHAnsi" w:eastAsia="Times New Roman" w:hAnsiTheme="minorHAnsi" w:cstheme="minorHAnsi"/>
                <w:color w:val="000000"/>
                <w:sz w:val="16"/>
                <w:szCs w:val="16"/>
              </w:rPr>
            </w:pPr>
            <w:r w:rsidRPr="00E060E5">
              <w:rPr>
                <w:rFonts w:asciiTheme="minorHAnsi" w:eastAsia="Times New Roman" w:hAnsiTheme="minorHAnsi" w:cstheme="minorHAnsi"/>
                <w:color w:val="000000"/>
                <w:sz w:val="16"/>
                <w:szCs w:val="16"/>
              </w:rPr>
              <w:t>323</w:t>
            </w:r>
          </w:p>
        </w:tc>
        <w:tc>
          <w:tcPr>
            <w:tcW w:w="608" w:type="dxa"/>
            <w:tcBorders>
              <w:top w:val="nil"/>
              <w:left w:val="nil"/>
              <w:bottom w:val="single" w:sz="4" w:space="0" w:color="auto"/>
              <w:right w:val="single" w:sz="4" w:space="0" w:color="auto"/>
            </w:tcBorders>
            <w:shd w:val="clear" w:color="auto" w:fill="auto"/>
            <w:noWrap/>
            <w:vAlign w:val="center"/>
            <w:hideMark/>
          </w:tcPr>
          <w:p w:rsidR="00BA05A3" w:rsidRPr="00E060E5" w:rsidRDefault="00BA05A3" w:rsidP="00DA7A22">
            <w:pPr>
              <w:spacing w:line="240" w:lineRule="auto"/>
              <w:jc w:val="center"/>
              <w:rPr>
                <w:rFonts w:asciiTheme="minorHAnsi" w:eastAsia="Times New Roman" w:hAnsiTheme="minorHAnsi" w:cstheme="minorHAnsi"/>
                <w:color w:val="000000"/>
                <w:sz w:val="16"/>
                <w:szCs w:val="16"/>
              </w:rPr>
            </w:pPr>
            <w:r w:rsidRPr="00E060E5">
              <w:rPr>
                <w:rFonts w:asciiTheme="minorHAnsi" w:eastAsia="Times New Roman" w:hAnsiTheme="minorHAnsi" w:cstheme="minorHAnsi"/>
                <w:color w:val="000000"/>
                <w:sz w:val="16"/>
                <w:szCs w:val="16"/>
              </w:rPr>
              <w:t>419</w:t>
            </w:r>
          </w:p>
        </w:tc>
        <w:tc>
          <w:tcPr>
            <w:tcW w:w="608" w:type="dxa"/>
            <w:tcBorders>
              <w:top w:val="nil"/>
              <w:left w:val="nil"/>
              <w:bottom w:val="single" w:sz="4" w:space="0" w:color="auto"/>
              <w:right w:val="single" w:sz="4" w:space="0" w:color="auto"/>
            </w:tcBorders>
            <w:shd w:val="clear" w:color="auto" w:fill="auto"/>
            <w:noWrap/>
            <w:vAlign w:val="center"/>
            <w:hideMark/>
          </w:tcPr>
          <w:p w:rsidR="00BA05A3" w:rsidRPr="00E060E5" w:rsidRDefault="00BA05A3" w:rsidP="00DA7A22">
            <w:pPr>
              <w:spacing w:line="240" w:lineRule="auto"/>
              <w:jc w:val="center"/>
              <w:rPr>
                <w:rFonts w:asciiTheme="minorHAnsi" w:eastAsia="Times New Roman" w:hAnsiTheme="minorHAnsi" w:cstheme="minorHAnsi"/>
                <w:color w:val="000000"/>
                <w:sz w:val="16"/>
                <w:szCs w:val="16"/>
              </w:rPr>
            </w:pPr>
            <w:r w:rsidRPr="00E060E5">
              <w:rPr>
                <w:rFonts w:asciiTheme="minorHAnsi" w:eastAsia="Times New Roman" w:hAnsiTheme="minorHAnsi" w:cstheme="minorHAnsi"/>
                <w:color w:val="000000"/>
                <w:sz w:val="16"/>
                <w:szCs w:val="16"/>
              </w:rPr>
              <w:t>516</w:t>
            </w:r>
          </w:p>
        </w:tc>
        <w:tc>
          <w:tcPr>
            <w:tcW w:w="611" w:type="dxa"/>
            <w:tcBorders>
              <w:top w:val="nil"/>
              <w:left w:val="nil"/>
              <w:bottom w:val="single" w:sz="4" w:space="0" w:color="auto"/>
              <w:right w:val="single" w:sz="4" w:space="0" w:color="auto"/>
            </w:tcBorders>
            <w:shd w:val="clear" w:color="auto" w:fill="auto"/>
            <w:noWrap/>
            <w:vAlign w:val="center"/>
            <w:hideMark/>
          </w:tcPr>
          <w:p w:rsidR="00BA05A3" w:rsidRPr="00E060E5" w:rsidRDefault="00BA05A3" w:rsidP="00DA7A22">
            <w:pPr>
              <w:spacing w:line="240" w:lineRule="auto"/>
              <w:jc w:val="center"/>
              <w:rPr>
                <w:rFonts w:asciiTheme="minorHAnsi" w:eastAsia="Times New Roman" w:hAnsiTheme="minorHAnsi" w:cstheme="minorHAnsi"/>
                <w:color w:val="000000"/>
                <w:sz w:val="16"/>
                <w:szCs w:val="16"/>
              </w:rPr>
            </w:pPr>
            <w:r w:rsidRPr="00E060E5">
              <w:rPr>
                <w:rFonts w:asciiTheme="minorHAnsi" w:eastAsia="Times New Roman" w:hAnsiTheme="minorHAnsi" w:cstheme="minorHAnsi"/>
                <w:color w:val="000000"/>
                <w:sz w:val="16"/>
                <w:szCs w:val="16"/>
              </w:rPr>
              <w:t>613</w:t>
            </w:r>
          </w:p>
        </w:tc>
      </w:tr>
      <w:tr w:rsidR="00BA05A3" w:rsidRPr="00E060E5" w:rsidTr="00BA05A3">
        <w:trPr>
          <w:trHeight w:val="301"/>
        </w:trPr>
        <w:tc>
          <w:tcPr>
            <w:tcW w:w="3520" w:type="dxa"/>
            <w:tcBorders>
              <w:top w:val="nil"/>
              <w:left w:val="single" w:sz="4" w:space="0" w:color="auto"/>
              <w:bottom w:val="single" w:sz="4" w:space="0" w:color="auto"/>
              <w:right w:val="single" w:sz="4" w:space="0" w:color="auto"/>
            </w:tcBorders>
            <w:shd w:val="clear" w:color="000000" w:fill="BEECF0"/>
            <w:noWrap/>
            <w:vAlign w:val="center"/>
            <w:hideMark/>
          </w:tcPr>
          <w:p w:rsidR="00BA05A3" w:rsidRPr="00E060E5" w:rsidRDefault="00BA05A3" w:rsidP="00DA7A22">
            <w:pPr>
              <w:spacing w:line="240" w:lineRule="auto"/>
              <w:rPr>
                <w:rFonts w:asciiTheme="minorHAnsi" w:eastAsia="Times New Roman" w:hAnsiTheme="minorHAnsi" w:cstheme="minorHAnsi"/>
                <w:color w:val="000000"/>
                <w:sz w:val="16"/>
                <w:szCs w:val="16"/>
              </w:rPr>
            </w:pPr>
            <w:r w:rsidRPr="00E060E5">
              <w:rPr>
                <w:rFonts w:asciiTheme="minorHAnsi" w:eastAsia="Times New Roman" w:hAnsiTheme="minorHAnsi" w:cstheme="minorHAnsi"/>
                <w:color w:val="000000"/>
                <w:sz w:val="16"/>
                <w:szCs w:val="16"/>
              </w:rPr>
              <w:t>gminy sąsiadujące</w:t>
            </w:r>
          </w:p>
        </w:tc>
        <w:tc>
          <w:tcPr>
            <w:tcW w:w="734" w:type="dxa"/>
            <w:tcBorders>
              <w:top w:val="nil"/>
              <w:left w:val="nil"/>
              <w:bottom w:val="single" w:sz="4" w:space="0" w:color="auto"/>
              <w:right w:val="single" w:sz="4" w:space="0" w:color="auto"/>
            </w:tcBorders>
            <w:shd w:val="clear" w:color="000000" w:fill="BEECF0"/>
            <w:noWrap/>
            <w:vAlign w:val="center"/>
            <w:hideMark/>
          </w:tcPr>
          <w:p w:rsidR="00BA05A3" w:rsidRPr="00E060E5" w:rsidRDefault="00BA05A3" w:rsidP="00DA7A22">
            <w:pPr>
              <w:spacing w:line="240" w:lineRule="auto"/>
              <w:rPr>
                <w:rFonts w:asciiTheme="minorHAnsi" w:eastAsia="Times New Roman" w:hAnsiTheme="minorHAnsi" w:cstheme="minorHAnsi"/>
                <w:color w:val="000000"/>
                <w:sz w:val="16"/>
                <w:szCs w:val="16"/>
              </w:rPr>
            </w:pPr>
            <w:r w:rsidRPr="00E060E5">
              <w:rPr>
                <w:rFonts w:asciiTheme="minorHAnsi" w:eastAsia="Times New Roman" w:hAnsiTheme="minorHAnsi" w:cstheme="minorHAnsi"/>
                <w:color w:val="000000"/>
                <w:sz w:val="16"/>
                <w:szCs w:val="16"/>
              </w:rPr>
              <w:t>3881,65</w:t>
            </w:r>
          </w:p>
        </w:tc>
        <w:tc>
          <w:tcPr>
            <w:tcW w:w="1369" w:type="dxa"/>
            <w:tcBorders>
              <w:top w:val="nil"/>
              <w:left w:val="nil"/>
              <w:bottom w:val="single" w:sz="4" w:space="0" w:color="auto"/>
              <w:right w:val="single" w:sz="4" w:space="0" w:color="auto"/>
            </w:tcBorders>
            <w:shd w:val="clear" w:color="000000" w:fill="BEECF0"/>
            <w:noWrap/>
            <w:vAlign w:val="center"/>
            <w:hideMark/>
          </w:tcPr>
          <w:p w:rsidR="00BA05A3" w:rsidRPr="00E060E5" w:rsidRDefault="00BA05A3" w:rsidP="00DA7A22">
            <w:pPr>
              <w:spacing w:line="240" w:lineRule="auto"/>
              <w:jc w:val="center"/>
              <w:rPr>
                <w:rFonts w:asciiTheme="minorHAnsi" w:eastAsia="Times New Roman" w:hAnsiTheme="minorHAnsi" w:cstheme="minorHAnsi"/>
                <w:color w:val="000000"/>
                <w:sz w:val="16"/>
                <w:szCs w:val="16"/>
              </w:rPr>
            </w:pPr>
            <w:r w:rsidRPr="00E060E5">
              <w:rPr>
                <w:rFonts w:asciiTheme="minorHAnsi" w:eastAsia="Times New Roman" w:hAnsiTheme="minorHAnsi" w:cstheme="minorHAnsi"/>
                <w:color w:val="000000"/>
                <w:sz w:val="16"/>
                <w:szCs w:val="16"/>
              </w:rPr>
              <w:t>5,82</w:t>
            </w:r>
          </w:p>
        </w:tc>
        <w:tc>
          <w:tcPr>
            <w:tcW w:w="608" w:type="dxa"/>
            <w:tcBorders>
              <w:top w:val="nil"/>
              <w:left w:val="nil"/>
              <w:bottom w:val="single" w:sz="4" w:space="0" w:color="auto"/>
              <w:right w:val="single" w:sz="4" w:space="0" w:color="auto"/>
            </w:tcBorders>
            <w:shd w:val="clear" w:color="000000" w:fill="BEECF0"/>
            <w:noWrap/>
            <w:vAlign w:val="center"/>
            <w:hideMark/>
          </w:tcPr>
          <w:p w:rsidR="00BA05A3" w:rsidRPr="00E060E5" w:rsidRDefault="00BA05A3" w:rsidP="00DA7A22">
            <w:pPr>
              <w:spacing w:line="240" w:lineRule="auto"/>
              <w:jc w:val="center"/>
              <w:rPr>
                <w:rFonts w:asciiTheme="minorHAnsi" w:eastAsia="Times New Roman" w:hAnsiTheme="minorHAnsi" w:cstheme="minorHAnsi"/>
                <w:color w:val="000000"/>
                <w:sz w:val="16"/>
                <w:szCs w:val="16"/>
              </w:rPr>
            </w:pPr>
            <w:r w:rsidRPr="00E060E5">
              <w:rPr>
                <w:rFonts w:asciiTheme="minorHAnsi" w:eastAsia="Times New Roman" w:hAnsiTheme="minorHAnsi" w:cstheme="minorHAnsi"/>
                <w:color w:val="000000"/>
                <w:sz w:val="16"/>
                <w:szCs w:val="16"/>
              </w:rPr>
              <w:t>116</w:t>
            </w:r>
          </w:p>
        </w:tc>
        <w:tc>
          <w:tcPr>
            <w:tcW w:w="608" w:type="dxa"/>
            <w:tcBorders>
              <w:top w:val="nil"/>
              <w:left w:val="nil"/>
              <w:bottom w:val="single" w:sz="4" w:space="0" w:color="auto"/>
              <w:right w:val="single" w:sz="4" w:space="0" w:color="auto"/>
            </w:tcBorders>
            <w:shd w:val="clear" w:color="000000" w:fill="BEECF0"/>
            <w:noWrap/>
            <w:vAlign w:val="center"/>
            <w:hideMark/>
          </w:tcPr>
          <w:p w:rsidR="00BA05A3" w:rsidRPr="00E060E5" w:rsidRDefault="00BA05A3" w:rsidP="00DA7A22">
            <w:pPr>
              <w:spacing w:line="240" w:lineRule="auto"/>
              <w:jc w:val="center"/>
              <w:rPr>
                <w:rFonts w:asciiTheme="minorHAnsi" w:eastAsia="Times New Roman" w:hAnsiTheme="minorHAnsi" w:cstheme="minorHAnsi"/>
                <w:color w:val="000000"/>
                <w:sz w:val="16"/>
                <w:szCs w:val="16"/>
              </w:rPr>
            </w:pPr>
            <w:r w:rsidRPr="00E060E5">
              <w:rPr>
                <w:rFonts w:asciiTheme="minorHAnsi" w:eastAsia="Times New Roman" w:hAnsiTheme="minorHAnsi" w:cstheme="minorHAnsi"/>
                <w:color w:val="000000"/>
                <w:sz w:val="16"/>
                <w:szCs w:val="16"/>
              </w:rPr>
              <w:t>204</w:t>
            </w:r>
          </w:p>
        </w:tc>
        <w:tc>
          <w:tcPr>
            <w:tcW w:w="608" w:type="dxa"/>
            <w:tcBorders>
              <w:top w:val="nil"/>
              <w:left w:val="nil"/>
              <w:bottom w:val="single" w:sz="4" w:space="0" w:color="auto"/>
              <w:right w:val="single" w:sz="4" w:space="0" w:color="auto"/>
            </w:tcBorders>
            <w:shd w:val="clear" w:color="000000" w:fill="BEECF0"/>
            <w:noWrap/>
            <w:vAlign w:val="center"/>
            <w:hideMark/>
          </w:tcPr>
          <w:p w:rsidR="00BA05A3" w:rsidRPr="00E060E5" w:rsidRDefault="00BA05A3" w:rsidP="00DA7A22">
            <w:pPr>
              <w:spacing w:line="240" w:lineRule="auto"/>
              <w:jc w:val="center"/>
              <w:rPr>
                <w:rFonts w:asciiTheme="minorHAnsi" w:eastAsia="Times New Roman" w:hAnsiTheme="minorHAnsi" w:cstheme="minorHAnsi"/>
                <w:color w:val="000000"/>
                <w:sz w:val="16"/>
                <w:szCs w:val="16"/>
              </w:rPr>
            </w:pPr>
            <w:r w:rsidRPr="00E060E5">
              <w:rPr>
                <w:rFonts w:asciiTheme="minorHAnsi" w:eastAsia="Times New Roman" w:hAnsiTheme="minorHAnsi" w:cstheme="minorHAnsi"/>
                <w:color w:val="000000"/>
                <w:sz w:val="16"/>
                <w:szCs w:val="16"/>
              </w:rPr>
              <w:t>291</w:t>
            </w:r>
          </w:p>
        </w:tc>
        <w:tc>
          <w:tcPr>
            <w:tcW w:w="608" w:type="dxa"/>
            <w:tcBorders>
              <w:top w:val="nil"/>
              <w:left w:val="nil"/>
              <w:bottom w:val="single" w:sz="4" w:space="0" w:color="auto"/>
              <w:right w:val="single" w:sz="4" w:space="0" w:color="auto"/>
            </w:tcBorders>
            <w:shd w:val="clear" w:color="000000" w:fill="BEECF0"/>
            <w:noWrap/>
            <w:vAlign w:val="center"/>
            <w:hideMark/>
          </w:tcPr>
          <w:p w:rsidR="00BA05A3" w:rsidRPr="00E060E5" w:rsidRDefault="00BA05A3" w:rsidP="00DA7A22">
            <w:pPr>
              <w:spacing w:line="240" w:lineRule="auto"/>
              <w:jc w:val="center"/>
              <w:rPr>
                <w:rFonts w:asciiTheme="minorHAnsi" w:eastAsia="Times New Roman" w:hAnsiTheme="minorHAnsi" w:cstheme="minorHAnsi"/>
                <w:color w:val="000000"/>
                <w:sz w:val="16"/>
                <w:szCs w:val="16"/>
              </w:rPr>
            </w:pPr>
            <w:r w:rsidRPr="00E060E5">
              <w:rPr>
                <w:rFonts w:asciiTheme="minorHAnsi" w:eastAsia="Times New Roman" w:hAnsiTheme="minorHAnsi" w:cstheme="minorHAnsi"/>
                <w:color w:val="000000"/>
                <w:sz w:val="16"/>
                <w:szCs w:val="16"/>
              </w:rPr>
              <w:t>378</w:t>
            </w:r>
          </w:p>
        </w:tc>
        <w:tc>
          <w:tcPr>
            <w:tcW w:w="608" w:type="dxa"/>
            <w:tcBorders>
              <w:top w:val="nil"/>
              <w:left w:val="nil"/>
              <w:bottom w:val="single" w:sz="4" w:space="0" w:color="auto"/>
              <w:right w:val="single" w:sz="4" w:space="0" w:color="auto"/>
            </w:tcBorders>
            <w:shd w:val="clear" w:color="000000" w:fill="BEECF0"/>
            <w:noWrap/>
            <w:vAlign w:val="center"/>
            <w:hideMark/>
          </w:tcPr>
          <w:p w:rsidR="00BA05A3" w:rsidRPr="00E060E5" w:rsidRDefault="00BA05A3" w:rsidP="00DA7A22">
            <w:pPr>
              <w:spacing w:line="240" w:lineRule="auto"/>
              <w:jc w:val="center"/>
              <w:rPr>
                <w:rFonts w:asciiTheme="minorHAnsi" w:eastAsia="Times New Roman" w:hAnsiTheme="minorHAnsi" w:cstheme="minorHAnsi"/>
                <w:color w:val="000000"/>
                <w:sz w:val="16"/>
                <w:szCs w:val="16"/>
              </w:rPr>
            </w:pPr>
            <w:r w:rsidRPr="00E060E5">
              <w:rPr>
                <w:rFonts w:asciiTheme="minorHAnsi" w:eastAsia="Times New Roman" w:hAnsiTheme="minorHAnsi" w:cstheme="minorHAnsi"/>
                <w:color w:val="000000"/>
                <w:sz w:val="16"/>
                <w:szCs w:val="16"/>
              </w:rPr>
              <w:t>466</w:t>
            </w:r>
          </w:p>
        </w:tc>
        <w:tc>
          <w:tcPr>
            <w:tcW w:w="611" w:type="dxa"/>
            <w:tcBorders>
              <w:top w:val="nil"/>
              <w:left w:val="nil"/>
              <w:bottom w:val="single" w:sz="4" w:space="0" w:color="auto"/>
              <w:right w:val="single" w:sz="4" w:space="0" w:color="auto"/>
            </w:tcBorders>
            <w:shd w:val="clear" w:color="000000" w:fill="BEECF0"/>
            <w:noWrap/>
            <w:vAlign w:val="center"/>
            <w:hideMark/>
          </w:tcPr>
          <w:p w:rsidR="00BA05A3" w:rsidRPr="00E060E5" w:rsidRDefault="00BA05A3" w:rsidP="00DA7A22">
            <w:pPr>
              <w:spacing w:line="240" w:lineRule="auto"/>
              <w:jc w:val="center"/>
              <w:rPr>
                <w:rFonts w:asciiTheme="minorHAnsi" w:eastAsia="Times New Roman" w:hAnsiTheme="minorHAnsi" w:cstheme="minorHAnsi"/>
                <w:color w:val="000000"/>
                <w:sz w:val="16"/>
                <w:szCs w:val="16"/>
              </w:rPr>
            </w:pPr>
            <w:r w:rsidRPr="00E060E5">
              <w:rPr>
                <w:rFonts w:asciiTheme="minorHAnsi" w:eastAsia="Times New Roman" w:hAnsiTheme="minorHAnsi" w:cstheme="minorHAnsi"/>
                <w:color w:val="000000"/>
                <w:sz w:val="16"/>
                <w:szCs w:val="16"/>
              </w:rPr>
              <w:t>553</w:t>
            </w:r>
          </w:p>
        </w:tc>
      </w:tr>
      <w:tr w:rsidR="00BA05A3" w:rsidRPr="00E060E5" w:rsidTr="00BA05A3">
        <w:trPr>
          <w:trHeight w:val="301"/>
        </w:trPr>
        <w:tc>
          <w:tcPr>
            <w:tcW w:w="3520" w:type="dxa"/>
            <w:tcBorders>
              <w:top w:val="nil"/>
              <w:left w:val="single" w:sz="4" w:space="0" w:color="auto"/>
              <w:bottom w:val="single" w:sz="4" w:space="0" w:color="auto"/>
              <w:right w:val="single" w:sz="4" w:space="0" w:color="auto"/>
            </w:tcBorders>
            <w:shd w:val="clear" w:color="auto" w:fill="auto"/>
            <w:noWrap/>
            <w:vAlign w:val="center"/>
            <w:hideMark/>
          </w:tcPr>
          <w:p w:rsidR="00BA05A3" w:rsidRPr="00E060E5" w:rsidRDefault="00BA05A3" w:rsidP="00DA7A22">
            <w:pPr>
              <w:spacing w:line="240" w:lineRule="auto"/>
              <w:rPr>
                <w:rFonts w:asciiTheme="minorHAnsi" w:eastAsia="Times New Roman" w:hAnsiTheme="minorHAnsi" w:cstheme="minorHAnsi"/>
                <w:color w:val="000000"/>
                <w:sz w:val="16"/>
                <w:szCs w:val="16"/>
              </w:rPr>
            </w:pPr>
            <w:r w:rsidRPr="00E060E5">
              <w:rPr>
                <w:rFonts w:asciiTheme="minorHAnsi" w:eastAsia="Times New Roman" w:hAnsiTheme="minorHAnsi" w:cstheme="minorHAnsi"/>
                <w:color w:val="000000"/>
                <w:sz w:val="16"/>
                <w:szCs w:val="16"/>
              </w:rPr>
              <w:t>województwo lubelskie</w:t>
            </w:r>
          </w:p>
        </w:tc>
        <w:tc>
          <w:tcPr>
            <w:tcW w:w="734" w:type="dxa"/>
            <w:tcBorders>
              <w:top w:val="nil"/>
              <w:left w:val="nil"/>
              <w:bottom w:val="single" w:sz="4" w:space="0" w:color="auto"/>
              <w:right w:val="single" w:sz="4" w:space="0" w:color="auto"/>
            </w:tcBorders>
            <w:shd w:val="clear" w:color="auto" w:fill="auto"/>
            <w:noWrap/>
            <w:vAlign w:val="center"/>
            <w:hideMark/>
          </w:tcPr>
          <w:p w:rsidR="00BA05A3" w:rsidRPr="00E060E5" w:rsidRDefault="00BA05A3" w:rsidP="00DA7A22">
            <w:pPr>
              <w:spacing w:line="240" w:lineRule="auto"/>
              <w:rPr>
                <w:rFonts w:asciiTheme="minorHAnsi" w:eastAsia="Times New Roman" w:hAnsiTheme="minorHAnsi" w:cstheme="minorHAnsi"/>
                <w:color w:val="000000"/>
                <w:sz w:val="16"/>
                <w:szCs w:val="16"/>
              </w:rPr>
            </w:pPr>
            <w:r w:rsidRPr="00E060E5">
              <w:rPr>
                <w:rFonts w:asciiTheme="minorHAnsi" w:eastAsia="Times New Roman" w:hAnsiTheme="minorHAnsi" w:cstheme="minorHAnsi"/>
                <w:color w:val="000000"/>
                <w:sz w:val="16"/>
                <w:szCs w:val="16"/>
              </w:rPr>
              <w:t>3462,54</w:t>
            </w:r>
          </w:p>
        </w:tc>
        <w:tc>
          <w:tcPr>
            <w:tcW w:w="1369" w:type="dxa"/>
            <w:tcBorders>
              <w:top w:val="nil"/>
              <w:left w:val="nil"/>
              <w:bottom w:val="single" w:sz="4" w:space="0" w:color="auto"/>
              <w:right w:val="single" w:sz="4" w:space="0" w:color="auto"/>
            </w:tcBorders>
            <w:shd w:val="clear" w:color="auto" w:fill="auto"/>
            <w:noWrap/>
            <w:vAlign w:val="center"/>
            <w:hideMark/>
          </w:tcPr>
          <w:p w:rsidR="00BA05A3" w:rsidRPr="00E060E5" w:rsidRDefault="00BA05A3" w:rsidP="00DA7A22">
            <w:pPr>
              <w:spacing w:line="240" w:lineRule="auto"/>
              <w:jc w:val="center"/>
              <w:rPr>
                <w:rFonts w:asciiTheme="minorHAnsi" w:eastAsia="Times New Roman" w:hAnsiTheme="minorHAnsi" w:cstheme="minorHAnsi"/>
                <w:color w:val="000000"/>
                <w:sz w:val="16"/>
                <w:szCs w:val="16"/>
              </w:rPr>
            </w:pPr>
            <w:r w:rsidRPr="00E060E5">
              <w:rPr>
                <w:rFonts w:asciiTheme="minorHAnsi" w:eastAsia="Times New Roman" w:hAnsiTheme="minorHAnsi" w:cstheme="minorHAnsi"/>
                <w:color w:val="000000"/>
                <w:sz w:val="16"/>
                <w:szCs w:val="16"/>
              </w:rPr>
              <w:t>5,19</w:t>
            </w:r>
          </w:p>
        </w:tc>
        <w:tc>
          <w:tcPr>
            <w:tcW w:w="608" w:type="dxa"/>
            <w:tcBorders>
              <w:top w:val="nil"/>
              <w:left w:val="nil"/>
              <w:bottom w:val="single" w:sz="4" w:space="0" w:color="auto"/>
              <w:right w:val="single" w:sz="4" w:space="0" w:color="auto"/>
            </w:tcBorders>
            <w:shd w:val="clear" w:color="auto" w:fill="auto"/>
            <w:noWrap/>
            <w:vAlign w:val="center"/>
            <w:hideMark/>
          </w:tcPr>
          <w:p w:rsidR="00BA05A3" w:rsidRPr="00E060E5" w:rsidRDefault="00BA05A3" w:rsidP="00DA7A22">
            <w:pPr>
              <w:spacing w:line="240" w:lineRule="auto"/>
              <w:jc w:val="center"/>
              <w:rPr>
                <w:rFonts w:asciiTheme="minorHAnsi" w:eastAsia="Times New Roman" w:hAnsiTheme="minorHAnsi" w:cstheme="minorHAnsi"/>
                <w:color w:val="000000"/>
                <w:sz w:val="16"/>
                <w:szCs w:val="16"/>
              </w:rPr>
            </w:pPr>
            <w:r w:rsidRPr="00E060E5">
              <w:rPr>
                <w:rFonts w:asciiTheme="minorHAnsi" w:eastAsia="Times New Roman" w:hAnsiTheme="minorHAnsi" w:cstheme="minorHAnsi"/>
                <w:color w:val="000000"/>
                <w:sz w:val="16"/>
                <w:szCs w:val="16"/>
              </w:rPr>
              <w:t>104</w:t>
            </w:r>
          </w:p>
        </w:tc>
        <w:tc>
          <w:tcPr>
            <w:tcW w:w="608" w:type="dxa"/>
            <w:tcBorders>
              <w:top w:val="nil"/>
              <w:left w:val="nil"/>
              <w:bottom w:val="single" w:sz="4" w:space="0" w:color="auto"/>
              <w:right w:val="single" w:sz="4" w:space="0" w:color="auto"/>
            </w:tcBorders>
            <w:shd w:val="clear" w:color="auto" w:fill="auto"/>
            <w:noWrap/>
            <w:vAlign w:val="center"/>
            <w:hideMark/>
          </w:tcPr>
          <w:p w:rsidR="00BA05A3" w:rsidRPr="00E060E5" w:rsidRDefault="00BA05A3" w:rsidP="00DA7A22">
            <w:pPr>
              <w:spacing w:line="240" w:lineRule="auto"/>
              <w:jc w:val="center"/>
              <w:rPr>
                <w:rFonts w:asciiTheme="minorHAnsi" w:eastAsia="Times New Roman" w:hAnsiTheme="minorHAnsi" w:cstheme="minorHAnsi"/>
                <w:color w:val="000000"/>
                <w:sz w:val="16"/>
                <w:szCs w:val="16"/>
              </w:rPr>
            </w:pPr>
            <w:r w:rsidRPr="00E060E5">
              <w:rPr>
                <w:rFonts w:asciiTheme="minorHAnsi" w:eastAsia="Times New Roman" w:hAnsiTheme="minorHAnsi" w:cstheme="minorHAnsi"/>
                <w:color w:val="000000"/>
                <w:sz w:val="16"/>
                <w:szCs w:val="16"/>
              </w:rPr>
              <w:t>182</w:t>
            </w:r>
          </w:p>
        </w:tc>
        <w:tc>
          <w:tcPr>
            <w:tcW w:w="608" w:type="dxa"/>
            <w:tcBorders>
              <w:top w:val="nil"/>
              <w:left w:val="nil"/>
              <w:bottom w:val="single" w:sz="4" w:space="0" w:color="auto"/>
              <w:right w:val="single" w:sz="4" w:space="0" w:color="auto"/>
            </w:tcBorders>
            <w:shd w:val="clear" w:color="auto" w:fill="auto"/>
            <w:noWrap/>
            <w:vAlign w:val="center"/>
            <w:hideMark/>
          </w:tcPr>
          <w:p w:rsidR="00BA05A3" w:rsidRPr="00E060E5" w:rsidRDefault="00BA05A3" w:rsidP="00DA7A22">
            <w:pPr>
              <w:spacing w:line="240" w:lineRule="auto"/>
              <w:jc w:val="center"/>
              <w:rPr>
                <w:rFonts w:asciiTheme="minorHAnsi" w:eastAsia="Times New Roman" w:hAnsiTheme="minorHAnsi" w:cstheme="minorHAnsi"/>
                <w:color w:val="000000"/>
                <w:sz w:val="16"/>
                <w:szCs w:val="16"/>
              </w:rPr>
            </w:pPr>
            <w:r w:rsidRPr="00E060E5">
              <w:rPr>
                <w:rFonts w:asciiTheme="minorHAnsi" w:eastAsia="Times New Roman" w:hAnsiTheme="minorHAnsi" w:cstheme="minorHAnsi"/>
                <w:color w:val="000000"/>
                <w:sz w:val="16"/>
                <w:szCs w:val="16"/>
              </w:rPr>
              <w:t>260</w:t>
            </w:r>
          </w:p>
        </w:tc>
        <w:tc>
          <w:tcPr>
            <w:tcW w:w="608" w:type="dxa"/>
            <w:tcBorders>
              <w:top w:val="nil"/>
              <w:left w:val="nil"/>
              <w:bottom w:val="single" w:sz="4" w:space="0" w:color="auto"/>
              <w:right w:val="single" w:sz="4" w:space="0" w:color="auto"/>
            </w:tcBorders>
            <w:shd w:val="clear" w:color="auto" w:fill="auto"/>
            <w:noWrap/>
            <w:vAlign w:val="center"/>
            <w:hideMark/>
          </w:tcPr>
          <w:p w:rsidR="00BA05A3" w:rsidRPr="00E060E5" w:rsidRDefault="00BA05A3" w:rsidP="00DA7A22">
            <w:pPr>
              <w:spacing w:line="240" w:lineRule="auto"/>
              <w:jc w:val="center"/>
              <w:rPr>
                <w:rFonts w:asciiTheme="minorHAnsi" w:eastAsia="Times New Roman" w:hAnsiTheme="minorHAnsi" w:cstheme="minorHAnsi"/>
                <w:color w:val="000000"/>
                <w:sz w:val="16"/>
                <w:szCs w:val="16"/>
              </w:rPr>
            </w:pPr>
            <w:r w:rsidRPr="00E060E5">
              <w:rPr>
                <w:rFonts w:asciiTheme="minorHAnsi" w:eastAsia="Times New Roman" w:hAnsiTheme="minorHAnsi" w:cstheme="minorHAnsi"/>
                <w:color w:val="000000"/>
                <w:sz w:val="16"/>
                <w:szCs w:val="16"/>
              </w:rPr>
              <w:t>338</w:t>
            </w:r>
          </w:p>
        </w:tc>
        <w:tc>
          <w:tcPr>
            <w:tcW w:w="608" w:type="dxa"/>
            <w:tcBorders>
              <w:top w:val="nil"/>
              <w:left w:val="nil"/>
              <w:bottom w:val="single" w:sz="4" w:space="0" w:color="auto"/>
              <w:right w:val="single" w:sz="4" w:space="0" w:color="auto"/>
            </w:tcBorders>
            <w:shd w:val="clear" w:color="auto" w:fill="auto"/>
            <w:noWrap/>
            <w:vAlign w:val="center"/>
            <w:hideMark/>
          </w:tcPr>
          <w:p w:rsidR="00BA05A3" w:rsidRPr="00E060E5" w:rsidRDefault="00BA05A3" w:rsidP="00DA7A22">
            <w:pPr>
              <w:spacing w:line="240" w:lineRule="auto"/>
              <w:jc w:val="center"/>
              <w:rPr>
                <w:rFonts w:asciiTheme="minorHAnsi" w:eastAsia="Times New Roman" w:hAnsiTheme="minorHAnsi" w:cstheme="minorHAnsi"/>
                <w:color w:val="000000"/>
                <w:sz w:val="16"/>
                <w:szCs w:val="16"/>
              </w:rPr>
            </w:pPr>
            <w:r w:rsidRPr="00E060E5">
              <w:rPr>
                <w:rFonts w:asciiTheme="minorHAnsi" w:eastAsia="Times New Roman" w:hAnsiTheme="minorHAnsi" w:cstheme="minorHAnsi"/>
                <w:color w:val="000000"/>
                <w:sz w:val="16"/>
                <w:szCs w:val="16"/>
              </w:rPr>
              <w:t>416</w:t>
            </w:r>
          </w:p>
        </w:tc>
        <w:tc>
          <w:tcPr>
            <w:tcW w:w="611" w:type="dxa"/>
            <w:tcBorders>
              <w:top w:val="nil"/>
              <w:left w:val="nil"/>
              <w:bottom w:val="single" w:sz="4" w:space="0" w:color="auto"/>
              <w:right w:val="single" w:sz="4" w:space="0" w:color="auto"/>
            </w:tcBorders>
            <w:shd w:val="clear" w:color="auto" w:fill="auto"/>
            <w:noWrap/>
            <w:vAlign w:val="center"/>
            <w:hideMark/>
          </w:tcPr>
          <w:p w:rsidR="00BA05A3" w:rsidRPr="00E060E5" w:rsidRDefault="00BA05A3" w:rsidP="00DA7A22">
            <w:pPr>
              <w:spacing w:line="240" w:lineRule="auto"/>
              <w:jc w:val="center"/>
              <w:rPr>
                <w:rFonts w:asciiTheme="minorHAnsi" w:eastAsia="Times New Roman" w:hAnsiTheme="minorHAnsi" w:cstheme="minorHAnsi"/>
                <w:color w:val="000000"/>
                <w:sz w:val="16"/>
                <w:szCs w:val="16"/>
              </w:rPr>
            </w:pPr>
            <w:r w:rsidRPr="00E060E5">
              <w:rPr>
                <w:rFonts w:asciiTheme="minorHAnsi" w:eastAsia="Times New Roman" w:hAnsiTheme="minorHAnsi" w:cstheme="minorHAnsi"/>
                <w:color w:val="000000"/>
                <w:sz w:val="16"/>
                <w:szCs w:val="16"/>
              </w:rPr>
              <w:t>493</w:t>
            </w:r>
          </w:p>
        </w:tc>
      </w:tr>
      <w:tr w:rsidR="00BA05A3" w:rsidRPr="00E060E5" w:rsidTr="00BA05A3">
        <w:trPr>
          <w:trHeight w:val="301"/>
        </w:trPr>
        <w:tc>
          <w:tcPr>
            <w:tcW w:w="3520" w:type="dxa"/>
            <w:tcBorders>
              <w:top w:val="nil"/>
              <w:left w:val="single" w:sz="4" w:space="0" w:color="auto"/>
              <w:bottom w:val="single" w:sz="4" w:space="0" w:color="auto"/>
              <w:right w:val="single" w:sz="4" w:space="0" w:color="auto"/>
            </w:tcBorders>
            <w:shd w:val="clear" w:color="000000" w:fill="BEECF0"/>
            <w:noWrap/>
            <w:vAlign w:val="center"/>
            <w:hideMark/>
          </w:tcPr>
          <w:p w:rsidR="00BA05A3" w:rsidRPr="00E060E5" w:rsidRDefault="00BA05A3" w:rsidP="00DA7A22">
            <w:pPr>
              <w:spacing w:line="240" w:lineRule="auto"/>
              <w:rPr>
                <w:rFonts w:asciiTheme="minorHAnsi" w:eastAsia="Times New Roman" w:hAnsiTheme="minorHAnsi" w:cstheme="minorHAnsi"/>
                <w:color w:val="000000"/>
                <w:sz w:val="16"/>
                <w:szCs w:val="16"/>
              </w:rPr>
            </w:pPr>
            <w:r w:rsidRPr="00E060E5">
              <w:rPr>
                <w:rFonts w:asciiTheme="minorHAnsi" w:eastAsia="Times New Roman" w:hAnsiTheme="minorHAnsi" w:cstheme="minorHAnsi"/>
                <w:color w:val="000000"/>
                <w:sz w:val="16"/>
                <w:szCs w:val="16"/>
              </w:rPr>
              <w:t>Gorzów Wielkopolski</w:t>
            </w:r>
          </w:p>
        </w:tc>
        <w:tc>
          <w:tcPr>
            <w:tcW w:w="734" w:type="dxa"/>
            <w:tcBorders>
              <w:top w:val="nil"/>
              <w:left w:val="nil"/>
              <w:bottom w:val="single" w:sz="4" w:space="0" w:color="auto"/>
              <w:right w:val="single" w:sz="4" w:space="0" w:color="auto"/>
            </w:tcBorders>
            <w:shd w:val="clear" w:color="000000" w:fill="BEECF0"/>
            <w:noWrap/>
            <w:vAlign w:val="center"/>
            <w:hideMark/>
          </w:tcPr>
          <w:p w:rsidR="00BA05A3" w:rsidRPr="00E060E5" w:rsidRDefault="00BA05A3" w:rsidP="00DA7A22">
            <w:pPr>
              <w:spacing w:line="240" w:lineRule="auto"/>
              <w:rPr>
                <w:rFonts w:asciiTheme="minorHAnsi" w:eastAsia="Times New Roman" w:hAnsiTheme="minorHAnsi" w:cstheme="minorHAnsi"/>
                <w:color w:val="000000"/>
                <w:sz w:val="16"/>
                <w:szCs w:val="16"/>
              </w:rPr>
            </w:pPr>
            <w:r w:rsidRPr="00E060E5">
              <w:rPr>
                <w:rFonts w:asciiTheme="minorHAnsi" w:eastAsia="Times New Roman" w:hAnsiTheme="minorHAnsi" w:cstheme="minorHAnsi"/>
                <w:color w:val="000000"/>
                <w:sz w:val="16"/>
                <w:szCs w:val="16"/>
              </w:rPr>
              <w:t>4048,75</w:t>
            </w:r>
          </w:p>
        </w:tc>
        <w:tc>
          <w:tcPr>
            <w:tcW w:w="1369" w:type="dxa"/>
            <w:tcBorders>
              <w:top w:val="nil"/>
              <w:left w:val="nil"/>
              <w:bottom w:val="single" w:sz="4" w:space="0" w:color="auto"/>
              <w:right w:val="single" w:sz="4" w:space="0" w:color="auto"/>
            </w:tcBorders>
            <w:shd w:val="clear" w:color="000000" w:fill="BEECF0"/>
            <w:noWrap/>
            <w:vAlign w:val="center"/>
            <w:hideMark/>
          </w:tcPr>
          <w:p w:rsidR="00BA05A3" w:rsidRPr="00E060E5" w:rsidRDefault="00BA05A3" w:rsidP="00DA7A22">
            <w:pPr>
              <w:spacing w:line="240" w:lineRule="auto"/>
              <w:jc w:val="center"/>
              <w:rPr>
                <w:rFonts w:asciiTheme="minorHAnsi" w:eastAsia="Times New Roman" w:hAnsiTheme="minorHAnsi" w:cstheme="minorHAnsi"/>
                <w:color w:val="000000"/>
                <w:sz w:val="16"/>
                <w:szCs w:val="16"/>
              </w:rPr>
            </w:pPr>
            <w:r w:rsidRPr="00E060E5">
              <w:rPr>
                <w:rFonts w:asciiTheme="minorHAnsi" w:eastAsia="Times New Roman" w:hAnsiTheme="minorHAnsi" w:cstheme="minorHAnsi"/>
                <w:color w:val="000000"/>
                <w:sz w:val="16"/>
                <w:szCs w:val="16"/>
              </w:rPr>
              <w:t>6,07</w:t>
            </w:r>
          </w:p>
        </w:tc>
        <w:tc>
          <w:tcPr>
            <w:tcW w:w="608" w:type="dxa"/>
            <w:tcBorders>
              <w:top w:val="nil"/>
              <w:left w:val="nil"/>
              <w:bottom w:val="single" w:sz="4" w:space="0" w:color="auto"/>
              <w:right w:val="single" w:sz="4" w:space="0" w:color="auto"/>
            </w:tcBorders>
            <w:shd w:val="clear" w:color="000000" w:fill="BEECF0"/>
            <w:noWrap/>
            <w:vAlign w:val="center"/>
            <w:hideMark/>
          </w:tcPr>
          <w:p w:rsidR="00BA05A3" w:rsidRPr="00E060E5" w:rsidRDefault="00BA05A3" w:rsidP="00DA7A22">
            <w:pPr>
              <w:spacing w:line="240" w:lineRule="auto"/>
              <w:jc w:val="center"/>
              <w:rPr>
                <w:rFonts w:asciiTheme="minorHAnsi" w:eastAsia="Times New Roman" w:hAnsiTheme="minorHAnsi" w:cstheme="minorHAnsi"/>
                <w:color w:val="000000"/>
                <w:sz w:val="16"/>
                <w:szCs w:val="16"/>
              </w:rPr>
            </w:pPr>
            <w:r w:rsidRPr="00E060E5">
              <w:rPr>
                <w:rFonts w:asciiTheme="minorHAnsi" w:eastAsia="Times New Roman" w:hAnsiTheme="minorHAnsi" w:cstheme="minorHAnsi"/>
                <w:color w:val="000000"/>
                <w:sz w:val="16"/>
                <w:szCs w:val="16"/>
              </w:rPr>
              <w:t>121</w:t>
            </w:r>
          </w:p>
        </w:tc>
        <w:tc>
          <w:tcPr>
            <w:tcW w:w="608" w:type="dxa"/>
            <w:tcBorders>
              <w:top w:val="nil"/>
              <w:left w:val="nil"/>
              <w:bottom w:val="single" w:sz="4" w:space="0" w:color="auto"/>
              <w:right w:val="single" w:sz="4" w:space="0" w:color="auto"/>
            </w:tcBorders>
            <w:shd w:val="clear" w:color="000000" w:fill="BEECF0"/>
            <w:noWrap/>
            <w:vAlign w:val="center"/>
            <w:hideMark/>
          </w:tcPr>
          <w:p w:rsidR="00BA05A3" w:rsidRPr="00E060E5" w:rsidRDefault="00BA05A3" w:rsidP="00DA7A22">
            <w:pPr>
              <w:spacing w:line="240" w:lineRule="auto"/>
              <w:jc w:val="center"/>
              <w:rPr>
                <w:rFonts w:asciiTheme="minorHAnsi" w:eastAsia="Times New Roman" w:hAnsiTheme="minorHAnsi" w:cstheme="minorHAnsi"/>
                <w:color w:val="000000"/>
                <w:sz w:val="16"/>
                <w:szCs w:val="16"/>
              </w:rPr>
            </w:pPr>
            <w:r w:rsidRPr="00E060E5">
              <w:rPr>
                <w:rFonts w:asciiTheme="minorHAnsi" w:eastAsia="Times New Roman" w:hAnsiTheme="minorHAnsi" w:cstheme="minorHAnsi"/>
                <w:color w:val="000000"/>
                <w:sz w:val="16"/>
                <w:szCs w:val="16"/>
              </w:rPr>
              <w:t>213</w:t>
            </w:r>
          </w:p>
        </w:tc>
        <w:tc>
          <w:tcPr>
            <w:tcW w:w="608" w:type="dxa"/>
            <w:tcBorders>
              <w:top w:val="nil"/>
              <w:left w:val="nil"/>
              <w:bottom w:val="single" w:sz="4" w:space="0" w:color="auto"/>
              <w:right w:val="single" w:sz="4" w:space="0" w:color="auto"/>
            </w:tcBorders>
            <w:shd w:val="clear" w:color="000000" w:fill="BEECF0"/>
            <w:noWrap/>
            <w:vAlign w:val="center"/>
            <w:hideMark/>
          </w:tcPr>
          <w:p w:rsidR="00BA05A3" w:rsidRPr="00E060E5" w:rsidRDefault="00BA05A3" w:rsidP="00DA7A22">
            <w:pPr>
              <w:spacing w:line="240" w:lineRule="auto"/>
              <w:jc w:val="center"/>
              <w:rPr>
                <w:rFonts w:asciiTheme="minorHAnsi" w:eastAsia="Times New Roman" w:hAnsiTheme="minorHAnsi" w:cstheme="minorHAnsi"/>
                <w:color w:val="000000"/>
                <w:sz w:val="16"/>
                <w:szCs w:val="16"/>
              </w:rPr>
            </w:pPr>
            <w:r w:rsidRPr="00E060E5">
              <w:rPr>
                <w:rFonts w:asciiTheme="minorHAnsi" w:eastAsia="Times New Roman" w:hAnsiTheme="minorHAnsi" w:cstheme="minorHAnsi"/>
                <w:color w:val="000000"/>
                <w:sz w:val="16"/>
                <w:szCs w:val="16"/>
              </w:rPr>
              <w:t>304</w:t>
            </w:r>
          </w:p>
        </w:tc>
        <w:tc>
          <w:tcPr>
            <w:tcW w:w="608" w:type="dxa"/>
            <w:tcBorders>
              <w:top w:val="nil"/>
              <w:left w:val="nil"/>
              <w:bottom w:val="single" w:sz="4" w:space="0" w:color="auto"/>
              <w:right w:val="single" w:sz="4" w:space="0" w:color="auto"/>
            </w:tcBorders>
            <w:shd w:val="clear" w:color="000000" w:fill="BEECF0"/>
            <w:noWrap/>
            <w:vAlign w:val="center"/>
            <w:hideMark/>
          </w:tcPr>
          <w:p w:rsidR="00BA05A3" w:rsidRPr="00E060E5" w:rsidRDefault="00BA05A3" w:rsidP="00DA7A22">
            <w:pPr>
              <w:spacing w:line="240" w:lineRule="auto"/>
              <w:jc w:val="center"/>
              <w:rPr>
                <w:rFonts w:asciiTheme="minorHAnsi" w:eastAsia="Times New Roman" w:hAnsiTheme="minorHAnsi" w:cstheme="minorHAnsi"/>
                <w:color w:val="000000"/>
                <w:sz w:val="16"/>
                <w:szCs w:val="16"/>
              </w:rPr>
            </w:pPr>
            <w:r w:rsidRPr="00E060E5">
              <w:rPr>
                <w:rFonts w:asciiTheme="minorHAnsi" w:eastAsia="Times New Roman" w:hAnsiTheme="minorHAnsi" w:cstheme="minorHAnsi"/>
                <w:color w:val="000000"/>
                <w:sz w:val="16"/>
                <w:szCs w:val="16"/>
              </w:rPr>
              <w:t>395</w:t>
            </w:r>
          </w:p>
        </w:tc>
        <w:tc>
          <w:tcPr>
            <w:tcW w:w="608" w:type="dxa"/>
            <w:tcBorders>
              <w:top w:val="nil"/>
              <w:left w:val="nil"/>
              <w:bottom w:val="single" w:sz="4" w:space="0" w:color="auto"/>
              <w:right w:val="single" w:sz="4" w:space="0" w:color="auto"/>
            </w:tcBorders>
            <w:shd w:val="clear" w:color="000000" w:fill="BEECF0"/>
            <w:noWrap/>
            <w:vAlign w:val="center"/>
            <w:hideMark/>
          </w:tcPr>
          <w:p w:rsidR="00BA05A3" w:rsidRPr="00E060E5" w:rsidRDefault="00BA05A3" w:rsidP="00DA7A22">
            <w:pPr>
              <w:spacing w:line="240" w:lineRule="auto"/>
              <w:jc w:val="center"/>
              <w:rPr>
                <w:rFonts w:asciiTheme="minorHAnsi" w:eastAsia="Times New Roman" w:hAnsiTheme="minorHAnsi" w:cstheme="minorHAnsi"/>
                <w:color w:val="000000"/>
                <w:sz w:val="16"/>
                <w:szCs w:val="16"/>
              </w:rPr>
            </w:pPr>
            <w:r w:rsidRPr="00E060E5">
              <w:rPr>
                <w:rFonts w:asciiTheme="minorHAnsi" w:eastAsia="Times New Roman" w:hAnsiTheme="minorHAnsi" w:cstheme="minorHAnsi"/>
                <w:color w:val="000000"/>
                <w:sz w:val="16"/>
                <w:szCs w:val="16"/>
              </w:rPr>
              <w:t>486</w:t>
            </w:r>
          </w:p>
        </w:tc>
        <w:tc>
          <w:tcPr>
            <w:tcW w:w="611" w:type="dxa"/>
            <w:tcBorders>
              <w:top w:val="nil"/>
              <w:left w:val="nil"/>
              <w:bottom w:val="single" w:sz="4" w:space="0" w:color="auto"/>
              <w:right w:val="single" w:sz="4" w:space="0" w:color="auto"/>
            </w:tcBorders>
            <w:shd w:val="clear" w:color="000000" w:fill="BEECF0"/>
            <w:noWrap/>
            <w:vAlign w:val="center"/>
            <w:hideMark/>
          </w:tcPr>
          <w:p w:rsidR="00BA05A3" w:rsidRPr="00E060E5" w:rsidRDefault="00BA05A3" w:rsidP="00DA7A22">
            <w:pPr>
              <w:spacing w:line="240" w:lineRule="auto"/>
              <w:jc w:val="center"/>
              <w:rPr>
                <w:rFonts w:asciiTheme="minorHAnsi" w:eastAsia="Times New Roman" w:hAnsiTheme="minorHAnsi" w:cstheme="minorHAnsi"/>
                <w:color w:val="000000"/>
                <w:sz w:val="16"/>
                <w:szCs w:val="16"/>
              </w:rPr>
            </w:pPr>
            <w:r w:rsidRPr="00E060E5">
              <w:rPr>
                <w:rFonts w:asciiTheme="minorHAnsi" w:eastAsia="Times New Roman" w:hAnsiTheme="minorHAnsi" w:cstheme="minorHAnsi"/>
                <w:color w:val="000000"/>
                <w:sz w:val="16"/>
                <w:szCs w:val="16"/>
              </w:rPr>
              <w:t>577</w:t>
            </w:r>
          </w:p>
        </w:tc>
      </w:tr>
      <w:tr w:rsidR="00BA05A3" w:rsidRPr="00E060E5" w:rsidTr="00BA05A3">
        <w:trPr>
          <w:trHeight w:val="301"/>
        </w:trPr>
        <w:tc>
          <w:tcPr>
            <w:tcW w:w="3520" w:type="dxa"/>
            <w:tcBorders>
              <w:top w:val="nil"/>
              <w:left w:val="single" w:sz="4" w:space="0" w:color="auto"/>
              <w:bottom w:val="single" w:sz="4" w:space="0" w:color="auto"/>
              <w:right w:val="single" w:sz="4" w:space="0" w:color="auto"/>
            </w:tcBorders>
            <w:shd w:val="clear" w:color="auto" w:fill="auto"/>
            <w:noWrap/>
            <w:vAlign w:val="center"/>
            <w:hideMark/>
          </w:tcPr>
          <w:p w:rsidR="00BA05A3" w:rsidRPr="00E060E5" w:rsidRDefault="00BA05A3" w:rsidP="00DA7A22">
            <w:pPr>
              <w:spacing w:line="240" w:lineRule="auto"/>
              <w:rPr>
                <w:rFonts w:asciiTheme="minorHAnsi" w:eastAsia="Times New Roman" w:hAnsiTheme="minorHAnsi" w:cstheme="minorHAnsi"/>
                <w:color w:val="000000"/>
                <w:sz w:val="16"/>
                <w:szCs w:val="16"/>
              </w:rPr>
            </w:pPr>
            <w:r w:rsidRPr="00E060E5">
              <w:rPr>
                <w:rFonts w:asciiTheme="minorHAnsi" w:eastAsia="Times New Roman" w:hAnsiTheme="minorHAnsi" w:cstheme="minorHAnsi"/>
                <w:color w:val="000000"/>
                <w:sz w:val="16"/>
                <w:szCs w:val="16"/>
              </w:rPr>
              <w:t>gminy sąsiadujące</w:t>
            </w:r>
          </w:p>
        </w:tc>
        <w:tc>
          <w:tcPr>
            <w:tcW w:w="734" w:type="dxa"/>
            <w:tcBorders>
              <w:top w:val="nil"/>
              <w:left w:val="nil"/>
              <w:bottom w:val="single" w:sz="4" w:space="0" w:color="auto"/>
              <w:right w:val="single" w:sz="4" w:space="0" w:color="auto"/>
            </w:tcBorders>
            <w:shd w:val="clear" w:color="auto" w:fill="auto"/>
            <w:noWrap/>
            <w:vAlign w:val="center"/>
            <w:hideMark/>
          </w:tcPr>
          <w:p w:rsidR="00BA05A3" w:rsidRPr="00E060E5" w:rsidRDefault="00BA05A3" w:rsidP="00DA7A22">
            <w:pPr>
              <w:spacing w:line="240" w:lineRule="auto"/>
              <w:rPr>
                <w:rFonts w:asciiTheme="minorHAnsi" w:eastAsia="Times New Roman" w:hAnsiTheme="minorHAnsi" w:cstheme="minorHAnsi"/>
                <w:color w:val="000000"/>
                <w:sz w:val="16"/>
                <w:szCs w:val="16"/>
              </w:rPr>
            </w:pPr>
            <w:r w:rsidRPr="00E060E5">
              <w:rPr>
                <w:rFonts w:asciiTheme="minorHAnsi" w:eastAsia="Times New Roman" w:hAnsiTheme="minorHAnsi" w:cstheme="minorHAnsi"/>
                <w:color w:val="000000"/>
                <w:sz w:val="16"/>
                <w:szCs w:val="16"/>
              </w:rPr>
              <w:t>3873,13</w:t>
            </w:r>
          </w:p>
        </w:tc>
        <w:tc>
          <w:tcPr>
            <w:tcW w:w="1369" w:type="dxa"/>
            <w:tcBorders>
              <w:top w:val="nil"/>
              <w:left w:val="nil"/>
              <w:bottom w:val="single" w:sz="4" w:space="0" w:color="auto"/>
              <w:right w:val="single" w:sz="4" w:space="0" w:color="auto"/>
            </w:tcBorders>
            <w:shd w:val="clear" w:color="auto" w:fill="auto"/>
            <w:noWrap/>
            <w:vAlign w:val="center"/>
            <w:hideMark/>
          </w:tcPr>
          <w:p w:rsidR="00BA05A3" w:rsidRPr="00E060E5" w:rsidRDefault="00BA05A3" w:rsidP="00DA7A22">
            <w:pPr>
              <w:spacing w:line="240" w:lineRule="auto"/>
              <w:jc w:val="center"/>
              <w:rPr>
                <w:rFonts w:asciiTheme="minorHAnsi" w:eastAsia="Times New Roman" w:hAnsiTheme="minorHAnsi" w:cstheme="minorHAnsi"/>
                <w:color w:val="000000"/>
                <w:sz w:val="16"/>
                <w:szCs w:val="16"/>
              </w:rPr>
            </w:pPr>
            <w:r w:rsidRPr="00E060E5">
              <w:rPr>
                <w:rFonts w:asciiTheme="minorHAnsi" w:eastAsia="Times New Roman" w:hAnsiTheme="minorHAnsi" w:cstheme="minorHAnsi"/>
                <w:color w:val="000000"/>
                <w:sz w:val="16"/>
                <w:szCs w:val="16"/>
              </w:rPr>
              <w:t>5,81</w:t>
            </w:r>
          </w:p>
        </w:tc>
        <w:tc>
          <w:tcPr>
            <w:tcW w:w="608" w:type="dxa"/>
            <w:tcBorders>
              <w:top w:val="nil"/>
              <w:left w:val="nil"/>
              <w:bottom w:val="single" w:sz="4" w:space="0" w:color="auto"/>
              <w:right w:val="single" w:sz="4" w:space="0" w:color="auto"/>
            </w:tcBorders>
            <w:shd w:val="clear" w:color="auto" w:fill="auto"/>
            <w:noWrap/>
            <w:vAlign w:val="center"/>
            <w:hideMark/>
          </w:tcPr>
          <w:p w:rsidR="00BA05A3" w:rsidRPr="00E060E5" w:rsidRDefault="00BA05A3" w:rsidP="00DA7A22">
            <w:pPr>
              <w:spacing w:line="240" w:lineRule="auto"/>
              <w:jc w:val="center"/>
              <w:rPr>
                <w:rFonts w:asciiTheme="minorHAnsi" w:eastAsia="Times New Roman" w:hAnsiTheme="minorHAnsi" w:cstheme="minorHAnsi"/>
                <w:color w:val="000000"/>
                <w:sz w:val="16"/>
                <w:szCs w:val="16"/>
              </w:rPr>
            </w:pPr>
            <w:r w:rsidRPr="00E060E5">
              <w:rPr>
                <w:rFonts w:asciiTheme="minorHAnsi" w:eastAsia="Times New Roman" w:hAnsiTheme="minorHAnsi" w:cstheme="minorHAnsi"/>
                <w:color w:val="000000"/>
                <w:sz w:val="16"/>
                <w:szCs w:val="16"/>
              </w:rPr>
              <w:t>116</w:t>
            </w:r>
          </w:p>
        </w:tc>
        <w:tc>
          <w:tcPr>
            <w:tcW w:w="608" w:type="dxa"/>
            <w:tcBorders>
              <w:top w:val="nil"/>
              <w:left w:val="nil"/>
              <w:bottom w:val="single" w:sz="4" w:space="0" w:color="auto"/>
              <w:right w:val="single" w:sz="4" w:space="0" w:color="auto"/>
            </w:tcBorders>
            <w:shd w:val="clear" w:color="auto" w:fill="auto"/>
            <w:noWrap/>
            <w:vAlign w:val="center"/>
            <w:hideMark/>
          </w:tcPr>
          <w:p w:rsidR="00BA05A3" w:rsidRPr="00E060E5" w:rsidRDefault="00BA05A3" w:rsidP="00DA7A22">
            <w:pPr>
              <w:spacing w:line="240" w:lineRule="auto"/>
              <w:jc w:val="center"/>
              <w:rPr>
                <w:rFonts w:asciiTheme="minorHAnsi" w:eastAsia="Times New Roman" w:hAnsiTheme="minorHAnsi" w:cstheme="minorHAnsi"/>
                <w:color w:val="000000"/>
                <w:sz w:val="16"/>
                <w:szCs w:val="16"/>
              </w:rPr>
            </w:pPr>
            <w:r w:rsidRPr="00E060E5">
              <w:rPr>
                <w:rFonts w:asciiTheme="minorHAnsi" w:eastAsia="Times New Roman" w:hAnsiTheme="minorHAnsi" w:cstheme="minorHAnsi"/>
                <w:color w:val="000000"/>
                <w:sz w:val="16"/>
                <w:szCs w:val="16"/>
              </w:rPr>
              <w:t>203</w:t>
            </w:r>
          </w:p>
        </w:tc>
        <w:tc>
          <w:tcPr>
            <w:tcW w:w="608" w:type="dxa"/>
            <w:tcBorders>
              <w:top w:val="nil"/>
              <w:left w:val="nil"/>
              <w:bottom w:val="single" w:sz="4" w:space="0" w:color="auto"/>
              <w:right w:val="single" w:sz="4" w:space="0" w:color="auto"/>
            </w:tcBorders>
            <w:shd w:val="clear" w:color="auto" w:fill="auto"/>
            <w:noWrap/>
            <w:vAlign w:val="center"/>
            <w:hideMark/>
          </w:tcPr>
          <w:p w:rsidR="00BA05A3" w:rsidRPr="00E060E5" w:rsidRDefault="00BA05A3" w:rsidP="00DA7A22">
            <w:pPr>
              <w:spacing w:line="240" w:lineRule="auto"/>
              <w:jc w:val="center"/>
              <w:rPr>
                <w:rFonts w:asciiTheme="minorHAnsi" w:eastAsia="Times New Roman" w:hAnsiTheme="minorHAnsi" w:cstheme="minorHAnsi"/>
                <w:color w:val="000000"/>
                <w:sz w:val="16"/>
                <w:szCs w:val="16"/>
              </w:rPr>
            </w:pPr>
            <w:r w:rsidRPr="00E060E5">
              <w:rPr>
                <w:rFonts w:asciiTheme="minorHAnsi" w:eastAsia="Times New Roman" w:hAnsiTheme="minorHAnsi" w:cstheme="minorHAnsi"/>
                <w:color w:val="000000"/>
                <w:sz w:val="16"/>
                <w:szCs w:val="16"/>
              </w:rPr>
              <w:t>290</w:t>
            </w:r>
          </w:p>
        </w:tc>
        <w:tc>
          <w:tcPr>
            <w:tcW w:w="608" w:type="dxa"/>
            <w:tcBorders>
              <w:top w:val="nil"/>
              <w:left w:val="nil"/>
              <w:bottom w:val="single" w:sz="4" w:space="0" w:color="auto"/>
              <w:right w:val="single" w:sz="4" w:space="0" w:color="auto"/>
            </w:tcBorders>
            <w:shd w:val="clear" w:color="auto" w:fill="auto"/>
            <w:noWrap/>
            <w:vAlign w:val="center"/>
            <w:hideMark/>
          </w:tcPr>
          <w:p w:rsidR="00BA05A3" w:rsidRPr="00E060E5" w:rsidRDefault="00BA05A3" w:rsidP="00DA7A22">
            <w:pPr>
              <w:spacing w:line="240" w:lineRule="auto"/>
              <w:jc w:val="center"/>
              <w:rPr>
                <w:rFonts w:asciiTheme="minorHAnsi" w:eastAsia="Times New Roman" w:hAnsiTheme="minorHAnsi" w:cstheme="minorHAnsi"/>
                <w:color w:val="000000"/>
                <w:sz w:val="16"/>
                <w:szCs w:val="16"/>
              </w:rPr>
            </w:pPr>
            <w:r w:rsidRPr="00E060E5">
              <w:rPr>
                <w:rFonts w:asciiTheme="minorHAnsi" w:eastAsia="Times New Roman" w:hAnsiTheme="minorHAnsi" w:cstheme="minorHAnsi"/>
                <w:color w:val="000000"/>
                <w:sz w:val="16"/>
                <w:szCs w:val="16"/>
              </w:rPr>
              <w:t>378</w:t>
            </w:r>
          </w:p>
        </w:tc>
        <w:tc>
          <w:tcPr>
            <w:tcW w:w="608" w:type="dxa"/>
            <w:tcBorders>
              <w:top w:val="nil"/>
              <w:left w:val="nil"/>
              <w:bottom w:val="single" w:sz="4" w:space="0" w:color="auto"/>
              <w:right w:val="single" w:sz="4" w:space="0" w:color="auto"/>
            </w:tcBorders>
            <w:shd w:val="clear" w:color="auto" w:fill="auto"/>
            <w:noWrap/>
            <w:vAlign w:val="center"/>
            <w:hideMark/>
          </w:tcPr>
          <w:p w:rsidR="00BA05A3" w:rsidRPr="00E060E5" w:rsidRDefault="00BA05A3" w:rsidP="00DA7A22">
            <w:pPr>
              <w:spacing w:line="240" w:lineRule="auto"/>
              <w:jc w:val="center"/>
              <w:rPr>
                <w:rFonts w:asciiTheme="minorHAnsi" w:eastAsia="Times New Roman" w:hAnsiTheme="minorHAnsi" w:cstheme="minorHAnsi"/>
                <w:color w:val="000000"/>
                <w:sz w:val="16"/>
                <w:szCs w:val="16"/>
              </w:rPr>
            </w:pPr>
            <w:r w:rsidRPr="00E060E5">
              <w:rPr>
                <w:rFonts w:asciiTheme="minorHAnsi" w:eastAsia="Times New Roman" w:hAnsiTheme="minorHAnsi" w:cstheme="minorHAnsi"/>
                <w:color w:val="000000"/>
                <w:sz w:val="16"/>
                <w:szCs w:val="16"/>
              </w:rPr>
              <w:t>465</w:t>
            </w:r>
          </w:p>
        </w:tc>
        <w:tc>
          <w:tcPr>
            <w:tcW w:w="611" w:type="dxa"/>
            <w:tcBorders>
              <w:top w:val="nil"/>
              <w:left w:val="nil"/>
              <w:bottom w:val="single" w:sz="4" w:space="0" w:color="auto"/>
              <w:right w:val="single" w:sz="4" w:space="0" w:color="auto"/>
            </w:tcBorders>
            <w:shd w:val="clear" w:color="auto" w:fill="auto"/>
            <w:noWrap/>
            <w:vAlign w:val="center"/>
            <w:hideMark/>
          </w:tcPr>
          <w:p w:rsidR="00BA05A3" w:rsidRPr="00E060E5" w:rsidRDefault="00BA05A3" w:rsidP="00DA7A22">
            <w:pPr>
              <w:spacing w:line="240" w:lineRule="auto"/>
              <w:jc w:val="center"/>
              <w:rPr>
                <w:rFonts w:asciiTheme="minorHAnsi" w:eastAsia="Times New Roman" w:hAnsiTheme="minorHAnsi" w:cstheme="minorHAnsi"/>
                <w:color w:val="000000"/>
                <w:sz w:val="16"/>
                <w:szCs w:val="16"/>
              </w:rPr>
            </w:pPr>
            <w:r w:rsidRPr="00E060E5">
              <w:rPr>
                <w:rFonts w:asciiTheme="minorHAnsi" w:eastAsia="Times New Roman" w:hAnsiTheme="minorHAnsi" w:cstheme="minorHAnsi"/>
                <w:color w:val="000000"/>
                <w:sz w:val="16"/>
                <w:szCs w:val="16"/>
              </w:rPr>
              <w:t>552</w:t>
            </w:r>
          </w:p>
        </w:tc>
      </w:tr>
      <w:tr w:rsidR="00BA05A3" w:rsidRPr="00E060E5" w:rsidTr="00BA05A3">
        <w:trPr>
          <w:trHeight w:val="301"/>
        </w:trPr>
        <w:tc>
          <w:tcPr>
            <w:tcW w:w="3520" w:type="dxa"/>
            <w:tcBorders>
              <w:top w:val="nil"/>
              <w:left w:val="single" w:sz="4" w:space="0" w:color="auto"/>
              <w:bottom w:val="single" w:sz="4" w:space="0" w:color="auto"/>
              <w:right w:val="single" w:sz="4" w:space="0" w:color="auto"/>
            </w:tcBorders>
            <w:shd w:val="clear" w:color="000000" w:fill="BEECF0"/>
            <w:noWrap/>
            <w:vAlign w:val="center"/>
            <w:hideMark/>
          </w:tcPr>
          <w:p w:rsidR="00BA05A3" w:rsidRPr="00E060E5" w:rsidRDefault="00BA05A3" w:rsidP="00DA7A22">
            <w:pPr>
              <w:spacing w:line="240" w:lineRule="auto"/>
              <w:rPr>
                <w:rFonts w:asciiTheme="minorHAnsi" w:eastAsia="Times New Roman" w:hAnsiTheme="minorHAnsi" w:cstheme="minorHAnsi"/>
                <w:color w:val="000000"/>
                <w:sz w:val="16"/>
                <w:szCs w:val="16"/>
              </w:rPr>
            </w:pPr>
            <w:r w:rsidRPr="00E060E5">
              <w:rPr>
                <w:rFonts w:asciiTheme="minorHAnsi" w:eastAsia="Times New Roman" w:hAnsiTheme="minorHAnsi" w:cstheme="minorHAnsi"/>
                <w:color w:val="000000"/>
                <w:sz w:val="16"/>
                <w:szCs w:val="16"/>
              </w:rPr>
              <w:t>Zielona Góra</w:t>
            </w:r>
          </w:p>
        </w:tc>
        <w:tc>
          <w:tcPr>
            <w:tcW w:w="734" w:type="dxa"/>
            <w:tcBorders>
              <w:top w:val="nil"/>
              <w:left w:val="nil"/>
              <w:bottom w:val="single" w:sz="4" w:space="0" w:color="auto"/>
              <w:right w:val="single" w:sz="4" w:space="0" w:color="auto"/>
            </w:tcBorders>
            <w:shd w:val="clear" w:color="000000" w:fill="BEECF0"/>
            <w:noWrap/>
            <w:vAlign w:val="center"/>
            <w:hideMark/>
          </w:tcPr>
          <w:p w:rsidR="00BA05A3" w:rsidRPr="00E060E5" w:rsidRDefault="00BA05A3" w:rsidP="00DA7A22">
            <w:pPr>
              <w:spacing w:line="240" w:lineRule="auto"/>
              <w:rPr>
                <w:rFonts w:asciiTheme="minorHAnsi" w:eastAsia="Times New Roman" w:hAnsiTheme="minorHAnsi" w:cstheme="minorHAnsi"/>
                <w:color w:val="000000"/>
                <w:sz w:val="16"/>
                <w:szCs w:val="16"/>
              </w:rPr>
            </w:pPr>
            <w:r w:rsidRPr="00E060E5">
              <w:rPr>
                <w:rFonts w:asciiTheme="minorHAnsi" w:eastAsia="Times New Roman" w:hAnsiTheme="minorHAnsi" w:cstheme="minorHAnsi"/>
                <w:color w:val="000000"/>
                <w:sz w:val="16"/>
                <w:szCs w:val="16"/>
              </w:rPr>
              <w:t>4048,75</w:t>
            </w:r>
          </w:p>
        </w:tc>
        <w:tc>
          <w:tcPr>
            <w:tcW w:w="1369" w:type="dxa"/>
            <w:tcBorders>
              <w:top w:val="nil"/>
              <w:left w:val="nil"/>
              <w:bottom w:val="single" w:sz="4" w:space="0" w:color="auto"/>
              <w:right w:val="single" w:sz="4" w:space="0" w:color="auto"/>
            </w:tcBorders>
            <w:shd w:val="clear" w:color="000000" w:fill="BEECF0"/>
            <w:noWrap/>
            <w:vAlign w:val="center"/>
            <w:hideMark/>
          </w:tcPr>
          <w:p w:rsidR="00BA05A3" w:rsidRPr="00E060E5" w:rsidRDefault="00BA05A3" w:rsidP="00DA7A22">
            <w:pPr>
              <w:spacing w:line="240" w:lineRule="auto"/>
              <w:jc w:val="center"/>
              <w:rPr>
                <w:rFonts w:asciiTheme="minorHAnsi" w:eastAsia="Times New Roman" w:hAnsiTheme="minorHAnsi" w:cstheme="minorHAnsi"/>
                <w:color w:val="000000"/>
                <w:sz w:val="16"/>
                <w:szCs w:val="16"/>
              </w:rPr>
            </w:pPr>
            <w:r w:rsidRPr="00E060E5">
              <w:rPr>
                <w:rFonts w:asciiTheme="minorHAnsi" w:eastAsia="Times New Roman" w:hAnsiTheme="minorHAnsi" w:cstheme="minorHAnsi"/>
                <w:color w:val="000000"/>
                <w:sz w:val="16"/>
                <w:szCs w:val="16"/>
              </w:rPr>
              <w:t>6,07</w:t>
            </w:r>
          </w:p>
        </w:tc>
        <w:tc>
          <w:tcPr>
            <w:tcW w:w="608" w:type="dxa"/>
            <w:tcBorders>
              <w:top w:val="nil"/>
              <w:left w:val="nil"/>
              <w:bottom w:val="single" w:sz="4" w:space="0" w:color="auto"/>
              <w:right w:val="single" w:sz="4" w:space="0" w:color="auto"/>
            </w:tcBorders>
            <w:shd w:val="clear" w:color="000000" w:fill="BEECF0"/>
            <w:noWrap/>
            <w:vAlign w:val="center"/>
            <w:hideMark/>
          </w:tcPr>
          <w:p w:rsidR="00BA05A3" w:rsidRPr="00E060E5" w:rsidRDefault="00BA05A3" w:rsidP="00DA7A22">
            <w:pPr>
              <w:spacing w:line="240" w:lineRule="auto"/>
              <w:jc w:val="center"/>
              <w:rPr>
                <w:rFonts w:asciiTheme="minorHAnsi" w:eastAsia="Times New Roman" w:hAnsiTheme="minorHAnsi" w:cstheme="minorHAnsi"/>
                <w:color w:val="000000"/>
                <w:sz w:val="16"/>
                <w:szCs w:val="16"/>
              </w:rPr>
            </w:pPr>
            <w:r w:rsidRPr="00E060E5">
              <w:rPr>
                <w:rFonts w:asciiTheme="minorHAnsi" w:eastAsia="Times New Roman" w:hAnsiTheme="minorHAnsi" w:cstheme="minorHAnsi"/>
                <w:color w:val="000000"/>
                <w:sz w:val="16"/>
                <w:szCs w:val="16"/>
              </w:rPr>
              <w:t>121</w:t>
            </w:r>
          </w:p>
        </w:tc>
        <w:tc>
          <w:tcPr>
            <w:tcW w:w="608" w:type="dxa"/>
            <w:tcBorders>
              <w:top w:val="nil"/>
              <w:left w:val="nil"/>
              <w:bottom w:val="single" w:sz="4" w:space="0" w:color="auto"/>
              <w:right w:val="single" w:sz="4" w:space="0" w:color="auto"/>
            </w:tcBorders>
            <w:shd w:val="clear" w:color="000000" w:fill="BEECF0"/>
            <w:noWrap/>
            <w:vAlign w:val="center"/>
            <w:hideMark/>
          </w:tcPr>
          <w:p w:rsidR="00BA05A3" w:rsidRPr="00E060E5" w:rsidRDefault="00BA05A3" w:rsidP="00DA7A22">
            <w:pPr>
              <w:spacing w:line="240" w:lineRule="auto"/>
              <w:jc w:val="center"/>
              <w:rPr>
                <w:rFonts w:asciiTheme="minorHAnsi" w:eastAsia="Times New Roman" w:hAnsiTheme="minorHAnsi" w:cstheme="minorHAnsi"/>
                <w:color w:val="000000"/>
                <w:sz w:val="16"/>
                <w:szCs w:val="16"/>
              </w:rPr>
            </w:pPr>
            <w:r w:rsidRPr="00E060E5">
              <w:rPr>
                <w:rFonts w:asciiTheme="minorHAnsi" w:eastAsia="Times New Roman" w:hAnsiTheme="minorHAnsi" w:cstheme="minorHAnsi"/>
                <w:color w:val="000000"/>
                <w:sz w:val="16"/>
                <w:szCs w:val="16"/>
              </w:rPr>
              <w:t>213</w:t>
            </w:r>
          </w:p>
        </w:tc>
        <w:tc>
          <w:tcPr>
            <w:tcW w:w="608" w:type="dxa"/>
            <w:tcBorders>
              <w:top w:val="nil"/>
              <w:left w:val="nil"/>
              <w:bottom w:val="single" w:sz="4" w:space="0" w:color="auto"/>
              <w:right w:val="single" w:sz="4" w:space="0" w:color="auto"/>
            </w:tcBorders>
            <w:shd w:val="clear" w:color="000000" w:fill="BEECF0"/>
            <w:noWrap/>
            <w:vAlign w:val="center"/>
            <w:hideMark/>
          </w:tcPr>
          <w:p w:rsidR="00BA05A3" w:rsidRPr="00E060E5" w:rsidRDefault="00BA05A3" w:rsidP="00DA7A22">
            <w:pPr>
              <w:spacing w:line="240" w:lineRule="auto"/>
              <w:jc w:val="center"/>
              <w:rPr>
                <w:rFonts w:asciiTheme="minorHAnsi" w:eastAsia="Times New Roman" w:hAnsiTheme="minorHAnsi" w:cstheme="minorHAnsi"/>
                <w:color w:val="000000"/>
                <w:sz w:val="16"/>
                <w:szCs w:val="16"/>
              </w:rPr>
            </w:pPr>
            <w:r w:rsidRPr="00E060E5">
              <w:rPr>
                <w:rFonts w:asciiTheme="minorHAnsi" w:eastAsia="Times New Roman" w:hAnsiTheme="minorHAnsi" w:cstheme="minorHAnsi"/>
                <w:color w:val="000000"/>
                <w:sz w:val="16"/>
                <w:szCs w:val="16"/>
              </w:rPr>
              <w:t>304</w:t>
            </w:r>
          </w:p>
        </w:tc>
        <w:tc>
          <w:tcPr>
            <w:tcW w:w="608" w:type="dxa"/>
            <w:tcBorders>
              <w:top w:val="nil"/>
              <w:left w:val="nil"/>
              <w:bottom w:val="single" w:sz="4" w:space="0" w:color="auto"/>
              <w:right w:val="single" w:sz="4" w:space="0" w:color="auto"/>
            </w:tcBorders>
            <w:shd w:val="clear" w:color="000000" w:fill="BEECF0"/>
            <w:noWrap/>
            <w:vAlign w:val="center"/>
            <w:hideMark/>
          </w:tcPr>
          <w:p w:rsidR="00BA05A3" w:rsidRPr="00E060E5" w:rsidRDefault="00BA05A3" w:rsidP="00DA7A22">
            <w:pPr>
              <w:spacing w:line="240" w:lineRule="auto"/>
              <w:jc w:val="center"/>
              <w:rPr>
                <w:rFonts w:asciiTheme="minorHAnsi" w:eastAsia="Times New Roman" w:hAnsiTheme="minorHAnsi" w:cstheme="minorHAnsi"/>
                <w:color w:val="000000"/>
                <w:sz w:val="16"/>
                <w:szCs w:val="16"/>
              </w:rPr>
            </w:pPr>
            <w:r w:rsidRPr="00E060E5">
              <w:rPr>
                <w:rFonts w:asciiTheme="minorHAnsi" w:eastAsia="Times New Roman" w:hAnsiTheme="minorHAnsi" w:cstheme="minorHAnsi"/>
                <w:color w:val="000000"/>
                <w:sz w:val="16"/>
                <w:szCs w:val="16"/>
              </w:rPr>
              <w:t>395</w:t>
            </w:r>
          </w:p>
        </w:tc>
        <w:tc>
          <w:tcPr>
            <w:tcW w:w="608" w:type="dxa"/>
            <w:tcBorders>
              <w:top w:val="nil"/>
              <w:left w:val="nil"/>
              <w:bottom w:val="single" w:sz="4" w:space="0" w:color="auto"/>
              <w:right w:val="single" w:sz="4" w:space="0" w:color="auto"/>
            </w:tcBorders>
            <w:shd w:val="clear" w:color="000000" w:fill="BEECF0"/>
            <w:noWrap/>
            <w:vAlign w:val="center"/>
            <w:hideMark/>
          </w:tcPr>
          <w:p w:rsidR="00BA05A3" w:rsidRPr="00E060E5" w:rsidRDefault="00BA05A3" w:rsidP="00DA7A22">
            <w:pPr>
              <w:spacing w:line="240" w:lineRule="auto"/>
              <w:jc w:val="center"/>
              <w:rPr>
                <w:rFonts w:asciiTheme="minorHAnsi" w:eastAsia="Times New Roman" w:hAnsiTheme="minorHAnsi" w:cstheme="minorHAnsi"/>
                <w:color w:val="000000"/>
                <w:sz w:val="16"/>
                <w:szCs w:val="16"/>
              </w:rPr>
            </w:pPr>
            <w:r w:rsidRPr="00E060E5">
              <w:rPr>
                <w:rFonts w:asciiTheme="minorHAnsi" w:eastAsia="Times New Roman" w:hAnsiTheme="minorHAnsi" w:cstheme="minorHAnsi"/>
                <w:color w:val="000000"/>
                <w:sz w:val="16"/>
                <w:szCs w:val="16"/>
              </w:rPr>
              <w:t>486</w:t>
            </w:r>
          </w:p>
        </w:tc>
        <w:tc>
          <w:tcPr>
            <w:tcW w:w="611" w:type="dxa"/>
            <w:tcBorders>
              <w:top w:val="nil"/>
              <w:left w:val="nil"/>
              <w:bottom w:val="single" w:sz="4" w:space="0" w:color="auto"/>
              <w:right w:val="single" w:sz="4" w:space="0" w:color="auto"/>
            </w:tcBorders>
            <w:shd w:val="clear" w:color="000000" w:fill="BEECF0"/>
            <w:noWrap/>
            <w:vAlign w:val="center"/>
            <w:hideMark/>
          </w:tcPr>
          <w:p w:rsidR="00BA05A3" w:rsidRPr="00E060E5" w:rsidRDefault="00BA05A3" w:rsidP="00DA7A22">
            <w:pPr>
              <w:spacing w:line="240" w:lineRule="auto"/>
              <w:jc w:val="center"/>
              <w:rPr>
                <w:rFonts w:asciiTheme="minorHAnsi" w:eastAsia="Times New Roman" w:hAnsiTheme="minorHAnsi" w:cstheme="minorHAnsi"/>
                <w:color w:val="000000"/>
                <w:sz w:val="16"/>
                <w:szCs w:val="16"/>
              </w:rPr>
            </w:pPr>
            <w:r w:rsidRPr="00E060E5">
              <w:rPr>
                <w:rFonts w:asciiTheme="minorHAnsi" w:eastAsia="Times New Roman" w:hAnsiTheme="minorHAnsi" w:cstheme="minorHAnsi"/>
                <w:color w:val="000000"/>
                <w:sz w:val="16"/>
                <w:szCs w:val="16"/>
              </w:rPr>
              <w:t>577</w:t>
            </w:r>
          </w:p>
        </w:tc>
      </w:tr>
      <w:tr w:rsidR="00BA05A3" w:rsidRPr="00E060E5" w:rsidTr="00BA05A3">
        <w:trPr>
          <w:trHeight w:val="301"/>
        </w:trPr>
        <w:tc>
          <w:tcPr>
            <w:tcW w:w="3520" w:type="dxa"/>
            <w:tcBorders>
              <w:top w:val="nil"/>
              <w:left w:val="single" w:sz="4" w:space="0" w:color="auto"/>
              <w:bottom w:val="single" w:sz="4" w:space="0" w:color="auto"/>
              <w:right w:val="single" w:sz="4" w:space="0" w:color="auto"/>
            </w:tcBorders>
            <w:shd w:val="clear" w:color="auto" w:fill="auto"/>
            <w:noWrap/>
            <w:vAlign w:val="center"/>
            <w:hideMark/>
          </w:tcPr>
          <w:p w:rsidR="00BA05A3" w:rsidRPr="00E060E5" w:rsidRDefault="00BA05A3" w:rsidP="00DA7A22">
            <w:pPr>
              <w:spacing w:line="240" w:lineRule="auto"/>
              <w:rPr>
                <w:rFonts w:asciiTheme="minorHAnsi" w:eastAsia="Times New Roman" w:hAnsiTheme="minorHAnsi" w:cstheme="minorHAnsi"/>
                <w:color w:val="000000"/>
                <w:sz w:val="16"/>
                <w:szCs w:val="16"/>
              </w:rPr>
            </w:pPr>
            <w:r w:rsidRPr="00E060E5">
              <w:rPr>
                <w:rFonts w:asciiTheme="minorHAnsi" w:eastAsia="Times New Roman" w:hAnsiTheme="minorHAnsi" w:cstheme="minorHAnsi"/>
                <w:color w:val="000000"/>
                <w:sz w:val="16"/>
                <w:szCs w:val="16"/>
              </w:rPr>
              <w:t>gminy sąsiadujące</w:t>
            </w:r>
          </w:p>
        </w:tc>
        <w:tc>
          <w:tcPr>
            <w:tcW w:w="734" w:type="dxa"/>
            <w:tcBorders>
              <w:top w:val="nil"/>
              <w:left w:val="nil"/>
              <w:bottom w:val="single" w:sz="4" w:space="0" w:color="auto"/>
              <w:right w:val="single" w:sz="4" w:space="0" w:color="auto"/>
            </w:tcBorders>
            <w:shd w:val="clear" w:color="auto" w:fill="auto"/>
            <w:noWrap/>
            <w:vAlign w:val="center"/>
            <w:hideMark/>
          </w:tcPr>
          <w:p w:rsidR="00BA05A3" w:rsidRPr="00E060E5" w:rsidRDefault="00BA05A3" w:rsidP="00DA7A22">
            <w:pPr>
              <w:spacing w:line="240" w:lineRule="auto"/>
              <w:rPr>
                <w:rFonts w:asciiTheme="minorHAnsi" w:eastAsia="Times New Roman" w:hAnsiTheme="minorHAnsi" w:cstheme="minorHAnsi"/>
                <w:color w:val="000000"/>
                <w:sz w:val="16"/>
                <w:szCs w:val="16"/>
              </w:rPr>
            </w:pPr>
            <w:r w:rsidRPr="00E060E5">
              <w:rPr>
                <w:rFonts w:asciiTheme="minorHAnsi" w:eastAsia="Times New Roman" w:hAnsiTheme="minorHAnsi" w:cstheme="minorHAnsi"/>
                <w:color w:val="000000"/>
                <w:sz w:val="16"/>
                <w:szCs w:val="16"/>
              </w:rPr>
              <w:t>3873,13</w:t>
            </w:r>
          </w:p>
        </w:tc>
        <w:tc>
          <w:tcPr>
            <w:tcW w:w="1369" w:type="dxa"/>
            <w:tcBorders>
              <w:top w:val="nil"/>
              <w:left w:val="nil"/>
              <w:bottom w:val="single" w:sz="4" w:space="0" w:color="auto"/>
              <w:right w:val="single" w:sz="4" w:space="0" w:color="auto"/>
            </w:tcBorders>
            <w:shd w:val="clear" w:color="auto" w:fill="auto"/>
            <w:noWrap/>
            <w:vAlign w:val="center"/>
            <w:hideMark/>
          </w:tcPr>
          <w:p w:rsidR="00BA05A3" w:rsidRPr="00E060E5" w:rsidRDefault="00BA05A3" w:rsidP="00DA7A22">
            <w:pPr>
              <w:spacing w:line="240" w:lineRule="auto"/>
              <w:jc w:val="center"/>
              <w:rPr>
                <w:rFonts w:asciiTheme="minorHAnsi" w:eastAsia="Times New Roman" w:hAnsiTheme="minorHAnsi" w:cstheme="minorHAnsi"/>
                <w:color w:val="000000"/>
                <w:sz w:val="16"/>
                <w:szCs w:val="16"/>
              </w:rPr>
            </w:pPr>
            <w:r w:rsidRPr="00E060E5">
              <w:rPr>
                <w:rFonts w:asciiTheme="minorHAnsi" w:eastAsia="Times New Roman" w:hAnsiTheme="minorHAnsi" w:cstheme="minorHAnsi"/>
                <w:color w:val="000000"/>
                <w:sz w:val="16"/>
                <w:szCs w:val="16"/>
              </w:rPr>
              <w:t>5,81</w:t>
            </w:r>
          </w:p>
        </w:tc>
        <w:tc>
          <w:tcPr>
            <w:tcW w:w="608" w:type="dxa"/>
            <w:tcBorders>
              <w:top w:val="nil"/>
              <w:left w:val="nil"/>
              <w:bottom w:val="single" w:sz="4" w:space="0" w:color="auto"/>
              <w:right w:val="single" w:sz="4" w:space="0" w:color="auto"/>
            </w:tcBorders>
            <w:shd w:val="clear" w:color="auto" w:fill="auto"/>
            <w:noWrap/>
            <w:vAlign w:val="center"/>
            <w:hideMark/>
          </w:tcPr>
          <w:p w:rsidR="00BA05A3" w:rsidRPr="00E060E5" w:rsidRDefault="00BA05A3" w:rsidP="00DA7A22">
            <w:pPr>
              <w:spacing w:line="240" w:lineRule="auto"/>
              <w:jc w:val="center"/>
              <w:rPr>
                <w:rFonts w:asciiTheme="minorHAnsi" w:eastAsia="Times New Roman" w:hAnsiTheme="minorHAnsi" w:cstheme="minorHAnsi"/>
                <w:color w:val="000000"/>
                <w:sz w:val="16"/>
                <w:szCs w:val="16"/>
              </w:rPr>
            </w:pPr>
            <w:r w:rsidRPr="00E060E5">
              <w:rPr>
                <w:rFonts w:asciiTheme="minorHAnsi" w:eastAsia="Times New Roman" w:hAnsiTheme="minorHAnsi" w:cstheme="minorHAnsi"/>
                <w:color w:val="000000"/>
                <w:sz w:val="16"/>
                <w:szCs w:val="16"/>
              </w:rPr>
              <w:t>116</w:t>
            </w:r>
          </w:p>
        </w:tc>
        <w:tc>
          <w:tcPr>
            <w:tcW w:w="608" w:type="dxa"/>
            <w:tcBorders>
              <w:top w:val="nil"/>
              <w:left w:val="nil"/>
              <w:bottom w:val="single" w:sz="4" w:space="0" w:color="auto"/>
              <w:right w:val="single" w:sz="4" w:space="0" w:color="auto"/>
            </w:tcBorders>
            <w:shd w:val="clear" w:color="auto" w:fill="auto"/>
            <w:noWrap/>
            <w:vAlign w:val="center"/>
            <w:hideMark/>
          </w:tcPr>
          <w:p w:rsidR="00BA05A3" w:rsidRPr="00E060E5" w:rsidRDefault="00BA05A3" w:rsidP="00DA7A22">
            <w:pPr>
              <w:spacing w:line="240" w:lineRule="auto"/>
              <w:jc w:val="center"/>
              <w:rPr>
                <w:rFonts w:asciiTheme="minorHAnsi" w:eastAsia="Times New Roman" w:hAnsiTheme="minorHAnsi" w:cstheme="minorHAnsi"/>
                <w:color w:val="000000"/>
                <w:sz w:val="16"/>
                <w:szCs w:val="16"/>
              </w:rPr>
            </w:pPr>
            <w:r w:rsidRPr="00E060E5">
              <w:rPr>
                <w:rFonts w:asciiTheme="minorHAnsi" w:eastAsia="Times New Roman" w:hAnsiTheme="minorHAnsi" w:cstheme="minorHAnsi"/>
                <w:color w:val="000000"/>
                <w:sz w:val="16"/>
                <w:szCs w:val="16"/>
              </w:rPr>
              <w:t>203</w:t>
            </w:r>
          </w:p>
        </w:tc>
        <w:tc>
          <w:tcPr>
            <w:tcW w:w="608" w:type="dxa"/>
            <w:tcBorders>
              <w:top w:val="nil"/>
              <w:left w:val="nil"/>
              <w:bottom w:val="single" w:sz="4" w:space="0" w:color="auto"/>
              <w:right w:val="single" w:sz="4" w:space="0" w:color="auto"/>
            </w:tcBorders>
            <w:shd w:val="clear" w:color="auto" w:fill="auto"/>
            <w:noWrap/>
            <w:vAlign w:val="center"/>
            <w:hideMark/>
          </w:tcPr>
          <w:p w:rsidR="00BA05A3" w:rsidRPr="00E060E5" w:rsidRDefault="00BA05A3" w:rsidP="00DA7A22">
            <w:pPr>
              <w:spacing w:line="240" w:lineRule="auto"/>
              <w:jc w:val="center"/>
              <w:rPr>
                <w:rFonts w:asciiTheme="minorHAnsi" w:eastAsia="Times New Roman" w:hAnsiTheme="minorHAnsi" w:cstheme="minorHAnsi"/>
                <w:color w:val="000000"/>
                <w:sz w:val="16"/>
                <w:szCs w:val="16"/>
              </w:rPr>
            </w:pPr>
            <w:r w:rsidRPr="00E060E5">
              <w:rPr>
                <w:rFonts w:asciiTheme="minorHAnsi" w:eastAsia="Times New Roman" w:hAnsiTheme="minorHAnsi" w:cstheme="minorHAnsi"/>
                <w:color w:val="000000"/>
                <w:sz w:val="16"/>
                <w:szCs w:val="16"/>
              </w:rPr>
              <w:t>290</w:t>
            </w:r>
          </w:p>
        </w:tc>
        <w:tc>
          <w:tcPr>
            <w:tcW w:w="608" w:type="dxa"/>
            <w:tcBorders>
              <w:top w:val="nil"/>
              <w:left w:val="nil"/>
              <w:bottom w:val="single" w:sz="4" w:space="0" w:color="auto"/>
              <w:right w:val="single" w:sz="4" w:space="0" w:color="auto"/>
            </w:tcBorders>
            <w:shd w:val="clear" w:color="auto" w:fill="auto"/>
            <w:noWrap/>
            <w:vAlign w:val="center"/>
            <w:hideMark/>
          </w:tcPr>
          <w:p w:rsidR="00BA05A3" w:rsidRPr="00E060E5" w:rsidRDefault="00BA05A3" w:rsidP="00DA7A22">
            <w:pPr>
              <w:spacing w:line="240" w:lineRule="auto"/>
              <w:jc w:val="center"/>
              <w:rPr>
                <w:rFonts w:asciiTheme="minorHAnsi" w:eastAsia="Times New Roman" w:hAnsiTheme="minorHAnsi" w:cstheme="minorHAnsi"/>
                <w:color w:val="000000"/>
                <w:sz w:val="16"/>
                <w:szCs w:val="16"/>
              </w:rPr>
            </w:pPr>
            <w:r w:rsidRPr="00E060E5">
              <w:rPr>
                <w:rFonts w:asciiTheme="minorHAnsi" w:eastAsia="Times New Roman" w:hAnsiTheme="minorHAnsi" w:cstheme="minorHAnsi"/>
                <w:color w:val="000000"/>
                <w:sz w:val="16"/>
                <w:szCs w:val="16"/>
              </w:rPr>
              <w:t>378</w:t>
            </w:r>
          </w:p>
        </w:tc>
        <w:tc>
          <w:tcPr>
            <w:tcW w:w="608" w:type="dxa"/>
            <w:tcBorders>
              <w:top w:val="nil"/>
              <w:left w:val="nil"/>
              <w:bottom w:val="single" w:sz="4" w:space="0" w:color="auto"/>
              <w:right w:val="single" w:sz="4" w:space="0" w:color="auto"/>
            </w:tcBorders>
            <w:shd w:val="clear" w:color="auto" w:fill="auto"/>
            <w:noWrap/>
            <w:vAlign w:val="center"/>
            <w:hideMark/>
          </w:tcPr>
          <w:p w:rsidR="00BA05A3" w:rsidRPr="00E060E5" w:rsidRDefault="00BA05A3" w:rsidP="00DA7A22">
            <w:pPr>
              <w:spacing w:line="240" w:lineRule="auto"/>
              <w:jc w:val="center"/>
              <w:rPr>
                <w:rFonts w:asciiTheme="minorHAnsi" w:eastAsia="Times New Roman" w:hAnsiTheme="minorHAnsi" w:cstheme="minorHAnsi"/>
                <w:color w:val="000000"/>
                <w:sz w:val="16"/>
                <w:szCs w:val="16"/>
              </w:rPr>
            </w:pPr>
            <w:r w:rsidRPr="00E060E5">
              <w:rPr>
                <w:rFonts w:asciiTheme="minorHAnsi" w:eastAsia="Times New Roman" w:hAnsiTheme="minorHAnsi" w:cstheme="minorHAnsi"/>
                <w:color w:val="000000"/>
                <w:sz w:val="16"/>
                <w:szCs w:val="16"/>
              </w:rPr>
              <w:t>465</w:t>
            </w:r>
          </w:p>
        </w:tc>
        <w:tc>
          <w:tcPr>
            <w:tcW w:w="611" w:type="dxa"/>
            <w:tcBorders>
              <w:top w:val="nil"/>
              <w:left w:val="nil"/>
              <w:bottom w:val="single" w:sz="4" w:space="0" w:color="auto"/>
              <w:right w:val="single" w:sz="4" w:space="0" w:color="auto"/>
            </w:tcBorders>
            <w:shd w:val="clear" w:color="auto" w:fill="auto"/>
            <w:noWrap/>
            <w:vAlign w:val="center"/>
            <w:hideMark/>
          </w:tcPr>
          <w:p w:rsidR="00BA05A3" w:rsidRPr="00E060E5" w:rsidRDefault="00BA05A3" w:rsidP="00DA7A22">
            <w:pPr>
              <w:spacing w:line="240" w:lineRule="auto"/>
              <w:jc w:val="center"/>
              <w:rPr>
                <w:rFonts w:asciiTheme="minorHAnsi" w:eastAsia="Times New Roman" w:hAnsiTheme="minorHAnsi" w:cstheme="minorHAnsi"/>
                <w:color w:val="000000"/>
                <w:sz w:val="16"/>
                <w:szCs w:val="16"/>
              </w:rPr>
            </w:pPr>
            <w:r w:rsidRPr="00E060E5">
              <w:rPr>
                <w:rFonts w:asciiTheme="minorHAnsi" w:eastAsia="Times New Roman" w:hAnsiTheme="minorHAnsi" w:cstheme="minorHAnsi"/>
                <w:color w:val="000000"/>
                <w:sz w:val="16"/>
                <w:szCs w:val="16"/>
              </w:rPr>
              <w:t>552</w:t>
            </w:r>
          </w:p>
        </w:tc>
      </w:tr>
      <w:tr w:rsidR="00BA05A3" w:rsidRPr="00E060E5" w:rsidTr="00BA05A3">
        <w:trPr>
          <w:trHeight w:val="301"/>
        </w:trPr>
        <w:tc>
          <w:tcPr>
            <w:tcW w:w="3520" w:type="dxa"/>
            <w:tcBorders>
              <w:top w:val="nil"/>
              <w:left w:val="single" w:sz="4" w:space="0" w:color="auto"/>
              <w:bottom w:val="single" w:sz="4" w:space="0" w:color="auto"/>
              <w:right w:val="single" w:sz="4" w:space="0" w:color="auto"/>
            </w:tcBorders>
            <w:shd w:val="clear" w:color="000000" w:fill="BEECF0"/>
            <w:noWrap/>
            <w:vAlign w:val="center"/>
            <w:hideMark/>
          </w:tcPr>
          <w:p w:rsidR="00BA05A3" w:rsidRPr="00E060E5" w:rsidRDefault="00BA05A3" w:rsidP="00DA7A22">
            <w:pPr>
              <w:spacing w:line="240" w:lineRule="auto"/>
              <w:rPr>
                <w:rFonts w:asciiTheme="minorHAnsi" w:eastAsia="Times New Roman" w:hAnsiTheme="minorHAnsi" w:cstheme="minorHAnsi"/>
                <w:color w:val="000000"/>
                <w:sz w:val="16"/>
                <w:szCs w:val="16"/>
              </w:rPr>
            </w:pPr>
            <w:r w:rsidRPr="00E060E5">
              <w:rPr>
                <w:rFonts w:asciiTheme="minorHAnsi" w:eastAsia="Times New Roman" w:hAnsiTheme="minorHAnsi" w:cstheme="minorHAnsi"/>
                <w:color w:val="000000"/>
                <w:sz w:val="16"/>
                <w:szCs w:val="16"/>
              </w:rPr>
              <w:t>województwo lubuskie</w:t>
            </w:r>
          </w:p>
        </w:tc>
        <w:tc>
          <w:tcPr>
            <w:tcW w:w="734" w:type="dxa"/>
            <w:tcBorders>
              <w:top w:val="nil"/>
              <w:left w:val="nil"/>
              <w:bottom w:val="single" w:sz="4" w:space="0" w:color="auto"/>
              <w:right w:val="single" w:sz="4" w:space="0" w:color="auto"/>
            </w:tcBorders>
            <w:shd w:val="clear" w:color="000000" w:fill="BEECF0"/>
            <w:noWrap/>
            <w:vAlign w:val="center"/>
            <w:hideMark/>
          </w:tcPr>
          <w:p w:rsidR="00BA05A3" w:rsidRPr="00E060E5" w:rsidRDefault="00BA05A3" w:rsidP="00DA7A22">
            <w:pPr>
              <w:spacing w:line="240" w:lineRule="auto"/>
              <w:rPr>
                <w:rFonts w:asciiTheme="minorHAnsi" w:eastAsia="Times New Roman" w:hAnsiTheme="minorHAnsi" w:cstheme="minorHAnsi"/>
                <w:color w:val="000000"/>
                <w:sz w:val="16"/>
                <w:szCs w:val="16"/>
              </w:rPr>
            </w:pPr>
            <w:r w:rsidRPr="00E060E5">
              <w:rPr>
                <w:rFonts w:asciiTheme="minorHAnsi" w:eastAsia="Times New Roman" w:hAnsiTheme="minorHAnsi" w:cstheme="minorHAnsi"/>
                <w:color w:val="000000"/>
                <w:sz w:val="16"/>
                <w:szCs w:val="16"/>
              </w:rPr>
              <w:t>3697,50</w:t>
            </w:r>
          </w:p>
        </w:tc>
        <w:tc>
          <w:tcPr>
            <w:tcW w:w="1369" w:type="dxa"/>
            <w:tcBorders>
              <w:top w:val="nil"/>
              <w:left w:val="nil"/>
              <w:bottom w:val="single" w:sz="4" w:space="0" w:color="auto"/>
              <w:right w:val="single" w:sz="4" w:space="0" w:color="auto"/>
            </w:tcBorders>
            <w:shd w:val="clear" w:color="000000" w:fill="BEECF0"/>
            <w:noWrap/>
            <w:vAlign w:val="center"/>
            <w:hideMark/>
          </w:tcPr>
          <w:p w:rsidR="00BA05A3" w:rsidRPr="00E060E5" w:rsidRDefault="00BA05A3" w:rsidP="00DA7A22">
            <w:pPr>
              <w:spacing w:line="240" w:lineRule="auto"/>
              <w:jc w:val="center"/>
              <w:rPr>
                <w:rFonts w:asciiTheme="minorHAnsi" w:eastAsia="Times New Roman" w:hAnsiTheme="minorHAnsi" w:cstheme="minorHAnsi"/>
                <w:color w:val="000000"/>
                <w:sz w:val="16"/>
                <w:szCs w:val="16"/>
              </w:rPr>
            </w:pPr>
            <w:r w:rsidRPr="00E060E5">
              <w:rPr>
                <w:rFonts w:asciiTheme="minorHAnsi" w:eastAsia="Times New Roman" w:hAnsiTheme="minorHAnsi" w:cstheme="minorHAnsi"/>
                <w:color w:val="000000"/>
                <w:sz w:val="16"/>
                <w:szCs w:val="16"/>
              </w:rPr>
              <w:t>5,55</w:t>
            </w:r>
          </w:p>
        </w:tc>
        <w:tc>
          <w:tcPr>
            <w:tcW w:w="608" w:type="dxa"/>
            <w:tcBorders>
              <w:top w:val="nil"/>
              <w:left w:val="nil"/>
              <w:bottom w:val="single" w:sz="4" w:space="0" w:color="auto"/>
              <w:right w:val="single" w:sz="4" w:space="0" w:color="auto"/>
            </w:tcBorders>
            <w:shd w:val="clear" w:color="000000" w:fill="BEECF0"/>
            <w:noWrap/>
            <w:vAlign w:val="center"/>
            <w:hideMark/>
          </w:tcPr>
          <w:p w:rsidR="00BA05A3" w:rsidRPr="00E060E5" w:rsidRDefault="00BA05A3" w:rsidP="00DA7A22">
            <w:pPr>
              <w:spacing w:line="240" w:lineRule="auto"/>
              <w:jc w:val="center"/>
              <w:rPr>
                <w:rFonts w:asciiTheme="minorHAnsi" w:eastAsia="Times New Roman" w:hAnsiTheme="minorHAnsi" w:cstheme="minorHAnsi"/>
                <w:color w:val="000000"/>
                <w:sz w:val="16"/>
                <w:szCs w:val="16"/>
              </w:rPr>
            </w:pPr>
            <w:r w:rsidRPr="00E060E5">
              <w:rPr>
                <w:rFonts w:asciiTheme="minorHAnsi" w:eastAsia="Times New Roman" w:hAnsiTheme="minorHAnsi" w:cstheme="minorHAnsi"/>
                <w:color w:val="000000"/>
                <w:sz w:val="16"/>
                <w:szCs w:val="16"/>
              </w:rPr>
              <w:t>111</w:t>
            </w:r>
          </w:p>
        </w:tc>
        <w:tc>
          <w:tcPr>
            <w:tcW w:w="608" w:type="dxa"/>
            <w:tcBorders>
              <w:top w:val="nil"/>
              <w:left w:val="nil"/>
              <w:bottom w:val="single" w:sz="4" w:space="0" w:color="auto"/>
              <w:right w:val="single" w:sz="4" w:space="0" w:color="auto"/>
            </w:tcBorders>
            <w:shd w:val="clear" w:color="000000" w:fill="BEECF0"/>
            <w:noWrap/>
            <w:vAlign w:val="center"/>
            <w:hideMark/>
          </w:tcPr>
          <w:p w:rsidR="00BA05A3" w:rsidRPr="00E060E5" w:rsidRDefault="00BA05A3" w:rsidP="00DA7A22">
            <w:pPr>
              <w:spacing w:line="240" w:lineRule="auto"/>
              <w:jc w:val="center"/>
              <w:rPr>
                <w:rFonts w:asciiTheme="minorHAnsi" w:eastAsia="Times New Roman" w:hAnsiTheme="minorHAnsi" w:cstheme="minorHAnsi"/>
                <w:color w:val="000000"/>
                <w:sz w:val="16"/>
                <w:szCs w:val="16"/>
              </w:rPr>
            </w:pPr>
            <w:r w:rsidRPr="00E060E5">
              <w:rPr>
                <w:rFonts w:asciiTheme="minorHAnsi" w:eastAsia="Times New Roman" w:hAnsiTheme="minorHAnsi" w:cstheme="minorHAnsi"/>
                <w:color w:val="000000"/>
                <w:sz w:val="16"/>
                <w:szCs w:val="16"/>
              </w:rPr>
              <w:t>194</w:t>
            </w:r>
          </w:p>
        </w:tc>
        <w:tc>
          <w:tcPr>
            <w:tcW w:w="608" w:type="dxa"/>
            <w:tcBorders>
              <w:top w:val="nil"/>
              <w:left w:val="nil"/>
              <w:bottom w:val="single" w:sz="4" w:space="0" w:color="auto"/>
              <w:right w:val="single" w:sz="4" w:space="0" w:color="auto"/>
            </w:tcBorders>
            <w:shd w:val="clear" w:color="000000" w:fill="BEECF0"/>
            <w:noWrap/>
            <w:vAlign w:val="center"/>
            <w:hideMark/>
          </w:tcPr>
          <w:p w:rsidR="00BA05A3" w:rsidRPr="00E060E5" w:rsidRDefault="00BA05A3" w:rsidP="00DA7A22">
            <w:pPr>
              <w:spacing w:line="240" w:lineRule="auto"/>
              <w:jc w:val="center"/>
              <w:rPr>
                <w:rFonts w:asciiTheme="minorHAnsi" w:eastAsia="Times New Roman" w:hAnsiTheme="minorHAnsi" w:cstheme="minorHAnsi"/>
                <w:color w:val="000000"/>
                <w:sz w:val="16"/>
                <w:szCs w:val="16"/>
              </w:rPr>
            </w:pPr>
            <w:r w:rsidRPr="00E060E5">
              <w:rPr>
                <w:rFonts w:asciiTheme="minorHAnsi" w:eastAsia="Times New Roman" w:hAnsiTheme="minorHAnsi" w:cstheme="minorHAnsi"/>
                <w:color w:val="000000"/>
                <w:sz w:val="16"/>
                <w:szCs w:val="16"/>
              </w:rPr>
              <w:t>277</w:t>
            </w:r>
          </w:p>
        </w:tc>
        <w:tc>
          <w:tcPr>
            <w:tcW w:w="608" w:type="dxa"/>
            <w:tcBorders>
              <w:top w:val="nil"/>
              <w:left w:val="nil"/>
              <w:bottom w:val="single" w:sz="4" w:space="0" w:color="auto"/>
              <w:right w:val="single" w:sz="4" w:space="0" w:color="auto"/>
            </w:tcBorders>
            <w:shd w:val="clear" w:color="000000" w:fill="BEECF0"/>
            <w:noWrap/>
            <w:vAlign w:val="center"/>
            <w:hideMark/>
          </w:tcPr>
          <w:p w:rsidR="00BA05A3" w:rsidRPr="00E060E5" w:rsidRDefault="00BA05A3" w:rsidP="00DA7A22">
            <w:pPr>
              <w:spacing w:line="240" w:lineRule="auto"/>
              <w:jc w:val="center"/>
              <w:rPr>
                <w:rFonts w:asciiTheme="minorHAnsi" w:eastAsia="Times New Roman" w:hAnsiTheme="minorHAnsi" w:cstheme="minorHAnsi"/>
                <w:color w:val="000000"/>
                <w:sz w:val="16"/>
                <w:szCs w:val="16"/>
              </w:rPr>
            </w:pPr>
            <w:r w:rsidRPr="00E060E5">
              <w:rPr>
                <w:rFonts w:asciiTheme="minorHAnsi" w:eastAsia="Times New Roman" w:hAnsiTheme="minorHAnsi" w:cstheme="minorHAnsi"/>
                <w:color w:val="000000"/>
                <w:sz w:val="16"/>
                <w:szCs w:val="16"/>
              </w:rPr>
              <w:t>361</w:t>
            </w:r>
          </w:p>
        </w:tc>
        <w:tc>
          <w:tcPr>
            <w:tcW w:w="608" w:type="dxa"/>
            <w:tcBorders>
              <w:top w:val="nil"/>
              <w:left w:val="nil"/>
              <w:bottom w:val="single" w:sz="4" w:space="0" w:color="auto"/>
              <w:right w:val="single" w:sz="4" w:space="0" w:color="auto"/>
            </w:tcBorders>
            <w:shd w:val="clear" w:color="000000" w:fill="BEECF0"/>
            <w:noWrap/>
            <w:vAlign w:val="center"/>
            <w:hideMark/>
          </w:tcPr>
          <w:p w:rsidR="00BA05A3" w:rsidRPr="00E060E5" w:rsidRDefault="00BA05A3" w:rsidP="00DA7A22">
            <w:pPr>
              <w:spacing w:line="240" w:lineRule="auto"/>
              <w:jc w:val="center"/>
              <w:rPr>
                <w:rFonts w:asciiTheme="minorHAnsi" w:eastAsia="Times New Roman" w:hAnsiTheme="minorHAnsi" w:cstheme="minorHAnsi"/>
                <w:color w:val="000000"/>
                <w:sz w:val="16"/>
                <w:szCs w:val="16"/>
              </w:rPr>
            </w:pPr>
            <w:r w:rsidRPr="00E060E5">
              <w:rPr>
                <w:rFonts w:asciiTheme="minorHAnsi" w:eastAsia="Times New Roman" w:hAnsiTheme="minorHAnsi" w:cstheme="minorHAnsi"/>
                <w:color w:val="000000"/>
                <w:sz w:val="16"/>
                <w:szCs w:val="16"/>
              </w:rPr>
              <w:t>444</w:t>
            </w:r>
          </w:p>
        </w:tc>
        <w:tc>
          <w:tcPr>
            <w:tcW w:w="611" w:type="dxa"/>
            <w:tcBorders>
              <w:top w:val="nil"/>
              <w:left w:val="nil"/>
              <w:bottom w:val="single" w:sz="4" w:space="0" w:color="auto"/>
              <w:right w:val="single" w:sz="4" w:space="0" w:color="auto"/>
            </w:tcBorders>
            <w:shd w:val="clear" w:color="000000" w:fill="BEECF0"/>
            <w:noWrap/>
            <w:vAlign w:val="center"/>
            <w:hideMark/>
          </w:tcPr>
          <w:p w:rsidR="00BA05A3" w:rsidRPr="00E060E5" w:rsidRDefault="00BA05A3" w:rsidP="00DA7A22">
            <w:pPr>
              <w:spacing w:line="240" w:lineRule="auto"/>
              <w:jc w:val="center"/>
              <w:rPr>
                <w:rFonts w:asciiTheme="minorHAnsi" w:eastAsia="Times New Roman" w:hAnsiTheme="minorHAnsi" w:cstheme="minorHAnsi"/>
                <w:color w:val="000000"/>
                <w:sz w:val="16"/>
                <w:szCs w:val="16"/>
              </w:rPr>
            </w:pPr>
            <w:r w:rsidRPr="00E060E5">
              <w:rPr>
                <w:rFonts w:asciiTheme="minorHAnsi" w:eastAsia="Times New Roman" w:hAnsiTheme="minorHAnsi" w:cstheme="minorHAnsi"/>
                <w:color w:val="000000"/>
                <w:sz w:val="16"/>
                <w:szCs w:val="16"/>
              </w:rPr>
              <w:t>527</w:t>
            </w:r>
          </w:p>
        </w:tc>
      </w:tr>
      <w:tr w:rsidR="00BA05A3" w:rsidRPr="00E060E5" w:rsidTr="00BA05A3">
        <w:trPr>
          <w:trHeight w:val="301"/>
        </w:trPr>
        <w:tc>
          <w:tcPr>
            <w:tcW w:w="3520" w:type="dxa"/>
            <w:tcBorders>
              <w:top w:val="nil"/>
              <w:left w:val="single" w:sz="4" w:space="0" w:color="auto"/>
              <w:bottom w:val="single" w:sz="4" w:space="0" w:color="auto"/>
              <w:right w:val="single" w:sz="4" w:space="0" w:color="auto"/>
            </w:tcBorders>
            <w:shd w:val="clear" w:color="auto" w:fill="auto"/>
            <w:noWrap/>
            <w:vAlign w:val="center"/>
            <w:hideMark/>
          </w:tcPr>
          <w:p w:rsidR="00BA05A3" w:rsidRPr="00E060E5" w:rsidRDefault="00BA05A3" w:rsidP="00DA7A22">
            <w:pPr>
              <w:spacing w:line="240" w:lineRule="auto"/>
              <w:rPr>
                <w:rFonts w:asciiTheme="minorHAnsi" w:eastAsia="Times New Roman" w:hAnsiTheme="minorHAnsi" w:cstheme="minorHAnsi"/>
                <w:color w:val="000000"/>
                <w:sz w:val="16"/>
                <w:szCs w:val="16"/>
              </w:rPr>
            </w:pPr>
            <w:r w:rsidRPr="00E060E5">
              <w:rPr>
                <w:rFonts w:asciiTheme="minorHAnsi" w:eastAsia="Times New Roman" w:hAnsiTheme="minorHAnsi" w:cstheme="minorHAnsi"/>
                <w:color w:val="000000"/>
                <w:sz w:val="16"/>
                <w:szCs w:val="16"/>
              </w:rPr>
              <w:t>Łódź</w:t>
            </w:r>
          </w:p>
        </w:tc>
        <w:tc>
          <w:tcPr>
            <w:tcW w:w="734" w:type="dxa"/>
            <w:tcBorders>
              <w:top w:val="nil"/>
              <w:left w:val="nil"/>
              <w:bottom w:val="single" w:sz="4" w:space="0" w:color="auto"/>
              <w:right w:val="single" w:sz="4" w:space="0" w:color="auto"/>
            </w:tcBorders>
            <w:shd w:val="clear" w:color="auto" w:fill="auto"/>
            <w:noWrap/>
            <w:vAlign w:val="center"/>
            <w:hideMark/>
          </w:tcPr>
          <w:p w:rsidR="00BA05A3" w:rsidRPr="00E060E5" w:rsidRDefault="00BA05A3" w:rsidP="00DA7A22">
            <w:pPr>
              <w:spacing w:line="240" w:lineRule="auto"/>
              <w:rPr>
                <w:rFonts w:asciiTheme="minorHAnsi" w:eastAsia="Times New Roman" w:hAnsiTheme="minorHAnsi" w:cstheme="minorHAnsi"/>
                <w:color w:val="000000"/>
                <w:sz w:val="16"/>
                <w:szCs w:val="16"/>
              </w:rPr>
            </w:pPr>
            <w:r w:rsidRPr="00E060E5">
              <w:rPr>
                <w:rFonts w:asciiTheme="minorHAnsi" w:eastAsia="Times New Roman" w:hAnsiTheme="minorHAnsi" w:cstheme="minorHAnsi"/>
                <w:color w:val="000000"/>
                <w:sz w:val="16"/>
                <w:szCs w:val="16"/>
              </w:rPr>
              <w:t>3845,00</w:t>
            </w:r>
          </w:p>
        </w:tc>
        <w:tc>
          <w:tcPr>
            <w:tcW w:w="1369" w:type="dxa"/>
            <w:tcBorders>
              <w:top w:val="nil"/>
              <w:left w:val="nil"/>
              <w:bottom w:val="single" w:sz="4" w:space="0" w:color="auto"/>
              <w:right w:val="single" w:sz="4" w:space="0" w:color="auto"/>
            </w:tcBorders>
            <w:shd w:val="clear" w:color="auto" w:fill="auto"/>
            <w:noWrap/>
            <w:vAlign w:val="center"/>
            <w:hideMark/>
          </w:tcPr>
          <w:p w:rsidR="00BA05A3" w:rsidRPr="00E060E5" w:rsidRDefault="00BA05A3" w:rsidP="00DA7A22">
            <w:pPr>
              <w:spacing w:line="240" w:lineRule="auto"/>
              <w:jc w:val="center"/>
              <w:rPr>
                <w:rFonts w:asciiTheme="minorHAnsi" w:eastAsia="Times New Roman" w:hAnsiTheme="minorHAnsi" w:cstheme="minorHAnsi"/>
                <w:color w:val="000000"/>
                <w:sz w:val="16"/>
                <w:szCs w:val="16"/>
              </w:rPr>
            </w:pPr>
            <w:r w:rsidRPr="00E060E5">
              <w:rPr>
                <w:rFonts w:asciiTheme="minorHAnsi" w:eastAsia="Times New Roman" w:hAnsiTheme="minorHAnsi" w:cstheme="minorHAnsi"/>
                <w:color w:val="000000"/>
                <w:sz w:val="16"/>
                <w:szCs w:val="16"/>
              </w:rPr>
              <w:t>5,77</w:t>
            </w:r>
          </w:p>
        </w:tc>
        <w:tc>
          <w:tcPr>
            <w:tcW w:w="608" w:type="dxa"/>
            <w:tcBorders>
              <w:top w:val="nil"/>
              <w:left w:val="nil"/>
              <w:bottom w:val="single" w:sz="4" w:space="0" w:color="auto"/>
              <w:right w:val="single" w:sz="4" w:space="0" w:color="auto"/>
            </w:tcBorders>
            <w:shd w:val="clear" w:color="auto" w:fill="auto"/>
            <w:noWrap/>
            <w:vAlign w:val="center"/>
            <w:hideMark/>
          </w:tcPr>
          <w:p w:rsidR="00BA05A3" w:rsidRPr="00E060E5" w:rsidRDefault="00BA05A3" w:rsidP="00DA7A22">
            <w:pPr>
              <w:spacing w:line="240" w:lineRule="auto"/>
              <w:jc w:val="center"/>
              <w:rPr>
                <w:rFonts w:asciiTheme="minorHAnsi" w:eastAsia="Times New Roman" w:hAnsiTheme="minorHAnsi" w:cstheme="minorHAnsi"/>
                <w:color w:val="000000"/>
                <w:sz w:val="16"/>
                <w:szCs w:val="16"/>
              </w:rPr>
            </w:pPr>
            <w:r w:rsidRPr="00E060E5">
              <w:rPr>
                <w:rFonts w:asciiTheme="minorHAnsi" w:eastAsia="Times New Roman" w:hAnsiTheme="minorHAnsi" w:cstheme="minorHAnsi"/>
                <w:color w:val="000000"/>
                <w:sz w:val="16"/>
                <w:szCs w:val="16"/>
              </w:rPr>
              <w:t>115</w:t>
            </w:r>
          </w:p>
        </w:tc>
        <w:tc>
          <w:tcPr>
            <w:tcW w:w="608" w:type="dxa"/>
            <w:tcBorders>
              <w:top w:val="nil"/>
              <w:left w:val="nil"/>
              <w:bottom w:val="single" w:sz="4" w:space="0" w:color="auto"/>
              <w:right w:val="single" w:sz="4" w:space="0" w:color="auto"/>
            </w:tcBorders>
            <w:shd w:val="clear" w:color="auto" w:fill="auto"/>
            <w:noWrap/>
            <w:vAlign w:val="center"/>
            <w:hideMark/>
          </w:tcPr>
          <w:p w:rsidR="00BA05A3" w:rsidRPr="00E060E5" w:rsidRDefault="00BA05A3" w:rsidP="00DA7A22">
            <w:pPr>
              <w:spacing w:line="240" w:lineRule="auto"/>
              <w:jc w:val="center"/>
              <w:rPr>
                <w:rFonts w:asciiTheme="minorHAnsi" w:eastAsia="Times New Roman" w:hAnsiTheme="minorHAnsi" w:cstheme="minorHAnsi"/>
                <w:color w:val="000000"/>
                <w:sz w:val="16"/>
                <w:szCs w:val="16"/>
              </w:rPr>
            </w:pPr>
            <w:r w:rsidRPr="00E060E5">
              <w:rPr>
                <w:rFonts w:asciiTheme="minorHAnsi" w:eastAsia="Times New Roman" w:hAnsiTheme="minorHAnsi" w:cstheme="minorHAnsi"/>
                <w:color w:val="000000"/>
                <w:sz w:val="16"/>
                <w:szCs w:val="16"/>
              </w:rPr>
              <w:t>202</w:t>
            </w:r>
          </w:p>
        </w:tc>
        <w:tc>
          <w:tcPr>
            <w:tcW w:w="608" w:type="dxa"/>
            <w:tcBorders>
              <w:top w:val="nil"/>
              <w:left w:val="nil"/>
              <w:bottom w:val="single" w:sz="4" w:space="0" w:color="auto"/>
              <w:right w:val="single" w:sz="4" w:space="0" w:color="auto"/>
            </w:tcBorders>
            <w:shd w:val="clear" w:color="auto" w:fill="auto"/>
            <w:noWrap/>
            <w:vAlign w:val="center"/>
            <w:hideMark/>
          </w:tcPr>
          <w:p w:rsidR="00BA05A3" w:rsidRPr="00E060E5" w:rsidRDefault="00BA05A3" w:rsidP="00DA7A22">
            <w:pPr>
              <w:spacing w:line="240" w:lineRule="auto"/>
              <w:jc w:val="center"/>
              <w:rPr>
                <w:rFonts w:asciiTheme="minorHAnsi" w:eastAsia="Times New Roman" w:hAnsiTheme="minorHAnsi" w:cstheme="minorHAnsi"/>
                <w:color w:val="000000"/>
                <w:sz w:val="16"/>
                <w:szCs w:val="16"/>
              </w:rPr>
            </w:pPr>
            <w:r w:rsidRPr="00E060E5">
              <w:rPr>
                <w:rFonts w:asciiTheme="minorHAnsi" w:eastAsia="Times New Roman" w:hAnsiTheme="minorHAnsi" w:cstheme="minorHAnsi"/>
                <w:color w:val="000000"/>
                <w:sz w:val="16"/>
                <w:szCs w:val="16"/>
              </w:rPr>
              <w:t>288</w:t>
            </w:r>
          </w:p>
        </w:tc>
        <w:tc>
          <w:tcPr>
            <w:tcW w:w="608" w:type="dxa"/>
            <w:tcBorders>
              <w:top w:val="nil"/>
              <w:left w:val="nil"/>
              <w:bottom w:val="single" w:sz="4" w:space="0" w:color="auto"/>
              <w:right w:val="single" w:sz="4" w:space="0" w:color="auto"/>
            </w:tcBorders>
            <w:shd w:val="clear" w:color="auto" w:fill="auto"/>
            <w:noWrap/>
            <w:vAlign w:val="center"/>
            <w:hideMark/>
          </w:tcPr>
          <w:p w:rsidR="00BA05A3" w:rsidRPr="00E060E5" w:rsidRDefault="00BA05A3" w:rsidP="00DA7A22">
            <w:pPr>
              <w:spacing w:line="240" w:lineRule="auto"/>
              <w:jc w:val="center"/>
              <w:rPr>
                <w:rFonts w:asciiTheme="minorHAnsi" w:eastAsia="Times New Roman" w:hAnsiTheme="minorHAnsi" w:cstheme="minorHAnsi"/>
                <w:color w:val="000000"/>
                <w:sz w:val="16"/>
                <w:szCs w:val="16"/>
              </w:rPr>
            </w:pPr>
            <w:r w:rsidRPr="00E060E5">
              <w:rPr>
                <w:rFonts w:asciiTheme="minorHAnsi" w:eastAsia="Times New Roman" w:hAnsiTheme="minorHAnsi" w:cstheme="minorHAnsi"/>
                <w:color w:val="000000"/>
                <w:sz w:val="16"/>
                <w:szCs w:val="16"/>
              </w:rPr>
              <w:t>375</w:t>
            </w:r>
          </w:p>
        </w:tc>
        <w:tc>
          <w:tcPr>
            <w:tcW w:w="608" w:type="dxa"/>
            <w:tcBorders>
              <w:top w:val="nil"/>
              <w:left w:val="nil"/>
              <w:bottom w:val="single" w:sz="4" w:space="0" w:color="auto"/>
              <w:right w:val="single" w:sz="4" w:space="0" w:color="auto"/>
            </w:tcBorders>
            <w:shd w:val="clear" w:color="auto" w:fill="auto"/>
            <w:noWrap/>
            <w:vAlign w:val="center"/>
            <w:hideMark/>
          </w:tcPr>
          <w:p w:rsidR="00BA05A3" w:rsidRPr="00E060E5" w:rsidRDefault="00BA05A3" w:rsidP="00DA7A22">
            <w:pPr>
              <w:spacing w:line="240" w:lineRule="auto"/>
              <w:jc w:val="center"/>
              <w:rPr>
                <w:rFonts w:asciiTheme="minorHAnsi" w:eastAsia="Times New Roman" w:hAnsiTheme="minorHAnsi" w:cstheme="minorHAnsi"/>
                <w:color w:val="000000"/>
                <w:sz w:val="16"/>
                <w:szCs w:val="16"/>
              </w:rPr>
            </w:pPr>
            <w:r w:rsidRPr="00E060E5">
              <w:rPr>
                <w:rFonts w:asciiTheme="minorHAnsi" w:eastAsia="Times New Roman" w:hAnsiTheme="minorHAnsi" w:cstheme="minorHAnsi"/>
                <w:color w:val="000000"/>
                <w:sz w:val="16"/>
                <w:szCs w:val="16"/>
              </w:rPr>
              <w:t>461</w:t>
            </w:r>
          </w:p>
        </w:tc>
        <w:tc>
          <w:tcPr>
            <w:tcW w:w="611" w:type="dxa"/>
            <w:tcBorders>
              <w:top w:val="nil"/>
              <w:left w:val="nil"/>
              <w:bottom w:val="single" w:sz="4" w:space="0" w:color="auto"/>
              <w:right w:val="single" w:sz="4" w:space="0" w:color="auto"/>
            </w:tcBorders>
            <w:shd w:val="clear" w:color="auto" w:fill="auto"/>
            <w:noWrap/>
            <w:vAlign w:val="center"/>
            <w:hideMark/>
          </w:tcPr>
          <w:p w:rsidR="00BA05A3" w:rsidRPr="00E060E5" w:rsidRDefault="00BA05A3" w:rsidP="00DA7A22">
            <w:pPr>
              <w:spacing w:line="240" w:lineRule="auto"/>
              <w:jc w:val="center"/>
              <w:rPr>
                <w:rFonts w:asciiTheme="minorHAnsi" w:eastAsia="Times New Roman" w:hAnsiTheme="minorHAnsi" w:cstheme="minorHAnsi"/>
                <w:color w:val="000000"/>
                <w:sz w:val="16"/>
                <w:szCs w:val="16"/>
              </w:rPr>
            </w:pPr>
            <w:r w:rsidRPr="00E060E5">
              <w:rPr>
                <w:rFonts w:asciiTheme="minorHAnsi" w:eastAsia="Times New Roman" w:hAnsiTheme="minorHAnsi" w:cstheme="minorHAnsi"/>
                <w:color w:val="000000"/>
                <w:sz w:val="16"/>
                <w:szCs w:val="16"/>
              </w:rPr>
              <w:t>548</w:t>
            </w:r>
          </w:p>
        </w:tc>
      </w:tr>
      <w:tr w:rsidR="00BA05A3" w:rsidRPr="00E060E5" w:rsidTr="00BA05A3">
        <w:trPr>
          <w:trHeight w:val="301"/>
        </w:trPr>
        <w:tc>
          <w:tcPr>
            <w:tcW w:w="3520" w:type="dxa"/>
            <w:tcBorders>
              <w:top w:val="nil"/>
              <w:left w:val="single" w:sz="4" w:space="0" w:color="auto"/>
              <w:bottom w:val="single" w:sz="4" w:space="0" w:color="auto"/>
              <w:right w:val="single" w:sz="4" w:space="0" w:color="auto"/>
            </w:tcBorders>
            <w:shd w:val="clear" w:color="000000" w:fill="BEECF0"/>
            <w:noWrap/>
            <w:vAlign w:val="center"/>
            <w:hideMark/>
          </w:tcPr>
          <w:p w:rsidR="00BA05A3" w:rsidRPr="00E060E5" w:rsidRDefault="00BA05A3" w:rsidP="00DA7A22">
            <w:pPr>
              <w:spacing w:line="240" w:lineRule="auto"/>
              <w:rPr>
                <w:rFonts w:asciiTheme="minorHAnsi" w:eastAsia="Times New Roman" w:hAnsiTheme="minorHAnsi" w:cstheme="minorHAnsi"/>
                <w:color w:val="000000"/>
                <w:sz w:val="16"/>
                <w:szCs w:val="16"/>
              </w:rPr>
            </w:pPr>
            <w:r w:rsidRPr="00E060E5">
              <w:rPr>
                <w:rFonts w:asciiTheme="minorHAnsi" w:eastAsia="Times New Roman" w:hAnsiTheme="minorHAnsi" w:cstheme="minorHAnsi"/>
                <w:color w:val="000000"/>
                <w:sz w:val="16"/>
                <w:szCs w:val="16"/>
              </w:rPr>
              <w:t>gminy sąsiadujące</w:t>
            </w:r>
          </w:p>
        </w:tc>
        <w:tc>
          <w:tcPr>
            <w:tcW w:w="734" w:type="dxa"/>
            <w:tcBorders>
              <w:top w:val="nil"/>
              <w:left w:val="nil"/>
              <w:bottom w:val="single" w:sz="4" w:space="0" w:color="auto"/>
              <w:right w:val="single" w:sz="4" w:space="0" w:color="auto"/>
            </w:tcBorders>
            <w:shd w:val="clear" w:color="000000" w:fill="BEECF0"/>
            <w:noWrap/>
            <w:vAlign w:val="center"/>
            <w:hideMark/>
          </w:tcPr>
          <w:p w:rsidR="00BA05A3" w:rsidRPr="00E060E5" w:rsidRDefault="00BA05A3" w:rsidP="00DA7A22">
            <w:pPr>
              <w:spacing w:line="240" w:lineRule="auto"/>
              <w:rPr>
                <w:rFonts w:asciiTheme="minorHAnsi" w:eastAsia="Times New Roman" w:hAnsiTheme="minorHAnsi" w:cstheme="minorHAnsi"/>
                <w:color w:val="000000"/>
                <w:sz w:val="16"/>
                <w:szCs w:val="16"/>
              </w:rPr>
            </w:pPr>
            <w:r w:rsidRPr="00E060E5">
              <w:rPr>
                <w:rFonts w:asciiTheme="minorHAnsi" w:eastAsia="Times New Roman" w:hAnsiTheme="minorHAnsi" w:cstheme="minorHAnsi"/>
                <w:color w:val="000000"/>
                <w:sz w:val="16"/>
                <w:szCs w:val="16"/>
              </w:rPr>
              <w:t>3567,63</w:t>
            </w:r>
          </w:p>
        </w:tc>
        <w:tc>
          <w:tcPr>
            <w:tcW w:w="1369" w:type="dxa"/>
            <w:tcBorders>
              <w:top w:val="nil"/>
              <w:left w:val="nil"/>
              <w:bottom w:val="single" w:sz="4" w:space="0" w:color="auto"/>
              <w:right w:val="single" w:sz="4" w:space="0" w:color="auto"/>
            </w:tcBorders>
            <w:shd w:val="clear" w:color="000000" w:fill="BEECF0"/>
            <w:noWrap/>
            <w:vAlign w:val="center"/>
            <w:hideMark/>
          </w:tcPr>
          <w:p w:rsidR="00BA05A3" w:rsidRPr="00E060E5" w:rsidRDefault="00BA05A3" w:rsidP="00DA7A22">
            <w:pPr>
              <w:spacing w:line="240" w:lineRule="auto"/>
              <w:jc w:val="center"/>
              <w:rPr>
                <w:rFonts w:asciiTheme="minorHAnsi" w:eastAsia="Times New Roman" w:hAnsiTheme="minorHAnsi" w:cstheme="minorHAnsi"/>
                <w:color w:val="000000"/>
                <w:sz w:val="16"/>
                <w:szCs w:val="16"/>
              </w:rPr>
            </w:pPr>
            <w:r w:rsidRPr="00E060E5">
              <w:rPr>
                <w:rFonts w:asciiTheme="minorHAnsi" w:eastAsia="Times New Roman" w:hAnsiTheme="minorHAnsi" w:cstheme="minorHAnsi"/>
                <w:color w:val="000000"/>
                <w:sz w:val="16"/>
                <w:szCs w:val="16"/>
              </w:rPr>
              <w:t>5,35</w:t>
            </w:r>
          </w:p>
        </w:tc>
        <w:tc>
          <w:tcPr>
            <w:tcW w:w="608" w:type="dxa"/>
            <w:tcBorders>
              <w:top w:val="nil"/>
              <w:left w:val="nil"/>
              <w:bottom w:val="single" w:sz="4" w:space="0" w:color="auto"/>
              <w:right w:val="single" w:sz="4" w:space="0" w:color="auto"/>
            </w:tcBorders>
            <w:shd w:val="clear" w:color="000000" w:fill="BEECF0"/>
            <w:noWrap/>
            <w:vAlign w:val="center"/>
            <w:hideMark/>
          </w:tcPr>
          <w:p w:rsidR="00BA05A3" w:rsidRPr="00E060E5" w:rsidRDefault="00BA05A3" w:rsidP="00DA7A22">
            <w:pPr>
              <w:spacing w:line="240" w:lineRule="auto"/>
              <w:jc w:val="center"/>
              <w:rPr>
                <w:rFonts w:asciiTheme="minorHAnsi" w:eastAsia="Times New Roman" w:hAnsiTheme="minorHAnsi" w:cstheme="minorHAnsi"/>
                <w:color w:val="000000"/>
                <w:sz w:val="16"/>
                <w:szCs w:val="16"/>
              </w:rPr>
            </w:pPr>
            <w:r w:rsidRPr="00E060E5">
              <w:rPr>
                <w:rFonts w:asciiTheme="minorHAnsi" w:eastAsia="Times New Roman" w:hAnsiTheme="minorHAnsi" w:cstheme="minorHAnsi"/>
                <w:color w:val="000000"/>
                <w:sz w:val="16"/>
                <w:szCs w:val="16"/>
              </w:rPr>
              <w:t>107</w:t>
            </w:r>
          </w:p>
        </w:tc>
        <w:tc>
          <w:tcPr>
            <w:tcW w:w="608" w:type="dxa"/>
            <w:tcBorders>
              <w:top w:val="nil"/>
              <w:left w:val="nil"/>
              <w:bottom w:val="single" w:sz="4" w:space="0" w:color="auto"/>
              <w:right w:val="single" w:sz="4" w:space="0" w:color="auto"/>
            </w:tcBorders>
            <w:shd w:val="clear" w:color="000000" w:fill="BEECF0"/>
            <w:noWrap/>
            <w:vAlign w:val="center"/>
            <w:hideMark/>
          </w:tcPr>
          <w:p w:rsidR="00BA05A3" w:rsidRPr="00E060E5" w:rsidRDefault="00BA05A3" w:rsidP="00DA7A22">
            <w:pPr>
              <w:spacing w:line="240" w:lineRule="auto"/>
              <w:jc w:val="center"/>
              <w:rPr>
                <w:rFonts w:asciiTheme="minorHAnsi" w:eastAsia="Times New Roman" w:hAnsiTheme="minorHAnsi" w:cstheme="minorHAnsi"/>
                <w:color w:val="000000"/>
                <w:sz w:val="16"/>
                <w:szCs w:val="16"/>
              </w:rPr>
            </w:pPr>
            <w:r w:rsidRPr="00E060E5">
              <w:rPr>
                <w:rFonts w:asciiTheme="minorHAnsi" w:eastAsia="Times New Roman" w:hAnsiTheme="minorHAnsi" w:cstheme="minorHAnsi"/>
                <w:color w:val="000000"/>
                <w:sz w:val="16"/>
                <w:szCs w:val="16"/>
              </w:rPr>
              <w:t>187</w:t>
            </w:r>
          </w:p>
        </w:tc>
        <w:tc>
          <w:tcPr>
            <w:tcW w:w="608" w:type="dxa"/>
            <w:tcBorders>
              <w:top w:val="nil"/>
              <w:left w:val="nil"/>
              <w:bottom w:val="single" w:sz="4" w:space="0" w:color="auto"/>
              <w:right w:val="single" w:sz="4" w:space="0" w:color="auto"/>
            </w:tcBorders>
            <w:shd w:val="clear" w:color="000000" w:fill="BEECF0"/>
            <w:noWrap/>
            <w:vAlign w:val="center"/>
            <w:hideMark/>
          </w:tcPr>
          <w:p w:rsidR="00BA05A3" w:rsidRPr="00E060E5" w:rsidRDefault="00BA05A3" w:rsidP="00DA7A22">
            <w:pPr>
              <w:spacing w:line="240" w:lineRule="auto"/>
              <w:jc w:val="center"/>
              <w:rPr>
                <w:rFonts w:asciiTheme="minorHAnsi" w:eastAsia="Times New Roman" w:hAnsiTheme="minorHAnsi" w:cstheme="minorHAnsi"/>
                <w:color w:val="000000"/>
                <w:sz w:val="16"/>
                <w:szCs w:val="16"/>
              </w:rPr>
            </w:pPr>
            <w:r w:rsidRPr="00E060E5">
              <w:rPr>
                <w:rFonts w:asciiTheme="minorHAnsi" w:eastAsia="Times New Roman" w:hAnsiTheme="minorHAnsi" w:cstheme="minorHAnsi"/>
                <w:color w:val="000000"/>
                <w:sz w:val="16"/>
                <w:szCs w:val="16"/>
              </w:rPr>
              <w:t>268</w:t>
            </w:r>
          </w:p>
        </w:tc>
        <w:tc>
          <w:tcPr>
            <w:tcW w:w="608" w:type="dxa"/>
            <w:tcBorders>
              <w:top w:val="nil"/>
              <w:left w:val="nil"/>
              <w:bottom w:val="single" w:sz="4" w:space="0" w:color="auto"/>
              <w:right w:val="single" w:sz="4" w:space="0" w:color="auto"/>
            </w:tcBorders>
            <w:shd w:val="clear" w:color="000000" w:fill="BEECF0"/>
            <w:noWrap/>
            <w:vAlign w:val="center"/>
            <w:hideMark/>
          </w:tcPr>
          <w:p w:rsidR="00BA05A3" w:rsidRPr="00E060E5" w:rsidRDefault="00BA05A3" w:rsidP="00DA7A22">
            <w:pPr>
              <w:spacing w:line="240" w:lineRule="auto"/>
              <w:jc w:val="center"/>
              <w:rPr>
                <w:rFonts w:asciiTheme="minorHAnsi" w:eastAsia="Times New Roman" w:hAnsiTheme="minorHAnsi" w:cstheme="minorHAnsi"/>
                <w:color w:val="000000"/>
                <w:sz w:val="16"/>
                <w:szCs w:val="16"/>
              </w:rPr>
            </w:pPr>
            <w:r w:rsidRPr="00E060E5">
              <w:rPr>
                <w:rFonts w:asciiTheme="minorHAnsi" w:eastAsia="Times New Roman" w:hAnsiTheme="minorHAnsi" w:cstheme="minorHAnsi"/>
                <w:color w:val="000000"/>
                <w:sz w:val="16"/>
                <w:szCs w:val="16"/>
              </w:rPr>
              <w:t>348</w:t>
            </w:r>
          </w:p>
        </w:tc>
        <w:tc>
          <w:tcPr>
            <w:tcW w:w="608" w:type="dxa"/>
            <w:tcBorders>
              <w:top w:val="nil"/>
              <w:left w:val="nil"/>
              <w:bottom w:val="single" w:sz="4" w:space="0" w:color="auto"/>
              <w:right w:val="single" w:sz="4" w:space="0" w:color="auto"/>
            </w:tcBorders>
            <w:shd w:val="clear" w:color="000000" w:fill="BEECF0"/>
            <w:noWrap/>
            <w:vAlign w:val="center"/>
            <w:hideMark/>
          </w:tcPr>
          <w:p w:rsidR="00BA05A3" w:rsidRPr="00E060E5" w:rsidRDefault="00BA05A3" w:rsidP="00DA7A22">
            <w:pPr>
              <w:spacing w:line="240" w:lineRule="auto"/>
              <w:jc w:val="center"/>
              <w:rPr>
                <w:rFonts w:asciiTheme="minorHAnsi" w:eastAsia="Times New Roman" w:hAnsiTheme="minorHAnsi" w:cstheme="minorHAnsi"/>
                <w:color w:val="000000"/>
                <w:sz w:val="16"/>
                <w:szCs w:val="16"/>
              </w:rPr>
            </w:pPr>
            <w:r w:rsidRPr="00E060E5">
              <w:rPr>
                <w:rFonts w:asciiTheme="minorHAnsi" w:eastAsia="Times New Roman" w:hAnsiTheme="minorHAnsi" w:cstheme="minorHAnsi"/>
                <w:color w:val="000000"/>
                <w:sz w:val="16"/>
                <w:szCs w:val="16"/>
              </w:rPr>
              <w:t>428</w:t>
            </w:r>
          </w:p>
        </w:tc>
        <w:tc>
          <w:tcPr>
            <w:tcW w:w="611" w:type="dxa"/>
            <w:tcBorders>
              <w:top w:val="nil"/>
              <w:left w:val="nil"/>
              <w:bottom w:val="single" w:sz="4" w:space="0" w:color="auto"/>
              <w:right w:val="single" w:sz="4" w:space="0" w:color="auto"/>
            </w:tcBorders>
            <w:shd w:val="clear" w:color="000000" w:fill="BEECF0"/>
            <w:noWrap/>
            <w:vAlign w:val="center"/>
            <w:hideMark/>
          </w:tcPr>
          <w:p w:rsidR="00BA05A3" w:rsidRPr="00E060E5" w:rsidRDefault="00BA05A3" w:rsidP="00DA7A22">
            <w:pPr>
              <w:spacing w:line="240" w:lineRule="auto"/>
              <w:jc w:val="center"/>
              <w:rPr>
                <w:rFonts w:asciiTheme="minorHAnsi" w:eastAsia="Times New Roman" w:hAnsiTheme="minorHAnsi" w:cstheme="minorHAnsi"/>
                <w:color w:val="000000"/>
                <w:sz w:val="16"/>
                <w:szCs w:val="16"/>
              </w:rPr>
            </w:pPr>
            <w:r w:rsidRPr="00E060E5">
              <w:rPr>
                <w:rFonts w:asciiTheme="minorHAnsi" w:eastAsia="Times New Roman" w:hAnsiTheme="minorHAnsi" w:cstheme="minorHAnsi"/>
                <w:color w:val="000000"/>
                <w:sz w:val="16"/>
                <w:szCs w:val="16"/>
              </w:rPr>
              <w:t>508</w:t>
            </w:r>
          </w:p>
        </w:tc>
      </w:tr>
      <w:tr w:rsidR="00BA05A3" w:rsidRPr="00E060E5" w:rsidTr="00BA05A3">
        <w:trPr>
          <w:trHeight w:val="301"/>
        </w:trPr>
        <w:tc>
          <w:tcPr>
            <w:tcW w:w="3520" w:type="dxa"/>
            <w:tcBorders>
              <w:top w:val="nil"/>
              <w:left w:val="single" w:sz="4" w:space="0" w:color="auto"/>
              <w:bottom w:val="single" w:sz="4" w:space="0" w:color="auto"/>
              <w:right w:val="single" w:sz="4" w:space="0" w:color="auto"/>
            </w:tcBorders>
            <w:shd w:val="clear" w:color="auto" w:fill="auto"/>
            <w:noWrap/>
            <w:vAlign w:val="center"/>
            <w:hideMark/>
          </w:tcPr>
          <w:p w:rsidR="00BA05A3" w:rsidRPr="00E060E5" w:rsidRDefault="00BA05A3" w:rsidP="00DA7A22">
            <w:pPr>
              <w:spacing w:line="240" w:lineRule="auto"/>
              <w:rPr>
                <w:rFonts w:asciiTheme="minorHAnsi" w:eastAsia="Times New Roman" w:hAnsiTheme="minorHAnsi" w:cstheme="minorHAnsi"/>
                <w:color w:val="000000"/>
                <w:sz w:val="16"/>
                <w:szCs w:val="16"/>
              </w:rPr>
            </w:pPr>
            <w:r w:rsidRPr="00E060E5">
              <w:rPr>
                <w:rFonts w:asciiTheme="minorHAnsi" w:eastAsia="Times New Roman" w:hAnsiTheme="minorHAnsi" w:cstheme="minorHAnsi"/>
                <w:color w:val="000000"/>
                <w:sz w:val="16"/>
                <w:szCs w:val="16"/>
              </w:rPr>
              <w:t>województwo łódzkie</w:t>
            </w:r>
          </w:p>
        </w:tc>
        <w:tc>
          <w:tcPr>
            <w:tcW w:w="734" w:type="dxa"/>
            <w:tcBorders>
              <w:top w:val="nil"/>
              <w:left w:val="nil"/>
              <w:bottom w:val="single" w:sz="4" w:space="0" w:color="auto"/>
              <w:right w:val="single" w:sz="4" w:space="0" w:color="auto"/>
            </w:tcBorders>
            <w:shd w:val="clear" w:color="auto" w:fill="auto"/>
            <w:noWrap/>
            <w:vAlign w:val="center"/>
            <w:hideMark/>
          </w:tcPr>
          <w:p w:rsidR="00BA05A3" w:rsidRPr="00E060E5" w:rsidRDefault="00BA05A3" w:rsidP="00DA7A22">
            <w:pPr>
              <w:spacing w:line="240" w:lineRule="auto"/>
              <w:rPr>
                <w:rFonts w:asciiTheme="minorHAnsi" w:eastAsia="Times New Roman" w:hAnsiTheme="minorHAnsi" w:cstheme="minorHAnsi"/>
                <w:color w:val="000000"/>
                <w:sz w:val="16"/>
                <w:szCs w:val="16"/>
              </w:rPr>
            </w:pPr>
            <w:r w:rsidRPr="00E060E5">
              <w:rPr>
                <w:rFonts w:asciiTheme="minorHAnsi" w:eastAsia="Times New Roman" w:hAnsiTheme="minorHAnsi" w:cstheme="minorHAnsi"/>
                <w:color w:val="000000"/>
                <w:sz w:val="16"/>
                <w:szCs w:val="16"/>
              </w:rPr>
              <w:t>3290,25</w:t>
            </w:r>
          </w:p>
        </w:tc>
        <w:tc>
          <w:tcPr>
            <w:tcW w:w="1369" w:type="dxa"/>
            <w:tcBorders>
              <w:top w:val="nil"/>
              <w:left w:val="nil"/>
              <w:bottom w:val="single" w:sz="4" w:space="0" w:color="auto"/>
              <w:right w:val="single" w:sz="4" w:space="0" w:color="auto"/>
            </w:tcBorders>
            <w:shd w:val="clear" w:color="auto" w:fill="auto"/>
            <w:noWrap/>
            <w:vAlign w:val="center"/>
            <w:hideMark/>
          </w:tcPr>
          <w:p w:rsidR="00BA05A3" w:rsidRPr="00E060E5" w:rsidRDefault="00BA05A3" w:rsidP="00DA7A22">
            <w:pPr>
              <w:spacing w:line="240" w:lineRule="auto"/>
              <w:jc w:val="center"/>
              <w:rPr>
                <w:rFonts w:asciiTheme="minorHAnsi" w:eastAsia="Times New Roman" w:hAnsiTheme="minorHAnsi" w:cstheme="minorHAnsi"/>
                <w:color w:val="000000"/>
                <w:sz w:val="16"/>
                <w:szCs w:val="16"/>
              </w:rPr>
            </w:pPr>
            <w:r w:rsidRPr="00E060E5">
              <w:rPr>
                <w:rFonts w:asciiTheme="minorHAnsi" w:eastAsia="Times New Roman" w:hAnsiTheme="minorHAnsi" w:cstheme="minorHAnsi"/>
                <w:color w:val="000000"/>
                <w:sz w:val="16"/>
                <w:szCs w:val="16"/>
              </w:rPr>
              <w:t>4,94</w:t>
            </w:r>
          </w:p>
        </w:tc>
        <w:tc>
          <w:tcPr>
            <w:tcW w:w="608" w:type="dxa"/>
            <w:tcBorders>
              <w:top w:val="nil"/>
              <w:left w:val="nil"/>
              <w:bottom w:val="single" w:sz="4" w:space="0" w:color="auto"/>
              <w:right w:val="single" w:sz="4" w:space="0" w:color="auto"/>
            </w:tcBorders>
            <w:shd w:val="clear" w:color="auto" w:fill="auto"/>
            <w:noWrap/>
            <w:vAlign w:val="center"/>
            <w:hideMark/>
          </w:tcPr>
          <w:p w:rsidR="00BA05A3" w:rsidRPr="00E060E5" w:rsidRDefault="00BA05A3" w:rsidP="00DA7A22">
            <w:pPr>
              <w:spacing w:line="240" w:lineRule="auto"/>
              <w:jc w:val="center"/>
              <w:rPr>
                <w:rFonts w:asciiTheme="minorHAnsi" w:eastAsia="Times New Roman" w:hAnsiTheme="minorHAnsi" w:cstheme="minorHAnsi"/>
                <w:color w:val="000000"/>
                <w:sz w:val="16"/>
                <w:szCs w:val="16"/>
              </w:rPr>
            </w:pPr>
            <w:r w:rsidRPr="00E060E5">
              <w:rPr>
                <w:rFonts w:asciiTheme="minorHAnsi" w:eastAsia="Times New Roman" w:hAnsiTheme="minorHAnsi" w:cstheme="minorHAnsi"/>
                <w:color w:val="000000"/>
                <w:sz w:val="16"/>
                <w:szCs w:val="16"/>
              </w:rPr>
              <w:t>99</w:t>
            </w:r>
          </w:p>
        </w:tc>
        <w:tc>
          <w:tcPr>
            <w:tcW w:w="608" w:type="dxa"/>
            <w:tcBorders>
              <w:top w:val="nil"/>
              <w:left w:val="nil"/>
              <w:bottom w:val="single" w:sz="4" w:space="0" w:color="auto"/>
              <w:right w:val="single" w:sz="4" w:space="0" w:color="auto"/>
            </w:tcBorders>
            <w:shd w:val="clear" w:color="auto" w:fill="auto"/>
            <w:noWrap/>
            <w:vAlign w:val="center"/>
            <w:hideMark/>
          </w:tcPr>
          <w:p w:rsidR="00BA05A3" w:rsidRPr="00E060E5" w:rsidRDefault="00BA05A3" w:rsidP="00DA7A22">
            <w:pPr>
              <w:spacing w:line="240" w:lineRule="auto"/>
              <w:jc w:val="center"/>
              <w:rPr>
                <w:rFonts w:asciiTheme="minorHAnsi" w:eastAsia="Times New Roman" w:hAnsiTheme="minorHAnsi" w:cstheme="minorHAnsi"/>
                <w:color w:val="000000"/>
                <w:sz w:val="16"/>
                <w:szCs w:val="16"/>
              </w:rPr>
            </w:pPr>
            <w:r w:rsidRPr="00E060E5">
              <w:rPr>
                <w:rFonts w:asciiTheme="minorHAnsi" w:eastAsia="Times New Roman" w:hAnsiTheme="minorHAnsi" w:cstheme="minorHAnsi"/>
                <w:color w:val="000000"/>
                <w:sz w:val="16"/>
                <w:szCs w:val="16"/>
              </w:rPr>
              <w:t>173</w:t>
            </w:r>
          </w:p>
        </w:tc>
        <w:tc>
          <w:tcPr>
            <w:tcW w:w="608" w:type="dxa"/>
            <w:tcBorders>
              <w:top w:val="nil"/>
              <w:left w:val="nil"/>
              <w:bottom w:val="single" w:sz="4" w:space="0" w:color="auto"/>
              <w:right w:val="single" w:sz="4" w:space="0" w:color="auto"/>
            </w:tcBorders>
            <w:shd w:val="clear" w:color="auto" w:fill="auto"/>
            <w:noWrap/>
            <w:vAlign w:val="center"/>
            <w:hideMark/>
          </w:tcPr>
          <w:p w:rsidR="00BA05A3" w:rsidRPr="00E060E5" w:rsidRDefault="00BA05A3" w:rsidP="00DA7A22">
            <w:pPr>
              <w:spacing w:line="240" w:lineRule="auto"/>
              <w:jc w:val="center"/>
              <w:rPr>
                <w:rFonts w:asciiTheme="minorHAnsi" w:eastAsia="Times New Roman" w:hAnsiTheme="minorHAnsi" w:cstheme="minorHAnsi"/>
                <w:color w:val="000000"/>
                <w:sz w:val="16"/>
                <w:szCs w:val="16"/>
              </w:rPr>
            </w:pPr>
            <w:r w:rsidRPr="00E060E5">
              <w:rPr>
                <w:rFonts w:asciiTheme="minorHAnsi" w:eastAsia="Times New Roman" w:hAnsiTheme="minorHAnsi" w:cstheme="minorHAnsi"/>
                <w:color w:val="000000"/>
                <w:sz w:val="16"/>
                <w:szCs w:val="16"/>
              </w:rPr>
              <w:t>247</w:t>
            </w:r>
          </w:p>
        </w:tc>
        <w:tc>
          <w:tcPr>
            <w:tcW w:w="608" w:type="dxa"/>
            <w:tcBorders>
              <w:top w:val="nil"/>
              <w:left w:val="nil"/>
              <w:bottom w:val="single" w:sz="4" w:space="0" w:color="auto"/>
              <w:right w:val="single" w:sz="4" w:space="0" w:color="auto"/>
            </w:tcBorders>
            <w:shd w:val="clear" w:color="auto" w:fill="auto"/>
            <w:noWrap/>
            <w:vAlign w:val="center"/>
            <w:hideMark/>
          </w:tcPr>
          <w:p w:rsidR="00BA05A3" w:rsidRPr="00E060E5" w:rsidRDefault="00BA05A3" w:rsidP="00DA7A22">
            <w:pPr>
              <w:spacing w:line="240" w:lineRule="auto"/>
              <w:jc w:val="center"/>
              <w:rPr>
                <w:rFonts w:asciiTheme="minorHAnsi" w:eastAsia="Times New Roman" w:hAnsiTheme="minorHAnsi" w:cstheme="minorHAnsi"/>
                <w:color w:val="000000"/>
                <w:sz w:val="16"/>
                <w:szCs w:val="16"/>
              </w:rPr>
            </w:pPr>
            <w:r w:rsidRPr="00E060E5">
              <w:rPr>
                <w:rFonts w:asciiTheme="minorHAnsi" w:eastAsia="Times New Roman" w:hAnsiTheme="minorHAnsi" w:cstheme="minorHAnsi"/>
                <w:color w:val="000000"/>
                <w:sz w:val="16"/>
                <w:szCs w:val="16"/>
              </w:rPr>
              <w:t>321</w:t>
            </w:r>
          </w:p>
        </w:tc>
        <w:tc>
          <w:tcPr>
            <w:tcW w:w="608" w:type="dxa"/>
            <w:tcBorders>
              <w:top w:val="nil"/>
              <w:left w:val="nil"/>
              <w:bottom w:val="single" w:sz="4" w:space="0" w:color="auto"/>
              <w:right w:val="single" w:sz="4" w:space="0" w:color="auto"/>
            </w:tcBorders>
            <w:shd w:val="clear" w:color="auto" w:fill="auto"/>
            <w:noWrap/>
            <w:vAlign w:val="center"/>
            <w:hideMark/>
          </w:tcPr>
          <w:p w:rsidR="00BA05A3" w:rsidRPr="00E060E5" w:rsidRDefault="00BA05A3" w:rsidP="00DA7A22">
            <w:pPr>
              <w:spacing w:line="240" w:lineRule="auto"/>
              <w:jc w:val="center"/>
              <w:rPr>
                <w:rFonts w:asciiTheme="minorHAnsi" w:eastAsia="Times New Roman" w:hAnsiTheme="minorHAnsi" w:cstheme="minorHAnsi"/>
                <w:color w:val="000000"/>
                <w:sz w:val="16"/>
                <w:szCs w:val="16"/>
              </w:rPr>
            </w:pPr>
            <w:r w:rsidRPr="00E060E5">
              <w:rPr>
                <w:rFonts w:asciiTheme="minorHAnsi" w:eastAsia="Times New Roman" w:hAnsiTheme="minorHAnsi" w:cstheme="minorHAnsi"/>
                <w:color w:val="000000"/>
                <w:sz w:val="16"/>
                <w:szCs w:val="16"/>
              </w:rPr>
              <w:t>395</w:t>
            </w:r>
          </w:p>
        </w:tc>
        <w:tc>
          <w:tcPr>
            <w:tcW w:w="611" w:type="dxa"/>
            <w:tcBorders>
              <w:top w:val="nil"/>
              <w:left w:val="nil"/>
              <w:bottom w:val="single" w:sz="4" w:space="0" w:color="auto"/>
              <w:right w:val="single" w:sz="4" w:space="0" w:color="auto"/>
            </w:tcBorders>
            <w:shd w:val="clear" w:color="auto" w:fill="auto"/>
            <w:noWrap/>
            <w:vAlign w:val="center"/>
            <w:hideMark/>
          </w:tcPr>
          <w:p w:rsidR="00BA05A3" w:rsidRPr="00E060E5" w:rsidRDefault="00BA05A3" w:rsidP="00DA7A22">
            <w:pPr>
              <w:spacing w:line="240" w:lineRule="auto"/>
              <w:jc w:val="center"/>
              <w:rPr>
                <w:rFonts w:asciiTheme="minorHAnsi" w:eastAsia="Times New Roman" w:hAnsiTheme="minorHAnsi" w:cstheme="minorHAnsi"/>
                <w:color w:val="000000"/>
                <w:sz w:val="16"/>
                <w:szCs w:val="16"/>
              </w:rPr>
            </w:pPr>
            <w:r w:rsidRPr="00E060E5">
              <w:rPr>
                <w:rFonts w:asciiTheme="minorHAnsi" w:eastAsia="Times New Roman" w:hAnsiTheme="minorHAnsi" w:cstheme="minorHAnsi"/>
                <w:color w:val="000000"/>
                <w:sz w:val="16"/>
                <w:szCs w:val="16"/>
              </w:rPr>
              <w:t>469</w:t>
            </w:r>
          </w:p>
        </w:tc>
      </w:tr>
      <w:tr w:rsidR="00BA05A3" w:rsidRPr="00E060E5" w:rsidTr="00BA05A3">
        <w:trPr>
          <w:trHeight w:val="301"/>
        </w:trPr>
        <w:tc>
          <w:tcPr>
            <w:tcW w:w="3520" w:type="dxa"/>
            <w:tcBorders>
              <w:top w:val="nil"/>
              <w:left w:val="single" w:sz="4" w:space="0" w:color="auto"/>
              <w:bottom w:val="single" w:sz="4" w:space="0" w:color="auto"/>
              <w:right w:val="single" w:sz="4" w:space="0" w:color="auto"/>
            </w:tcBorders>
            <w:shd w:val="clear" w:color="000000" w:fill="BEECF0"/>
            <w:noWrap/>
            <w:vAlign w:val="center"/>
            <w:hideMark/>
          </w:tcPr>
          <w:p w:rsidR="00BA05A3" w:rsidRPr="00E060E5" w:rsidRDefault="00BA05A3" w:rsidP="00DA7A22">
            <w:pPr>
              <w:spacing w:line="240" w:lineRule="auto"/>
              <w:rPr>
                <w:rFonts w:asciiTheme="minorHAnsi" w:eastAsia="Times New Roman" w:hAnsiTheme="minorHAnsi" w:cstheme="minorHAnsi"/>
                <w:color w:val="000000"/>
                <w:sz w:val="16"/>
                <w:szCs w:val="16"/>
              </w:rPr>
            </w:pPr>
            <w:r w:rsidRPr="00E060E5">
              <w:rPr>
                <w:rFonts w:asciiTheme="minorHAnsi" w:eastAsia="Times New Roman" w:hAnsiTheme="minorHAnsi" w:cstheme="minorHAnsi"/>
                <w:color w:val="000000"/>
                <w:sz w:val="16"/>
                <w:szCs w:val="16"/>
              </w:rPr>
              <w:t>Kraków</w:t>
            </w:r>
          </w:p>
        </w:tc>
        <w:tc>
          <w:tcPr>
            <w:tcW w:w="734" w:type="dxa"/>
            <w:tcBorders>
              <w:top w:val="nil"/>
              <w:left w:val="nil"/>
              <w:bottom w:val="single" w:sz="4" w:space="0" w:color="auto"/>
              <w:right w:val="single" w:sz="4" w:space="0" w:color="auto"/>
            </w:tcBorders>
            <w:shd w:val="clear" w:color="000000" w:fill="BEECF0"/>
            <w:noWrap/>
            <w:vAlign w:val="center"/>
            <w:hideMark/>
          </w:tcPr>
          <w:p w:rsidR="00BA05A3" w:rsidRPr="00E060E5" w:rsidRDefault="00BA05A3" w:rsidP="00DA7A22">
            <w:pPr>
              <w:spacing w:line="240" w:lineRule="auto"/>
              <w:rPr>
                <w:rFonts w:asciiTheme="minorHAnsi" w:eastAsia="Times New Roman" w:hAnsiTheme="minorHAnsi" w:cstheme="minorHAnsi"/>
                <w:color w:val="000000"/>
                <w:sz w:val="16"/>
                <w:szCs w:val="16"/>
              </w:rPr>
            </w:pPr>
            <w:r w:rsidRPr="00E060E5">
              <w:rPr>
                <w:rFonts w:asciiTheme="minorHAnsi" w:eastAsia="Times New Roman" w:hAnsiTheme="minorHAnsi" w:cstheme="minorHAnsi"/>
                <w:color w:val="000000"/>
                <w:sz w:val="16"/>
                <w:szCs w:val="16"/>
              </w:rPr>
              <w:t>4848,75</w:t>
            </w:r>
          </w:p>
        </w:tc>
        <w:tc>
          <w:tcPr>
            <w:tcW w:w="1369" w:type="dxa"/>
            <w:tcBorders>
              <w:top w:val="nil"/>
              <w:left w:val="nil"/>
              <w:bottom w:val="single" w:sz="4" w:space="0" w:color="auto"/>
              <w:right w:val="single" w:sz="4" w:space="0" w:color="auto"/>
            </w:tcBorders>
            <w:shd w:val="clear" w:color="000000" w:fill="BEECF0"/>
            <w:noWrap/>
            <w:vAlign w:val="center"/>
            <w:hideMark/>
          </w:tcPr>
          <w:p w:rsidR="00BA05A3" w:rsidRPr="00E060E5" w:rsidRDefault="00BA05A3" w:rsidP="00DA7A22">
            <w:pPr>
              <w:spacing w:line="240" w:lineRule="auto"/>
              <w:jc w:val="center"/>
              <w:rPr>
                <w:rFonts w:asciiTheme="minorHAnsi" w:eastAsia="Times New Roman" w:hAnsiTheme="minorHAnsi" w:cstheme="minorHAnsi"/>
                <w:color w:val="000000"/>
                <w:sz w:val="16"/>
                <w:szCs w:val="16"/>
              </w:rPr>
            </w:pPr>
            <w:r w:rsidRPr="00E060E5">
              <w:rPr>
                <w:rFonts w:asciiTheme="minorHAnsi" w:eastAsia="Times New Roman" w:hAnsiTheme="minorHAnsi" w:cstheme="minorHAnsi"/>
                <w:color w:val="000000"/>
                <w:sz w:val="16"/>
                <w:szCs w:val="16"/>
              </w:rPr>
              <w:t>7,27</w:t>
            </w:r>
          </w:p>
        </w:tc>
        <w:tc>
          <w:tcPr>
            <w:tcW w:w="608" w:type="dxa"/>
            <w:tcBorders>
              <w:top w:val="nil"/>
              <w:left w:val="nil"/>
              <w:bottom w:val="single" w:sz="4" w:space="0" w:color="auto"/>
              <w:right w:val="single" w:sz="4" w:space="0" w:color="auto"/>
            </w:tcBorders>
            <w:shd w:val="clear" w:color="000000" w:fill="BEECF0"/>
            <w:noWrap/>
            <w:vAlign w:val="center"/>
            <w:hideMark/>
          </w:tcPr>
          <w:p w:rsidR="00BA05A3" w:rsidRPr="00E060E5" w:rsidRDefault="00BA05A3" w:rsidP="00DA7A22">
            <w:pPr>
              <w:spacing w:line="240" w:lineRule="auto"/>
              <w:jc w:val="center"/>
              <w:rPr>
                <w:rFonts w:asciiTheme="minorHAnsi" w:eastAsia="Times New Roman" w:hAnsiTheme="minorHAnsi" w:cstheme="minorHAnsi"/>
                <w:color w:val="000000"/>
                <w:sz w:val="16"/>
                <w:szCs w:val="16"/>
              </w:rPr>
            </w:pPr>
            <w:r w:rsidRPr="00E060E5">
              <w:rPr>
                <w:rFonts w:asciiTheme="minorHAnsi" w:eastAsia="Times New Roman" w:hAnsiTheme="minorHAnsi" w:cstheme="minorHAnsi"/>
                <w:color w:val="000000"/>
                <w:sz w:val="16"/>
                <w:szCs w:val="16"/>
              </w:rPr>
              <w:t>145</w:t>
            </w:r>
          </w:p>
        </w:tc>
        <w:tc>
          <w:tcPr>
            <w:tcW w:w="608" w:type="dxa"/>
            <w:tcBorders>
              <w:top w:val="nil"/>
              <w:left w:val="nil"/>
              <w:bottom w:val="single" w:sz="4" w:space="0" w:color="auto"/>
              <w:right w:val="single" w:sz="4" w:space="0" w:color="auto"/>
            </w:tcBorders>
            <w:shd w:val="clear" w:color="000000" w:fill="BEECF0"/>
            <w:noWrap/>
            <w:vAlign w:val="center"/>
            <w:hideMark/>
          </w:tcPr>
          <w:p w:rsidR="00BA05A3" w:rsidRPr="00E060E5" w:rsidRDefault="00BA05A3" w:rsidP="00DA7A22">
            <w:pPr>
              <w:spacing w:line="240" w:lineRule="auto"/>
              <w:jc w:val="center"/>
              <w:rPr>
                <w:rFonts w:asciiTheme="minorHAnsi" w:eastAsia="Times New Roman" w:hAnsiTheme="minorHAnsi" w:cstheme="minorHAnsi"/>
                <w:color w:val="000000"/>
                <w:sz w:val="16"/>
                <w:szCs w:val="16"/>
              </w:rPr>
            </w:pPr>
            <w:r w:rsidRPr="00E060E5">
              <w:rPr>
                <w:rFonts w:asciiTheme="minorHAnsi" w:eastAsia="Times New Roman" w:hAnsiTheme="minorHAnsi" w:cstheme="minorHAnsi"/>
                <w:color w:val="000000"/>
                <w:sz w:val="16"/>
                <w:szCs w:val="16"/>
              </w:rPr>
              <w:t>255</w:t>
            </w:r>
          </w:p>
        </w:tc>
        <w:tc>
          <w:tcPr>
            <w:tcW w:w="608" w:type="dxa"/>
            <w:tcBorders>
              <w:top w:val="nil"/>
              <w:left w:val="nil"/>
              <w:bottom w:val="single" w:sz="4" w:space="0" w:color="auto"/>
              <w:right w:val="single" w:sz="4" w:space="0" w:color="auto"/>
            </w:tcBorders>
            <w:shd w:val="clear" w:color="000000" w:fill="BEECF0"/>
            <w:noWrap/>
            <w:vAlign w:val="center"/>
            <w:hideMark/>
          </w:tcPr>
          <w:p w:rsidR="00BA05A3" w:rsidRPr="00E060E5" w:rsidRDefault="00BA05A3" w:rsidP="00DA7A22">
            <w:pPr>
              <w:spacing w:line="240" w:lineRule="auto"/>
              <w:jc w:val="center"/>
              <w:rPr>
                <w:rFonts w:asciiTheme="minorHAnsi" w:eastAsia="Times New Roman" w:hAnsiTheme="minorHAnsi" w:cstheme="minorHAnsi"/>
                <w:color w:val="000000"/>
                <w:sz w:val="16"/>
                <w:szCs w:val="16"/>
              </w:rPr>
            </w:pPr>
            <w:r w:rsidRPr="00E060E5">
              <w:rPr>
                <w:rFonts w:asciiTheme="minorHAnsi" w:eastAsia="Times New Roman" w:hAnsiTheme="minorHAnsi" w:cstheme="minorHAnsi"/>
                <w:color w:val="000000"/>
                <w:sz w:val="16"/>
                <w:szCs w:val="16"/>
              </w:rPr>
              <w:t>364</w:t>
            </w:r>
          </w:p>
        </w:tc>
        <w:tc>
          <w:tcPr>
            <w:tcW w:w="608" w:type="dxa"/>
            <w:tcBorders>
              <w:top w:val="nil"/>
              <w:left w:val="nil"/>
              <w:bottom w:val="single" w:sz="4" w:space="0" w:color="auto"/>
              <w:right w:val="single" w:sz="4" w:space="0" w:color="auto"/>
            </w:tcBorders>
            <w:shd w:val="clear" w:color="000000" w:fill="BEECF0"/>
            <w:noWrap/>
            <w:vAlign w:val="center"/>
            <w:hideMark/>
          </w:tcPr>
          <w:p w:rsidR="00BA05A3" w:rsidRPr="00E060E5" w:rsidRDefault="00BA05A3" w:rsidP="00DA7A22">
            <w:pPr>
              <w:spacing w:line="240" w:lineRule="auto"/>
              <w:jc w:val="center"/>
              <w:rPr>
                <w:rFonts w:asciiTheme="minorHAnsi" w:eastAsia="Times New Roman" w:hAnsiTheme="minorHAnsi" w:cstheme="minorHAnsi"/>
                <w:color w:val="000000"/>
                <w:sz w:val="16"/>
                <w:szCs w:val="16"/>
              </w:rPr>
            </w:pPr>
            <w:r w:rsidRPr="00E060E5">
              <w:rPr>
                <w:rFonts w:asciiTheme="minorHAnsi" w:eastAsia="Times New Roman" w:hAnsiTheme="minorHAnsi" w:cstheme="minorHAnsi"/>
                <w:color w:val="000000"/>
                <w:sz w:val="16"/>
                <w:szCs w:val="16"/>
              </w:rPr>
              <w:t>473</w:t>
            </w:r>
          </w:p>
        </w:tc>
        <w:tc>
          <w:tcPr>
            <w:tcW w:w="608" w:type="dxa"/>
            <w:tcBorders>
              <w:top w:val="nil"/>
              <w:left w:val="nil"/>
              <w:bottom w:val="single" w:sz="4" w:space="0" w:color="auto"/>
              <w:right w:val="single" w:sz="4" w:space="0" w:color="auto"/>
            </w:tcBorders>
            <w:shd w:val="clear" w:color="000000" w:fill="BEECF0"/>
            <w:noWrap/>
            <w:vAlign w:val="center"/>
            <w:hideMark/>
          </w:tcPr>
          <w:p w:rsidR="00BA05A3" w:rsidRPr="00E060E5" w:rsidRDefault="00BA05A3" w:rsidP="00DA7A22">
            <w:pPr>
              <w:spacing w:line="240" w:lineRule="auto"/>
              <w:jc w:val="center"/>
              <w:rPr>
                <w:rFonts w:asciiTheme="minorHAnsi" w:eastAsia="Times New Roman" w:hAnsiTheme="minorHAnsi" w:cstheme="minorHAnsi"/>
                <w:color w:val="000000"/>
                <w:sz w:val="16"/>
                <w:szCs w:val="16"/>
              </w:rPr>
            </w:pPr>
            <w:r w:rsidRPr="00E060E5">
              <w:rPr>
                <w:rFonts w:asciiTheme="minorHAnsi" w:eastAsia="Times New Roman" w:hAnsiTheme="minorHAnsi" w:cstheme="minorHAnsi"/>
                <w:color w:val="000000"/>
                <w:sz w:val="16"/>
                <w:szCs w:val="16"/>
              </w:rPr>
              <w:t>582</w:t>
            </w:r>
          </w:p>
        </w:tc>
        <w:tc>
          <w:tcPr>
            <w:tcW w:w="611" w:type="dxa"/>
            <w:tcBorders>
              <w:top w:val="nil"/>
              <w:left w:val="nil"/>
              <w:bottom w:val="single" w:sz="4" w:space="0" w:color="auto"/>
              <w:right w:val="single" w:sz="4" w:space="0" w:color="auto"/>
            </w:tcBorders>
            <w:shd w:val="clear" w:color="000000" w:fill="BEECF0"/>
            <w:noWrap/>
            <w:vAlign w:val="center"/>
            <w:hideMark/>
          </w:tcPr>
          <w:p w:rsidR="00BA05A3" w:rsidRPr="00E060E5" w:rsidRDefault="00BA05A3" w:rsidP="00DA7A22">
            <w:pPr>
              <w:spacing w:line="240" w:lineRule="auto"/>
              <w:jc w:val="center"/>
              <w:rPr>
                <w:rFonts w:asciiTheme="minorHAnsi" w:eastAsia="Times New Roman" w:hAnsiTheme="minorHAnsi" w:cstheme="minorHAnsi"/>
                <w:color w:val="000000"/>
                <w:sz w:val="16"/>
                <w:szCs w:val="16"/>
              </w:rPr>
            </w:pPr>
            <w:r w:rsidRPr="00E060E5">
              <w:rPr>
                <w:rFonts w:asciiTheme="minorHAnsi" w:eastAsia="Times New Roman" w:hAnsiTheme="minorHAnsi" w:cstheme="minorHAnsi"/>
                <w:color w:val="000000"/>
                <w:sz w:val="16"/>
                <w:szCs w:val="16"/>
              </w:rPr>
              <w:t>691</w:t>
            </w:r>
          </w:p>
        </w:tc>
      </w:tr>
      <w:tr w:rsidR="00BA05A3" w:rsidRPr="00E060E5" w:rsidTr="00BA05A3">
        <w:trPr>
          <w:trHeight w:val="301"/>
        </w:trPr>
        <w:tc>
          <w:tcPr>
            <w:tcW w:w="3520" w:type="dxa"/>
            <w:tcBorders>
              <w:top w:val="nil"/>
              <w:left w:val="single" w:sz="4" w:space="0" w:color="auto"/>
              <w:bottom w:val="single" w:sz="4" w:space="0" w:color="auto"/>
              <w:right w:val="single" w:sz="4" w:space="0" w:color="auto"/>
            </w:tcBorders>
            <w:shd w:val="clear" w:color="auto" w:fill="auto"/>
            <w:noWrap/>
            <w:vAlign w:val="center"/>
            <w:hideMark/>
          </w:tcPr>
          <w:p w:rsidR="00BA05A3" w:rsidRPr="00E060E5" w:rsidRDefault="00BA05A3" w:rsidP="00DA7A22">
            <w:pPr>
              <w:spacing w:line="240" w:lineRule="auto"/>
              <w:rPr>
                <w:rFonts w:asciiTheme="minorHAnsi" w:eastAsia="Times New Roman" w:hAnsiTheme="minorHAnsi" w:cstheme="minorHAnsi"/>
                <w:color w:val="000000"/>
                <w:sz w:val="16"/>
                <w:szCs w:val="16"/>
              </w:rPr>
            </w:pPr>
            <w:r w:rsidRPr="00E060E5">
              <w:rPr>
                <w:rFonts w:asciiTheme="minorHAnsi" w:eastAsia="Times New Roman" w:hAnsiTheme="minorHAnsi" w:cstheme="minorHAnsi"/>
                <w:color w:val="000000"/>
                <w:sz w:val="16"/>
                <w:szCs w:val="16"/>
              </w:rPr>
              <w:t>gminy sąsiadujące</w:t>
            </w:r>
          </w:p>
        </w:tc>
        <w:tc>
          <w:tcPr>
            <w:tcW w:w="734" w:type="dxa"/>
            <w:tcBorders>
              <w:top w:val="nil"/>
              <w:left w:val="nil"/>
              <w:bottom w:val="single" w:sz="4" w:space="0" w:color="auto"/>
              <w:right w:val="single" w:sz="4" w:space="0" w:color="auto"/>
            </w:tcBorders>
            <w:shd w:val="clear" w:color="auto" w:fill="auto"/>
            <w:noWrap/>
            <w:vAlign w:val="center"/>
            <w:hideMark/>
          </w:tcPr>
          <w:p w:rsidR="00BA05A3" w:rsidRPr="00E060E5" w:rsidRDefault="00BA05A3" w:rsidP="00DA7A22">
            <w:pPr>
              <w:spacing w:line="240" w:lineRule="auto"/>
              <w:rPr>
                <w:rFonts w:asciiTheme="minorHAnsi" w:eastAsia="Times New Roman" w:hAnsiTheme="minorHAnsi" w:cstheme="minorHAnsi"/>
                <w:color w:val="000000"/>
                <w:sz w:val="16"/>
                <w:szCs w:val="16"/>
              </w:rPr>
            </w:pPr>
            <w:r w:rsidRPr="00E060E5">
              <w:rPr>
                <w:rFonts w:asciiTheme="minorHAnsi" w:eastAsia="Times New Roman" w:hAnsiTheme="minorHAnsi" w:cstheme="minorHAnsi"/>
                <w:color w:val="000000"/>
                <w:sz w:val="16"/>
                <w:szCs w:val="16"/>
              </w:rPr>
              <w:t>4360,13</w:t>
            </w:r>
          </w:p>
        </w:tc>
        <w:tc>
          <w:tcPr>
            <w:tcW w:w="1369" w:type="dxa"/>
            <w:tcBorders>
              <w:top w:val="nil"/>
              <w:left w:val="nil"/>
              <w:bottom w:val="single" w:sz="4" w:space="0" w:color="auto"/>
              <w:right w:val="single" w:sz="4" w:space="0" w:color="auto"/>
            </w:tcBorders>
            <w:shd w:val="clear" w:color="auto" w:fill="auto"/>
            <w:noWrap/>
            <w:vAlign w:val="center"/>
            <w:hideMark/>
          </w:tcPr>
          <w:p w:rsidR="00BA05A3" w:rsidRPr="00E060E5" w:rsidRDefault="00BA05A3" w:rsidP="00DA7A22">
            <w:pPr>
              <w:spacing w:line="240" w:lineRule="auto"/>
              <w:jc w:val="center"/>
              <w:rPr>
                <w:rFonts w:asciiTheme="minorHAnsi" w:eastAsia="Times New Roman" w:hAnsiTheme="minorHAnsi" w:cstheme="minorHAnsi"/>
                <w:color w:val="000000"/>
                <w:sz w:val="16"/>
                <w:szCs w:val="16"/>
              </w:rPr>
            </w:pPr>
            <w:r w:rsidRPr="00E060E5">
              <w:rPr>
                <w:rFonts w:asciiTheme="minorHAnsi" w:eastAsia="Times New Roman" w:hAnsiTheme="minorHAnsi" w:cstheme="minorHAnsi"/>
                <w:color w:val="000000"/>
                <w:sz w:val="16"/>
                <w:szCs w:val="16"/>
              </w:rPr>
              <w:t>6,54</w:t>
            </w:r>
          </w:p>
        </w:tc>
        <w:tc>
          <w:tcPr>
            <w:tcW w:w="608" w:type="dxa"/>
            <w:tcBorders>
              <w:top w:val="nil"/>
              <w:left w:val="nil"/>
              <w:bottom w:val="single" w:sz="4" w:space="0" w:color="auto"/>
              <w:right w:val="single" w:sz="4" w:space="0" w:color="auto"/>
            </w:tcBorders>
            <w:shd w:val="clear" w:color="auto" w:fill="auto"/>
            <w:noWrap/>
            <w:vAlign w:val="center"/>
            <w:hideMark/>
          </w:tcPr>
          <w:p w:rsidR="00BA05A3" w:rsidRPr="00E060E5" w:rsidRDefault="00BA05A3" w:rsidP="00DA7A22">
            <w:pPr>
              <w:spacing w:line="240" w:lineRule="auto"/>
              <w:jc w:val="center"/>
              <w:rPr>
                <w:rFonts w:asciiTheme="minorHAnsi" w:eastAsia="Times New Roman" w:hAnsiTheme="minorHAnsi" w:cstheme="minorHAnsi"/>
                <w:color w:val="000000"/>
                <w:sz w:val="16"/>
                <w:szCs w:val="16"/>
              </w:rPr>
            </w:pPr>
            <w:r w:rsidRPr="00E060E5">
              <w:rPr>
                <w:rFonts w:asciiTheme="minorHAnsi" w:eastAsia="Times New Roman" w:hAnsiTheme="minorHAnsi" w:cstheme="minorHAnsi"/>
                <w:color w:val="000000"/>
                <w:sz w:val="16"/>
                <w:szCs w:val="16"/>
              </w:rPr>
              <w:t>131</w:t>
            </w:r>
          </w:p>
        </w:tc>
        <w:tc>
          <w:tcPr>
            <w:tcW w:w="608" w:type="dxa"/>
            <w:tcBorders>
              <w:top w:val="nil"/>
              <w:left w:val="nil"/>
              <w:bottom w:val="single" w:sz="4" w:space="0" w:color="auto"/>
              <w:right w:val="single" w:sz="4" w:space="0" w:color="auto"/>
            </w:tcBorders>
            <w:shd w:val="clear" w:color="auto" w:fill="auto"/>
            <w:noWrap/>
            <w:vAlign w:val="center"/>
            <w:hideMark/>
          </w:tcPr>
          <w:p w:rsidR="00BA05A3" w:rsidRPr="00E060E5" w:rsidRDefault="00BA05A3" w:rsidP="00DA7A22">
            <w:pPr>
              <w:spacing w:line="240" w:lineRule="auto"/>
              <w:jc w:val="center"/>
              <w:rPr>
                <w:rFonts w:asciiTheme="minorHAnsi" w:eastAsia="Times New Roman" w:hAnsiTheme="minorHAnsi" w:cstheme="minorHAnsi"/>
                <w:color w:val="000000"/>
                <w:sz w:val="16"/>
                <w:szCs w:val="16"/>
              </w:rPr>
            </w:pPr>
            <w:r w:rsidRPr="00E060E5">
              <w:rPr>
                <w:rFonts w:asciiTheme="minorHAnsi" w:eastAsia="Times New Roman" w:hAnsiTheme="minorHAnsi" w:cstheme="minorHAnsi"/>
                <w:color w:val="000000"/>
                <w:sz w:val="16"/>
                <w:szCs w:val="16"/>
              </w:rPr>
              <w:t>229</w:t>
            </w:r>
          </w:p>
        </w:tc>
        <w:tc>
          <w:tcPr>
            <w:tcW w:w="608" w:type="dxa"/>
            <w:tcBorders>
              <w:top w:val="nil"/>
              <w:left w:val="nil"/>
              <w:bottom w:val="single" w:sz="4" w:space="0" w:color="auto"/>
              <w:right w:val="single" w:sz="4" w:space="0" w:color="auto"/>
            </w:tcBorders>
            <w:shd w:val="clear" w:color="auto" w:fill="auto"/>
            <w:noWrap/>
            <w:vAlign w:val="center"/>
            <w:hideMark/>
          </w:tcPr>
          <w:p w:rsidR="00BA05A3" w:rsidRPr="00E060E5" w:rsidRDefault="00BA05A3" w:rsidP="00DA7A22">
            <w:pPr>
              <w:spacing w:line="240" w:lineRule="auto"/>
              <w:jc w:val="center"/>
              <w:rPr>
                <w:rFonts w:asciiTheme="minorHAnsi" w:eastAsia="Times New Roman" w:hAnsiTheme="minorHAnsi" w:cstheme="minorHAnsi"/>
                <w:color w:val="000000"/>
                <w:sz w:val="16"/>
                <w:szCs w:val="16"/>
              </w:rPr>
            </w:pPr>
            <w:r w:rsidRPr="00E060E5">
              <w:rPr>
                <w:rFonts w:asciiTheme="minorHAnsi" w:eastAsia="Times New Roman" w:hAnsiTheme="minorHAnsi" w:cstheme="minorHAnsi"/>
                <w:color w:val="000000"/>
                <w:sz w:val="16"/>
                <w:szCs w:val="16"/>
              </w:rPr>
              <w:t>327</w:t>
            </w:r>
          </w:p>
        </w:tc>
        <w:tc>
          <w:tcPr>
            <w:tcW w:w="608" w:type="dxa"/>
            <w:tcBorders>
              <w:top w:val="nil"/>
              <w:left w:val="nil"/>
              <w:bottom w:val="single" w:sz="4" w:space="0" w:color="auto"/>
              <w:right w:val="single" w:sz="4" w:space="0" w:color="auto"/>
            </w:tcBorders>
            <w:shd w:val="clear" w:color="auto" w:fill="auto"/>
            <w:noWrap/>
            <w:vAlign w:val="center"/>
            <w:hideMark/>
          </w:tcPr>
          <w:p w:rsidR="00BA05A3" w:rsidRPr="00E060E5" w:rsidRDefault="00BA05A3" w:rsidP="00DA7A22">
            <w:pPr>
              <w:spacing w:line="240" w:lineRule="auto"/>
              <w:jc w:val="center"/>
              <w:rPr>
                <w:rFonts w:asciiTheme="minorHAnsi" w:eastAsia="Times New Roman" w:hAnsiTheme="minorHAnsi" w:cstheme="minorHAnsi"/>
                <w:color w:val="000000"/>
                <w:sz w:val="16"/>
                <w:szCs w:val="16"/>
              </w:rPr>
            </w:pPr>
            <w:r w:rsidRPr="00E060E5">
              <w:rPr>
                <w:rFonts w:asciiTheme="minorHAnsi" w:eastAsia="Times New Roman" w:hAnsiTheme="minorHAnsi" w:cstheme="minorHAnsi"/>
                <w:color w:val="000000"/>
                <w:sz w:val="16"/>
                <w:szCs w:val="16"/>
              </w:rPr>
              <w:t>425</w:t>
            </w:r>
          </w:p>
        </w:tc>
        <w:tc>
          <w:tcPr>
            <w:tcW w:w="608" w:type="dxa"/>
            <w:tcBorders>
              <w:top w:val="nil"/>
              <w:left w:val="nil"/>
              <w:bottom w:val="single" w:sz="4" w:space="0" w:color="auto"/>
              <w:right w:val="single" w:sz="4" w:space="0" w:color="auto"/>
            </w:tcBorders>
            <w:shd w:val="clear" w:color="auto" w:fill="auto"/>
            <w:noWrap/>
            <w:vAlign w:val="center"/>
            <w:hideMark/>
          </w:tcPr>
          <w:p w:rsidR="00BA05A3" w:rsidRPr="00E060E5" w:rsidRDefault="00BA05A3" w:rsidP="00DA7A22">
            <w:pPr>
              <w:spacing w:line="240" w:lineRule="auto"/>
              <w:jc w:val="center"/>
              <w:rPr>
                <w:rFonts w:asciiTheme="minorHAnsi" w:eastAsia="Times New Roman" w:hAnsiTheme="minorHAnsi" w:cstheme="minorHAnsi"/>
                <w:color w:val="000000"/>
                <w:sz w:val="16"/>
                <w:szCs w:val="16"/>
              </w:rPr>
            </w:pPr>
            <w:r w:rsidRPr="00E060E5">
              <w:rPr>
                <w:rFonts w:asciiTheme="minorHAnsi" w:eastAsia="Times New Roman" w:hAnsiTheme="minorHAnsi" w:cstheme="minorHAnsi"/>
                <w:color w:val="000000"/>
                <w:sz w:val="16"/>
                <w:szCs w:val="16"/>
              </w:rPr>
              <w:t>523</w:t>
            </w:r>
          </w:p>
        </w:tc>
        <w:tc>
          <w:tcPr>
            <w:tcW w:w="611" w:type="dxa"/>
            <w:tcBorders>
              <w:top w:val="nil"/>
              <w:left w:val="nil"/>
              <w:bottom w:val="single" w:sz="4" w:space="0" w:color="auto"/>
              <w:right w:val="single" w:sz="4" w:space="0" w:color="auto"/>
            </w:tcBorders>
            <w:shd w:val="clear" w:color="auto" w:fill="auto"/>
            <w:noWrap/>
            <w:vAlign w:val="center"/>
            <w:hideMark/>
          </w:tcPr>
          <w:p w:rsidR="00BA05A3" w:rsidRPr="00E060E5" w:rsidRDefault="00BA05A3" w:rsidP="00DA7A22">
            <w:pPr>
              <w:spacing w:line="240" w:lineRule="auto"/>
              <w:jc w:val="center"/>
              <w:rPr>
                <w:rFonts w:asciiTheme="minorHAnsi" w:eastAsia="Times New Roman" w:hAnsiTheme="minorHAnsi" w:cstheme="minorHAnsi"/>
                <w:color w:val="000000"/>
                <w:sz w:val="16"/>
                <w:szCs w:val="16"/>
              </w:rPr>
            </w:pPr>
            <w:r w:rsidRPr="00E060E5">
              <w:rPr>
                <w:rFonts w:asciiTheme="minorHAnsi" w:eastAsia="Times New Roman" w:hAnsiTheme="minorHAnsi" w:cstheme="minorHAnsi"/>
                <w:color w:val="000000"/>
                <w:sz w:val="16"/>
                <w:szCs w:val="16"/>
              </w:rPr>
              <w:t>621</w:t>
            </w:r>
          </w:p>
        </w:tc>
      </w:tr>
      <w:tr w:rsidR="00BA05A3" w:rsidRPr="00E060E5" w:rsidTr="00BA05A3">
        <w:trPr>
          <w:trHeight w:val="301"/>
        </w:trPr>
        <w:tc>
          <w:tcPr>
            <w:tcW w:w="3520" w:type="dxa"/>
            <w:tcBorders>
              <w:top w:val="nil"/>
              <w:left w:val="single" w:sz="4" w:space="0" w:color="auto"/>
              <w:bottom w:val="single" w:sz="4" w:space="0" w:color="auto"/>
              <w:right w:val="single" w:sz="4" w:space="0" w:color="auto"/>
            </w:tcBorders>
            <w:shd w:val="clear" w:color="000000" w:fill="BEECF0"/>
            <w:noWrap/>
            <w:vAlign w:val="center"/>
            <w:hideMark/>
          </w:tcPr>
          <w:p w:rsidR="00BA05A3" w:rsidRPr="00E060E5" w:rsidRDefault="00BA05A3" w:rsidP="00DA7A22">
            <w:pPr>
              <w:spacing w:line="240" w:lineRule="auto"/>
              <w:rPr>
                <w:rFonts w:asciiTheme="minorHAnsi" w:eastAsia="Times New Roman" w:hAnsiTheme="minorHAnsi" w:cstheme="minorHAnsi"/>
                <w:color w:val="000000"/>
                <w:sz w:val="16"/>
                <w:szCs w:val="16"/>
              </w:rPr>
            </w:pPr>
            <w:r w:rsidRPr="00E060E5">
              <w:rPr>
                <w:rFonts w:asciiTheme="minorHAnsi" w:eastAsia="Times New Roman" w:hAnsiTheme="minorHAnsi" w:cstheme="minorHAnsi"/>
                <w:color w:val="000000"/>
                <w:sz w:val="16"/>
                <w:szCs w:val="16"/>
              </w:rPr>
              <w:t>województwo małopolskie</w:t>
            </w:r>
          </w:p>
        </w:tc>
        <w:tc>
          <w:tcPr>
            <w:tcW w:w="734" w:type="dxa"/>
            <w:tcBorders>
              <w:top w:val="nil"/>
              <w:left w:val="nil"/>
              <w:bottom w:val="single" w:sz="4" w:space="0" w:color="auto"/>
              <w:right w:val="single" w:sz="4" w:space="0" w:color="auto"/>
            </w:tcBorders>
            <w:shd w:val="clear" w:color="000000" w:fill="BEECF0"/>
            <w:noWrap/>
            <w:vAlign w:val="center"/>
            <w:hideMark/>
          </w:tcPr>
          <w:p w:rsidR="00BA05A3" w:rsidRPr="00E060E5" w:rsidRDefault="00BA05A3" w:rsidP="00DA7A22">
            <w:pPr>
              <w:spacing w:line="240" w:lineRule="auto"/>
              <w:rPr>
                <w:rFonts w:asciiTheme="minorHAnsi" w:eastAsia="Times New Roman" w:hAnsiTheme="minorHAnsi" w:cstheme="minorHAnsi"/>
                <w:color w:val="000000"/>
                <w:sz w:val="16"/>
                <w:szCs w:val="16"/>
              </w:rPr>
            </w:pPr>
            <w:r w:rsidRPr="00E060E5">
              <w:rPr>
                <w:rFonts w:asciiTheme="minorHAnsi" w:eastAsia="Times New Roman" w:hAnsiTheme="minorHAnsi" w:cstheme="minorHAnsi"/>
                <w:color w:val="000000"/>
                <w:sz w:val="16"/>
                <w:szCs w:val="16"/>
              </w:rPr>
              <w:t>3870,00</w:t>
            </w:r>
          </w:p>
        </w:tc>
        <w:tc>
          <w:tcPr>
            <w:tcW w:w="1369" w:type="dxa"/>
            <w:tcBorders>
              <w:top w:val="nil"/>
              <w:left w:val="nil"/>
              <w:bottom w:val="single" w:sz="4" w:space="0" w:color="auto"/>
              <w:right w:val="single" w:sz="4" w:space="0" w:color="auto"/>
            </w:tcBorders>
            <w:shd w:val="clear" w:color="000000" w:fill="BEECF0"/>
            <w:noWrap/>
            <w:vAlign w:val="center"/>
            <w:hideMark/>
          </w:tcPr>
          <w:p w:rsidR="00BA05A3" w:rsidRPr="00E060E5" w:rsidRDefault="00BA05A3" w:rsidP="00DA7A22">
            <w:pPr>
              <w:spacing w:line="240" w:lineRule="auto"/>
              <w:jc w:val="center"/>
              <w:rPr>
                <w:rFonts w:asciiTheme="minorHAnsi" w:eastAsia="Times New Roman" w:hAnsiTheme="minorHAnsi" w:cstheme="minorHAnsi"/>
                <w:color w:val="000000"/>
                <w:sz w:val="16"/>
                <w:szCs w:val="16"/>
              </w:rPr>
            </w:pPr>
            <w:r w:rsidRPr="00E060E5">
              <w:rPr>
                <w:rFonts w:asciiTheme="minorHAnsi" w:eastAsia="Times New Roman" w:hAnsiTheme="minorHAnsi" w:cstheme="minorHAnsi"/>
                <w:color w:val="000000"/>
                <w:sz w:val="16"/>
                <w:szCs w:val="16"/>
              </w:rPr>
              <w:t>5,81</w:t>
            </w:r>
          </w:p>
        </w:tc>
        <w:tc>
          <w:tcPr>
            <w:tcW w:w="608" w:type="dxa"/>
            <w:tcBorders>
              <w:top w:val="nil"/>
              <w:left w:val="nil"/>
              <w:bottom w:val="single" w:sz="4" w:space="0" w:color="auto"/>
              <w:right w:val="single" w:sz="4" w:space="0" w:color="auto"/>
            </w:tcBorders>
            <w:shd w:val="clear" w:color="000000" w:fill="BEECF0"/>
            <w:noWrap/>
            <w:vAlign w:val="center"/>
            <w:hideMark/>
          </w:tcPr>
          <w:p w:rsidR="00BA05A3" w:rsidRPr="00E060E5" w:rsidRDefault="00BA05A3" w:rsidP="00DA7A22">
            <w:pPr>
              <w:spacing w:line="240" w:lineRule="auto"/>
              <w:jc w:val="center"/>
              <w:rPr>
                <w:rFonts w:asciiTheme="minorHAnsi" w:eastAsia="Times New Roman" w:hAnsiTheme="minorHAnsi" w:cstheme="minorHAnsi"/>
                <w:color w:val="000000"/>
                <w:sz w:val="16"/>
                <w:szCs w:val="16"/>
              </w:rPr>
            </w:pPr>
            <w:r w:rsidRPr="00E060E5">
              <w:rPr>
                <w:rFonts w:asciiTheme="minorHAnsi" w:eastAsia="Times New Roman" w:hAnsiTheme="minorHAnsi" w:cstheme="minorHAnsi"/>
                <w:color w:val="000000"/>
                <w:sz w:val="16"/>
                <w:szCs w:val="16"/>
              </w:rPr>
              <w:t>116</w:t>
            </w:r>
          </w:p>
        </w:tc>
        <w:tc>
          <w:tcPr>
            <w:tcW w:w="608" w:type="dxa"/>
            <w:tcBorders>
              <w:top w:val="nil"/>
              <w:left w:val="nil"/>
              <w:bottom w:val="single" w:sz="4" w:space="0" w:color="auto"/>
              <w:right w:val="single" w:sz="4" w:space="0" w:color="auto"/>
            </w:tcBorders>
            <w:shd w:val="clear" w:color="000000" w:fill="BEECF0"/>
            <w:noWrap/>
            <w:vAlign w:val="center"/>
            <w:hideMark/>
          </w:tcPr>
          <w:p w:rsidR="00BA05A3" w:rsidRPr="00E060E5" w:rsidRDefault="00BA05A3" w:rsidP="00DA7A22">
            <w:pPr>
              <w:spacing w:line="240" w:lineRule="auto"/>
              <w:jc w:val="center"/>
              <w:rPr>
                <w:rFonts w:asciiTheme="minorHAnsi" w:eastAsia="Times New Roman" w:hAnsiTheme="minorHAnsi" w:cstheme="minorHAnsi"/>
                <w:color w:val="000000"/>
                <w:sz w:val="16"/>
                <w:szCs w:val="16"/>
              </w:rPr>
            </w:pPr>
            <w:r w:rsidRPr="00E060E5">
              <w:rPr>
                <w:rFonts w:asciiTheme="minorHAnsi" w:eastAsia="Times New Roman" w:hAnsiTheme="minorHAnsi" w:cstheme="minorHAnsi"/>
                <w:color w:val="000000"/>
                <w:sz w:val="16"/>
                <w:szCs w:val="16"/>
              </w:rPr>
              <w:t>203</w:t>
            </w:r>
          </w:p>
        </w:tc>
        <w:tc>
          <w:tcPr>
            <w:tcW w:w="608" w:type="dxa"/>
            <w:tcBorders>
              <w:top w:val="nil"/>
              <w:left w:val="nil"/>
              <w:bottom w:val="single" w:sz="4" w:space="0" w:color="auto"/>
              <w:right w:val="single" w:sz="4" w:space="0" w:color="auto"/>
            </w:tcBorders>
            <w:shd w:val="clear" w:color="000000" w:fill="BEECF0"/>
            <w:noWrap/>
            <w:vAlign w:val="center"/>
            <w:hideMark/>
          </w:tcPr>
          <w:p w:rsidR="00BA05A3" w:rsidRPr="00E060E5" w:rsidRDefault="00BA05A3" w:rsidP="00DA7A22">
            <w:pPr>
              <w:spacing w:line="240" w:lineRule="auto"/>
              <w:jc w:val="center"/>
              <w:rPr>
                <w:rFonts w:asciiTheme="minorHAnsi" w:eastAsia="Times New Roman" w:hAnsiTheme="minorHAnsi" w:cstheme="minorHAnsi"/>
                <w:color w:val="000000"/>
                <w:sz w:val="16"/>
                <w:szCs w:val="16"/>
              </w:rPr>
            </w:pPr>
            <w:r w:rsidRPr="00E060E5">
              <w:rPr>
                <w:rFonts w:asciiTheme="minorHAnsi" w:eastAsia="Times New Roman" w:hAnsiTheme="minorHAnsi" w:cstheme="minorHAnsi"/>
                <w:color w:val="000000"/>
                <w:sz w:val="16"/>
                <w:szCs w:val="16"/>
              </w:rPr>
              <w:t>290</w:t>
            </w:r>
          </w:p>
        </w:tc>
        <w:tc>
          <w:tcPr>
            <w:tcW w:w="608" w:type="dxa"/>
            <w:tcBorders>
              <w:top w:val="nil"/>
              <w:left w:val="nil"/>
              <w:bottom w:val="single" w:sz="4" w:space="0" w:color="auto"/>
              <w:right w:val="single" w:sz="4" w:space="0" w:color="auto"/>
            </w:tcBorders>
            <w:shd w:val="clear" w:color="000000" w:fill="BEECF0"/>
            <w:noWrap/>
            <w:vAlign w:val="center"/>
            <w:hideMark/>
          </w:tcPr>
          <w:p w:rsidR="00BA05A3" w:rsidRPr="00E060E5" w:rsidRDefault="00BA05A3" w:rsidP="00DA7A22">
            <w:pPr>
              <w:spacing w:line="240" w:lineRule="auto"/>
              <w:jc w:val="center"/>
              <w:rPr>
                <w:rFonts w:asciiTheme="minorHAnsi" w:eastAsia="Times New Roman" w:hAnsiTheme="minorHAnsi" w:cstheme="minorHAnsi"/>
                <w:color w:val="000000"/>
                <w:sz w:val="16"/>
                <w:szCs w:val="16"/>
              </w:rPr>
            </w:pPr>
            <w:r w:rsidRPr="00E060E5">
              <w:rPr>
                <w:rFonts w:asciiTheme="minorHAnsi" w:eastAsia="Times New Roman" w:hAnsiTheme="minorHAnsi" w:cstheme="minorHAnsi"/>
                <w:color w:val="000000"/>
                <w:sz w:val="16"/>
                <w:szCs w:val="16"/>
              </w:rPr>
              <w:t>377</w:t>
            </w:r>
          </w:p>
        </w:tc>
        <w:tc>
          <w:tcPr>
            <w:tcW w:w="608" w:type="dxa"/>
            <w:tcBorders>
              <w:top w:val="nil"/>
              <w:left w:val="nil"/>
              <w:bottom w:val="single" w:sz="4" w:space="0" w:color="auto"/>
              <w:right w:val="single" w:sz="4" w:space="0" w:color="auto"/>
            </w:tcBorders>
            <w:shd w:val="clear" w:color="000000" w:fill="BEECF0"/>
            <w:noWrap/>
            <w:vAlign w:val="center"/>
            <w:hideMark/>
          </w:tcPr>
          <w:p w:rsidR="00BA05A3" w:rsidRPr="00E060E5" w:rsidRDefault="00BA05A3" w:rsidP="00DA7A22">
            <w:pPr>
              <w:spacing w:line="240" w:lineRule="auto"/>
              <w:jc w:val="center"/>
              <w:rPr>
                <w:rFonts w:asciiTheme="minorHAnsi" w:eastAsia="Times New Roman" w:hAnsiTheme="minorHAnsi" w:cstheme="minorHAnsi"/>
                <w:color w:val="000000"/>
                <w:sz w:val="16"/>
                <w:szCs w:val="16"/>
              </w:rPr>
            </w:pPr>
            <w:r w:rsidRPr="00E060E5">
              <w:rPr>
                <w:rFonts w:asciiTheme="minorHAnsi" w:eastAsia="Times New Roman" w:hAnsiTheme="minorHAnsi" w:cstheme="minorHAnsi"/>
                <w:color w:val="000000"/>
                <w:sz w:val="16"/>
                <w:szCs w:val="16"/>
              </w:rPr>
              <w:t>464</w:t>
            </w:r>
          </w:p>
        </w:tc>
        <w:tc>
          <w:tcPr>
            <w:tcW w:w="611" w:type="dxa"/>
            <w:tcBorders>
              <w:top w:val="nil"/>
              <w:left w:val="nil"/>
              <w:bottom w:val="single" w:sz="4" w:space="0" w:color="auto"/>
              <w:right w:val="single" w:sz="4" w:space="0" w:color="auto"/>
            </w:tcBorders>
            <w:shd w:val="clear" w:color="000000" w:fill="BEECF0"/>
            <w:noWrap/>
            <w:vAlign w:val="center"/>
            <w:hideMark/>
          </w:tcPr>
          <w:p w:rsidR="00BA05A3" w:rsidRPr="00E060E5" w:rsidRDefault="00BA05A3" w:rsidP="00DA7A22">
            <w:pPr>
              <w:spacing w:line="240" w:lineRule="auto"/>
              <w:jc w:val="center"/>
              <w:rPr>
                <w:rFonts w:asciiTheme="minorHAnsi" w:eastAsia="Times New Roman" w:hAnsiTheme="minorHAnsi" w:cstheme="minorHAnsi"/>
                <w:color w:val="000000"/>
                <w:sz w:val="16"/>
                <w:szCs w:val="16"/>
              </w:rPr>
            </w:pPr>
            <w:r w:rsidRPr="00E060E5">
              <w:rPr>
                <w:rFonts w:asciiTheme="minorHAnsi" w:eastAsia="Times New Roman" w:hAnsiTheme="minorHAnsi" w:cstheme="minorHAnsi"/>
                <w:color w:val="000000"/>
                <w:sz w:val="16"/>
                <w:szCs w:val="16"/>
              </w:rPr>
              <w:t>551</w:t>
            </w:r>
          </w:p>
        </w:tc>
      </w:tr>
      <w:tr w:rsidR="00BA05A3" w:rsidRPr="00E060E5" w:rsidTr="00BA05A3">
        <w:trPr>
          <w:trHeight w:val="301"/>
        </w:trPr>
        <w:tc>
          <w:tcPr>
            <w:tcW w:w="3520" w:type="dxa"/>
            <w:tcBorders>
              <w:top w:val="nil"/>
              <w:left w:val="single" w:sz="4" w:space="0" w:color="auto"/>
              <w:bottom w:val="single" w:sz="4" w:space="0" w:color="auto"/>
              <w:right w:val="single" w:sz="4" w:space="0" w:color="auto"/>
            </w:tcBorders>
            <w:shd w:val="clear" w:color="auto" w:fill="auto"/>
            <w:noWrap/>
            <w:vAlign w:val="center"/>
            <w:hideMark/>
          </w:tcPr>
          <w:p w:rsidR="00BA05A3" w:rsidRPr="00E060E5" w:rsidRDefault="00BA05A3" w:rsidP="00DA7A22">
            <w:pPr>
              <w:spacing w:line="240" w:lineRule="auto"/>
              <w:rPr>
                <w:rFonts w:asciiTheme="minorHAnsi" w:eastAsia="Times New Roman" w:hAnsiTheme="minorHAnsi" w:cstheme="minorHAnsi"/>
                <w:color w:val="000000"/>
                <w:sz w:val="16"/>
                <w:szCs w:val="16"/>
              </w:rPr>
            </w:pPr>
            <w:r w:rsidRPr="00E060E5">
              <w:rPr>
                <w:rFonts w:asciiTheme="minorHAnsi" w:eastAsia="Times New Roman" w:hAnsiTheme="minorHAnsi" w:cstheme="minorHAnsi"/>
                <w:color w:val="000000"/>
                <w:sz w:val="16"/>
                <w:szCs w:val="16"/>
              </w:rPr>
              <w:t>Warszawa</w:t>
            </w:r>
          </w:p>
        </w:tc>
        <w:tc>
          <w:tcPr>
            <w:tcW w:w="734" w:type="dxa"/>
            <w:tcBorders>
              <w:top w:val="nil"/>
              <w:left w:val="nil"/>
              <w:bottom w:val="single" w:sz="4" w:space="0" w:color="auto"/>
              <w:right w:val="single" w:sz="4" w:space="0" w:color="auto"/>
            </w:tcBorders>
            <w:shd w:val="clear" w:color="auto" w:fill="auto"/>
            <w:noWrap/>
            <w:vAlign w:val="center"/>
            <w:hideMark/>
          </w:tcPr>
          <w:p w:rsidR="00BA05A3" w:rsidRPr="00E060E5" w:rsidRDefault="00BA05A3" w:rsidP="00DA7A22">
            <w:pPr>
              <w:spacing w:line="240" w:lineRule="auto"/>
              <w:rPr>
                <w:rFonts w:asciiTheme="minorHAnsi" w:eastAsia="Times New Roman" w:hAnsiTheme="minorHAnsi" w:cstheme="minorHAnsi"/>
                <w:color w:val="000000"/>
                <w:sz w:val="16"/>
                <w:szCs w:val="16"/>
              </w:rPr>
            </w:pPr>
            <w:r w:rsidRPr="00E060E5">
              <w:rPr>
                <w:rFonts w:asciiTheme="minorHAnsi" w:eastAsia="Times New Roman" w:hAnsiTheme="minorHAnsi" w:cstheme="minorHAnsi"/>
                <w:color w:val="000000"/>
                <w:sz w:val="16"/>
                <w:szCs w:val="16"/>
              </w:rPr>
              <w:t>5753,28</w:t>
            </w:r>
          </w:p>
        </w:tc>
        <w:tc>
          <w:tcPr>
            <w:tcW w:w="1369" w:type="dxa"/>
            <w:tcBorders>
              <w:top w:val="nil"/>
              <w:left w:val="nil"/>
              <w:bottom w:val="single" w:sz="4" w:space="0" w:color="auto"/>
              <w:right w:val="single" w:sz="4" w:space="0" w:color="auto"/>
            </w:tcBorders>
            <w:shd w:val="clear" w:color="auto" w:fill="auto"/>
            <w:noWrap/>
            <w:vAlign w:val="center"/>
            <w:hideMark/>
          </w:tcPr>
          <w:p w:rsidR="00BA05A3" w:rsidRPr="00E060E5" w:rsidRDefault="00BA05A3" w:rsidP="00DA7A22">
            <w:pPr>
              <w:spacing w:line="240" w:lineRule="auto"/>
              <w:jc w:val="center"/>
              <w:rPr>
                <w:rFonts w:asciiTheme="minorHAnsi" w:eastAsia="Times New Roman" w:hAnsiTheme="minorHAnsi" w:cstheme="minorHAnsi"/>
                <w:color w:val="000000"/>
                <w:sz w:val="16"/>
                <w:szCs w:val="16"/>
              </w:rPr>
            </w:pPr>
            <w:r w:rsidRPr="00E060E5">
              <w:rPr>
                <w:rFonts w:asciiTheme="minorHAnsi" w:eastAsia="Times New Roman" w:hAnsiTheme="minorHAnsi" w:cstheme="minorHAnsi"/>
                <w:color w:val="000000"/>
                <w:sz w:val="16"/>
                <w:szCs w:val="16"/>
              </w:rPr>
              <w:t>8,63</w:t>
            </w:r>
          </w:p>
        </w:tc>
        <w:tc>
          <w:tcPr>
            <w:tcW w:w="608" w:type="dxa"/>
            <w:tcBorders>
              <w:top w:val="nil"/>
              <w:left w:val="nil"/>
              <w:bottom w:val="single" w:sz="4" w:space="0" w:color="auto"/>
              <w:right w:val="single" w:sz="4" w:space="0" w:color="auto"/>
            </w:tcBorders>
            <w:shd w:val="clear" w:color="auto" w:fill="auto"/>
            <w:noWrap/>
            <w:vAlign w:val="center"/>
            <w:hideMark/>
          </w:tcPr>
          <w:p w:rsidR="00BA05A3" w:rsidRPr="00E060E5" w:rsidRDefault="00BA05A3" w:rsidP="00DA7A22">
            <w:pPr>
              <w:spacing w:line="240" w:lineRule="auto"/>
              <w:jc w:val="center"/>
              <w:rPr>
                <w:rFonts w:asciiTheme="minorHAnsi" w:eastAsia="Times New Roman" w:hAnsiTheme="minorHAnsi" w:cstheme="minorHAnsi"/>
                <w:color w:val="000000"/>
                <w:sz w:val="16"/>
                <w:szCs w:val="16"/>
              </w:rPr>
            </w:pPr>
            <w:r w:rsidRPr="00E060E5">
              <w:rPr>
                <w:rFonts w:asciiTheme="minorHAnsi" w:eastAsia="Times New Roman" w:hAnsiTheme="minorHAnsi" w:cstheme="minorHAnsi"/>
                <w:color w:val="000000"/>
                <w:sz w:val="16"/>
                <w:szCs w:val="16"/>
              </w:rPr>
              <w:t>173</w:t>
            </w:r>
          </w:p>
        </w:tc>
        <w:tc>
          <w:tcPr>
            <w:tcW w:w="608" w:type="dxa"/>
            <w:tcBorders>
              <w:top w:val="nil"/>
              <w:left w:val="nil"/>
              <w:bottom w:val="single" w:sz="4" w:space="0" w:color="auto"/>
              <w:right w:val="single" w:sz="4" w:space="0" w:color="auto"/>
            </w:tcBorders>
            <w:shd w:val="clear" w:color="auto" w:fill="auto"/>
            <w:noWrap/>
            <w:vAlign w:val="center"/>
            <w:hideMark/>
          </w:tcPr>
          <w:p w:rsidR="00BA05A3" w:rsidRPr="00E060E5" w:rsidRDefault="00BA05A3" w:rsidP="00DA7A22">
            <w:pPr>
              <w:spacing w:line="240" w:lineRule="auto"/>
              <w:jc w:val="center"/>
              <w:rPr>
                <w:rFonts w:asciiTheme="minorHAnsi" w:eastAsia="Times New Roman" w:hAnsiTheme="minorHAnsi" w:cstheme="minorHAnsi"/>
                <w:color w:val="000000"/>
                <w:sz w:val="16"/>
                <w:szCs w:val="16"/>
              </w:rPr>
            </w:pPr>
            <w:r w:rsidRPr="00E060E5">
              <w:rPr>
                <w:rFonts w:asciiTheme="minorHAnsi" w:eastAsia="Times New Roman" w:hAnsiTheme="minorHAnsi" w:cstheme="minorHAnsi"/>
                <w:color w:val="000000"/>
                <w:sz w:val="16"/>
                <w:szCs w:val="16"/>
              </w:rPr>
              <w:t>302</w:t>
            </w:r>
          </w:p>
        </w:tc>
        <w:tc>
          <w:tcPr>
            <w:tcW w:w="608" w:type="dxa"/>
            <w:tcBorders>
              <w:top w:val="nil"/>
              <w:left w:val="nil"/>
              <w:bottom w:val="single" w:sz="4" w:space="0" w:color="auto"/>
              <w:right w:val="single" w:sz="4" w:space="0" w:color="auto"/>
            </w:tcBorders>
            <w:shd w:val="clear" w:color="auto" w:fill="auto"/>
            <w:noWrap/>
            <w:vAlign w:val="center"/>
            <w:hideMark/>
          </w:tcPr>
          <w:p w:rsidR="00BA05A3" w:rsidRPr="00E060E5" w:rsidRDefault="00BA05A3" w:rsidP="00DA7A22">
            <w:pPr>
              <w:spacing w:line="240" w:lineRule="auto"/>
              <w:jc w:val="center"/>
              <w:rPr>
                <w:rFonts w:asciiTheme="minorHAnsi" w:eastAsia="Times New Roman" w:hAnsiTheme="minorHAnsi" w:cstheme="minorHAnsi"/>
                <w:color w:val="000000"/>
                <w:sz w:val="16"/>
                <w:szCs w:val="16"/>
              </w:rPr>
            </w:pPr>
            <w:r w:rsidRPr="00E060E5">
              <w:rPr>
                <w:rFonts w:asciiTheme="minorHAnsi" w:eastAsia="Times New Roman" w:hAnsiTheme="minorHAnsi" w:cstheme="minorHAnsi"/>
                <w:color w:val="000000"/>
                <w:sz w:val="16"/>
                <w:szCs w:val="16"/>
              </w:rPr>
              <w:t>431</w:t>
            </w:r>
          </w:p>
        </w:tc>
        <w:tc>
          <w:tcPr>
            <w:tcW w:w="608" w:type="dxa"/>
            <w:tcBorders>
              <w:top w:val="nil"/>
              <w:left w:val="nil"/>
              <w:bottom w:val="single" w:sz="4" w:space="0" w:color="auto"/>
              <w:right w:val="single" w:sz="4" w:space="0" w:color="auto"/>
            </w:tcBorders>
            <w:shd w:val="clear" w:color="auto" w:fill="auto"/>
            <w:noWrap/>
            <w:vAlign w:val="center"/>
            <w:hideMark/>
          </w:tcPr>
          <w:p w:rsidR="00BA05A3" w:rsidRPr="00E060E5" w:rsidRDefault="00BA05A3" w:rsidP="00DA7A22">
            <w:pPr>
              <w:spacing w:line="240" w:lineRule="auto"/>
              <w:jc w:val="center"/>
              <w:rPr>
                <w:rFonts w:asciiTheme="minorHAnsi" w:eastAsia="Times New Roman" w:hAnsiTheme="minorHAnsi" w:cstheme="minorHAnsi"/>
                <w:color w:val="000000"/>
                <w:sz w:val="16"/>
                <w:szCs w:val="16"/>
              </w:rPr>
            </w:pPr>
            <w:r w:rsidRPr="00E060E5">
              <w:rPr>
                <w:rFonts w:asciiTheme="minorHAnsi" w:eastAsia="Times New Roman" w:hAnsiTheme="minorHAnsi" w:cstheme="minorHAnsi"/>
                <w:color w:val="000000"/>
                <w:sz w:val="16"/>
                <w:szCs w:val="16"/>
              </w:rPr>
              <w:t>561</w:t>
            </w:r>
          </w:p>
        </w:tc>
        <w:tc>
          <w:tcPr>
            <w:tcW w:w="608" w:type="dxa"/>
            <w:tcBorders>
              <w:top w:val="nil"/>
              <w:left w:val="nil"/>
              <w:bottom w:val="single" w:sz="4" w:space="0" w:color="auto"/>
              <w:right w:val="single" w:sz="4" w:space="0" w:color="auto"/>
            </w:tcBorders>
            <w:shd w:val="clear" w:color="auto" w:fill="auto"/>
            <w:noWrap/>
            <w:vAlign w:val="center"/>
            <w:hideMark/>
          </w:tcPr>
          <w:p w:rsidR="00BA05A3" w:rsidRPr="00E060E5" w:rsidRDefault="00BA05A3" w:rsidP="00DA7A22">
            <w:pPr>
              <w:spacing w:line="240" w:lineRule="auto"/>
              <w:jc w:val="center"/>
              <w:rPr>
                <w:rFonts w:asciiTheme="minorHAnsi" w:eastAsia="Times New Roman" w:hAnsiTheme="minorHAnsi" w:cstheme="minorHAnsi"/>
                <w:color w:val="000000"/>
                <w:sz w:val="16"/>
                <w:szCs w:val="16"/>
              </w:rPr>
            </w:pPr>
            <w:r w:rsidRPr="00E060E5">
              <w:rPr>
                <w:rFonts w:asciiTheme="minorHAnsi" w:eastAsia="Times New Roman" w:hAnsiTheme="minorHAnsi" w:cstheme="minorHAnsi"/>
                <w:color w:val="000000"/>
                <w:sz w:val="16"/>
                <w:szCs w:val="16"/>
              </w:rPr>
              <w:t>690</w:t>
            </w:r>
          </w:p>
        </w:tc>
        <w:tc>
          <w:tcPr>
            <w:tcW w:w="611" w:type="dxa"/>
            <w:tcBorders>
              <w:top w:val="nil"/>
              <w:left w:val="nil"/>
              <w:bottom w:val="single" w:sz="4" w:space="0" w:color="auto"/>
              <w:right w:val="single" w:sz="4" w:space="0" w:color="auto"/>
            </w:tcBorders>
            <w:shd w:val="clear" w:color="auto" w:fill="auto"/>
            <w:noWrap/>
            <w:vAlign w:val="center"/>
            <w:hideMark/>
          </w:tcPr>
          <w:p w:rsidR="00BA05A3" w:rsidRPr="00E060E5" w:rsidRDefault="00BA05A3" w:rsidP="00DA7A22">
            <w:pPr>
              <w:spacing w:line="240" w:lineRule="auto"/>
              <w:jc w:val="center"/>
              <w:rPr>
                <w:rFonts w:asciiTheme="minorHAnsi" w:eastAsia="Times New Roman" w:hAnsiTheme="minorHAnsi" w:cstheme="minorHAnsi"/>
                <w:color w:val="000000"/>
                <w:sz w:val="16"/>
                <w:szCs w:val="16"/>
              </w:rPr>
            </w:pPr>
            <w:r w:rsidRPr="00E060E5">
              <w:rPr>
                <w:rFonts w:asciiTheme="minorHAnsi" w:eastAsia="Times New Roman" w:hAnsiTheme="minorHAnsi" w:cstheme="minorHAnsi"/>
                <w:color w:val="000000"/>
                <w:sz w:val="16"/>
                <w:szCs w:val="16"/>
              </w:rPr>
              <w:t>820</w:t>
            </w:r>
          </w:p>
        </w:tc>
      </w:tr>
      <w:tr w:rsidR="00BA05A3" w:rsidRPr="00E060E5" w:rsidTr="00BA05A3">
        <w:trPr>
          <w:trHeight w:val="301"/>
        </w:trPr>
        <w:tc>
          <w:tcPr>
            <w:tcW w:w="3520" w:type="dxa"/>
            <w:tcBorders>
              <w:top w:val="nil"/>
              <w:left w:val="single" w:sz="4" w:space="0" w:color="auto"/>
              <w:bottom w:val="single" w:sz="4" w:space="0" w:color="auto"/>
              <w:right w:val="single" w:sz="4" w:space="0" w:color="auto"/>
            </w:tcBorders>
            <w:shd w:val="clear" w:color="000000" w:fill="BEECF0"/>
            <w:noWrap/>
            <w:vAlign w:val="center"/>
            <w:hideMark/>
          </w:tcPr>
          <w:p w:rsidR="00BA05A3" w:rsidRPr="00E060E5" w:rsidRDefault="00BA05A3" w:rsidP="00DA7A22">
            <w:pPr>
              <w:spacing w:line="240" w:lineRule="auto"/>
              <w:rPr>
                <w:rFonts w:asciiTheme="minorHAnsi" w:eastAsia="Times New Roman" w:hAnsiTheme="minorHAnsi" w:cstheme="minorHAnsi"/>
                <w:color w:val="000000"/>
                <w:sz w:val="16"/>
                <w:szCs w:val="16"/>
              </w:rPr>
            </w:pPr>
            <w:r w:rsidRPr="00E060E5">
              <w:rPr>
                <w:rFonts w:asciiTheme="minorHAnsi" w:eastAsia="Times New Roman" w:hAnsiTheme="minorHAnsi" w:cstheme="minorHAnsi"/>
                <w:color w:val="000000"/>
                <w:sz w:val="16"/>
                <w:szCs w:val="16"/>
              </w:rPr>
              <w:t>gminy sąsiadujące</w:t>
            </w:r>
          </w:p>
        </w:tc>
        <w:tc>
          <w:tcPr>
            <w:tcW w:w="734" w:type="dxa"/>
            <w:tcBorders>
              <w:top w:val="nil"/>
              <w:left w:val="nil"/>
              <w:bottom w:val="single" w:sz="4" w:space="0" w:color="auto"/>
              <w:right w:val="single" w:sz="4" w:space="0" w:color="auto"/>
            </w:tcBorders>
            <w:shd w:val="clear" w:color="000000" w:fill="BEECF0"/>
            <w:noWrap/>
            <w:vAlign w:val="center"/>
            <w:hideMark/>
          </w:tcPr>
          <w:p w:rsidR="00BA05A3" w:rsidRPr="00E060E5" w:rsidRDefault="00BA05A3" w:rsidP="00DA7A22">
            <w:pPr>
              <w:spacing w:line="240" w:lineRule="auto"/>
              <w:rPr>
                <w:rFonts w:asciiTheme="minorHAnsi" w:eastAsia="Times New Roman" w:hAnsiTheme="minorHAnsi" w:cstheme="minorHAnsi"/>
                <w:color w:val="000000"/>
                <w:sz w:val="16"/>
                <w:szCs w:val="16"/>
              </w:rPr>
            </w:pPr>
            <w:r w:rsidRPr="00E060E5">
              <w:rPr>
                <w:rFonts w:asciiTheme="minorHAnsi" w:eastAsia="Times New Roman" w:hAnsiTheme="minorHAnsi" w:cstheme="minorHAnsi"/>
                <w:color w:val="000000"/>
                <w:sz w:val="16"/>
                <w:szCs w:val="16"/>
              </w:rPr>
              <w:t>4171,20</w:t>
            </w:r>
          </w:p>
        </w:tc>
        <w:tc>
          <w:tcPr>
            <w:tcW w:w="1369" w:type="dxa"/>
            <w:tcBorders>
              <w:top w:val="nil"/>
              <w:left w:val="nil"/>
              <w:bottom w:val="single" w:sz="4" w:space="0" w:color="auto"/>
              <w:right w:val="single" w:sz="4" w:space="0" w:color="auto"/>
            </w:tcBorders>
            <w:shd w:val="clear" w:color="000000" w:fill="BEECF0"/>
            <w:noWrap/>
            <w:vAlign w:val="center"/>
            <w:hideMark/>
          </w:tcPr>
          <w:p w:rsidR="00BA05A3" w:rsidRPr="00E060E5" w:rsidRDefault="00BA05A3" w:rsidP="00DA7A22">
            <w:pPr>
              <w:spacing w:line="240" w:lineRule="auto"/>
              <w:jc w:val="center"/>
              <w:rPr>
                <w:rFonts w:asciiTheme="minorHAnsi" w:eastAsia="Times New Roman" w:hAnsiTheme="minorHAnsi" w:cstheme="minorHAnsi"/>
                <w:color w:val="000000"/>
                <w:sz w:val="16"/>
                <w:szCs w:val="16"/>
              </w:rPr>
            </w:pPr>
            <w:r w:rsidRPr="00E060E5">
              <w:rPr>
                <w:rFonts w:asciiTheme="minorHAnsi" w:eastAsia="Times New Roman" w:hAnsiTheme="minorHAnsi" w:cstheme="minorHAnsi"/>
                <w:color w:val="000000"/>
                <w:sz w:val="16"/>
                <w:szCs w:val="16"/>
              </w:rPr>
              <w:t>6,26</w:t>
            </w:r>
          </w:p>
        </w:tc>
        <w:tc>
          <w:tcPr>
            <w:tcW w:w="608" w:type="dxa"/>
            <w:tcBorders>
              <w:top w:val="nil"/>
              <w:left w:val="nil"/>
              <w:bottom w:val="single" w:sz="4" w:space="0" w:color="auto"/>
              <w:right w:val="single" w:sz="4" w:space="0" w:color="auto"/>
            </w:tcBorders>
            <w:shd w:val="clear" w:color="000000" w:fill="BEECF0"/>
            <w:noWrap/>
            <w:vAlign w:val="center"/>
            <w:hideMark/>
          </w:tcPr>
          <w:p w:rsidR="00BA05A3" w:rsidRPr="00E060E5" w:rsidRDefault="00BA05A3" w:rsidP="00DA7A22">
            <w:pPr>
              <w:spacing w:line="240" w:lineRule="auto"/>
              <w:jc w:val="center"/>
              <w:rPr>
                <w:rFonts w:asciiTheme="minorHAnsi" w:eastAsia="Times New Roman" w:hAnsiTheme="minorHAnsi" w:cstheme="minorHAnsi"/>
                <w:color w:val="000000"/>
                <w:sz w:val="16"/>
                <w:szCs w:val="16"/>
              </w:rPr>
            </w:pPr>
            <w:r w:rsidRPr="00E060E5">
              <w:rPr>
                <w:rFonts w:asciiTheme="minorHAnsi" w:eastAsia="Times New Roman" w:hAnsiTheme="minorHAnsi" w:cstheme="minorHAnsi"/>
                <w:color w:val="000000"/>
                <w:sz w:val="16"/>
                <w:szCs w:val="16"/>
              </w:rPr>
              <w:t>125</w:t>
            </w:r>
          </w:p>
        </w:tc>
        <w:tc>
          <w:tcPr>
            <w:tcW w:w="608" w:type="dxa"/>
            <w:tcBorders>
              <w:top w:val="nil"/>
              <w:left w:val="nil"/>
              <w:bottom w:val="single" w:sz="4" w:space="0" w:color="auto"/>
              <w:right w:val="single" w:sz="4" w:space="0" w:color="auto"/>
            </w:tcBorders>
            <w:shd w:val="clear" w:color="000000" w:fill="BEECF0"/>
            <w:noWrap/>
            <w:vAlign w:val="center"/>
            <w:hideMark/>
          </w:tcPr>
          <w:p w:rsidR="00BA05A3" w:rsidRPr="00E060E5" w:rsidRDefault="00BA05A3" w:rsidP="00DA7A22">
            <w:pPr>
              <w:spacing w:line="240" w:lineRule="auto"/>
              <w:jc w:val="center"/>
              <w:rPr>
                <w:rFonts w:asciiTheme="minorHAnsi" w:eastAsia="Times New Roman" w:hAnsiTheme="minorHAnsi" w:cstheme="minorHAnsi"/>
                <w:color w:val="000000"/>
                <w:sz w:val="16"/>
                <w:szCs w:val="16"/>
              </w:rPr>
            </w:pPr>
            <w:r w:rsidRPr="00E060E5">
              <w:rPr>
                <w:rFonts w:asciiTheme="minorHAnsi" w:eastAsia="Times New Roman" w:hAnsiTheme="minorHAnsi" w:cstheme="minorHAnsi"/>
                <w:color w:val="000000"/>
                <w:sz w:val="16"/>
                <w:szCs w:val="16"/>
              </w:rPr>
              <w:t>219</w:t>
            </w:r>
          </w:p>
        </w:tc>
        <w:tc>
          <w:tcPr>
            <w:tcW w:w="608" w:type="dxa"/>
            <w:tcBorders>
              <w:top w:val="nil"/>
              <w:left w:val="nil"/>
              <w:bottom w:val="single" w:sz="4" w:space="0" w:color="auto"/>
              <w:right w:val="single" w:sz="4" w:space="0" w:color="auto"/>
            </w:tcBorders>
            <w:shd w:val="clear" w:color="000000" w:fill="BEECF0"/>
            <w:noWrap/>
            <w:vAlign w:val="center"/>
            <w:hideMark/>
          </w:tcPr>
          <w:p w:rsidR="00BA05A3" w:rsidRPr="00E060E5" w:rsidRDefault="00BA05A3" w:rsidP="00DA7A22">
            <w:pPr>
              <w:spacing w:line="240" w:lineRule="auto"/>
              <w:jc w:val="center"/>
              <w:rPr>
                <w:rFonts w:asciiTheme="minorHAnsi" w:eastAsia="Times New Roman" w:hAnsiTheme="minorHAnsi" w:cstheme="minorHAnsi"/>
                <w:color w:val="000000"/>
                <w:sz w:val="16"/>
                <w:szCs w:val="16"/>
              </w:rPr>
            </w:pPr>
            <w:r w:rsidRPr="00E060E5">
              <w:rPr>
                <w:rFonts w:asciiTheme="minorHAnsi" w:eastAsia="Times New Roman" w:hAnsiTheme="minorHAnsi" w:cstheme="minorHAnsi"/>
                <w:color w:val="000000"/>
                <w:sz w:val="16"/>
                <w:szCs w:val="16"/>
              </w:rPr>
              <w:t>313</w:t>
            </w:r>
          </w:p>
        </w:tc>
        <w:tc>
          <w:tcPr>
            <w:tcW w:w="608" w:type="dxa"/>
            <w:tcBorders>
              <w:top w:val="nil"/>
              <w:left w:val="nil"/>
              <w:bottom w:val="single" w:sz="4" w:space="0" w:color="auto"/>
              <w:right w:val="single" w:sz="4" w:space="0" w:color="auto"/>
            </w:tcBorders>
            <w:shd w:val="clear" w:color="000000" w:fill="BEECF0"/>
            <w:noWrap/>
            <w:vAlign w:val="center"/>
            <w:hideMark/>
          </w:tcPr>
          <w:p w:rsidR="00BA05A3" w:rsidRPr="00E060E5" w:rsidRDefault="00BA05A3" w:rsidP="00DA7A22">
            <w:pPr>
              <w:spacing w:line="240" w:lineRule="auto"/>
              <w:jc w:val="center"/>
              <w:rPr>
                <w:rFonts w:asciiTheme="minorHAnsi" w:eastAsia="Times New Roman" w:hAnsiTheme="minorHAnsi" w:cstheme="minorHAnsi"/>
                <w:color w:val="000000"/>
                <w:sz w:val="16"/>
                <w:szCs w:val="16"/>
              </w:rPr>
            </w:pPr>
            <w:r w:rsidRPr="00E060E5">
              <w:rPr>
                <w:rFonts w:asciiTheme="minorHAnsi" w:eastAsia="Times New Roman" w:hAnsiTheme="minorHAnsi" w:cstheme="minorHAnsi"/>
                <w:color w:val="000000"/>
                <w:sz w:val="16"/>
                <w:szCs w:val="16"/>
              </w:rPr>
              <w:t>407</w:t>
            </w:r>
          </w:p>
        </w:tc>
        <w:tc>
          <w:tcPr>
            <w:tcW w:w="608" w:type="dxa"/>
            <w:tcBorders>
              <w:top w:val="nil"/>
              <w:left w:val="nil"/>
              <w:bottom w:val="single" w:sz="4" w:space="0" w:color="auto"/>
              <w:right w:val="single" w:sz="4" w:space="0" w:color="auto"/>
            </w:tcBorders>
            <w:shd w:val="clear" w:color="000000" w:fill="BEECF0"/>
            <w:noWrap/>
            <w:vAlign w:val="center"/>
            <w:hideMark/>
          </w:tcPr>
          <w:p w:rsidR="00BA05A3" w:rsidRPr="00E060E5" w:rsidRDefault="00BA05A3" w:rsidP="00DA7A22">
            <w:pPr>
              <w:spacing w:line="240" w:lineRule="auto"/>
              <w:jc w:val="center"/>
              <w:rPr>
                <w:rFonts w:asciiTheme="minorHAnsi" w:eastAsia="Times New Roman" w:hAnsiTheme="minorHAnsi" w:cstheme="minorHAnsi"/>
                <w:color w:val="000000"/>
                <w:sz w:val="16"/>
                <w:szCs w:val="16"/>
              </w:rPr>
            </w:pPr>
            <w:r w:rsidRPr="00E060E5">
              <w:rPr>
                <w:rFonts w:asciiTheme="minorHAnsi" w:eastAsia="Times New Roman" w:hAnsiTheme="minorHAnsi" w:cstheme="minorHAnsi"/>
                <w:color w:val="000000"/>
                <w:sz w:val="16"/>
                <w:szCs w:val="16"/>
              </w:rPr>
              <w:t>501</w:t>
            </w:r>
          </w:p>
        </w:tc>
        <w:tc>
          <w:tcPr>
            <w:tcW w:w="611" w:type="dxa"/>
            <w:tcBorders>
              <w:top w:val="nil"/>
              <w:left w:val="nil"/>
              <w:bottom w:val="single" w:sz="4" w:space="0" w:color="auto"/>
              <w:right w:val="single" w:sz="4" w:space="0" w:color="auto"/>
            </w:tcBorders>
            <w:shd w:val="clear" w:color="000000" w:fill="BEECF0"/>
            <w:noWrap/>
            <w:vAlign w:val="center"/>
            <w:hideMark/>
          </w:tcPr>
          <w:p w:rsidR="00BA05A3" w:rsidRPr="00E060E5" w:rsidRDefault="00BA05A3" w:rsidP="00DA7A22">
            <w:pPr>
              <w:spacing w:line="240" w:lineRule="auto"/>
              <w:jc w:val="center"/>
              <w:rPr>
                <w:rFonts w:asciiTheme="minorHAnsi" w:eastAsia="Times New Roman" w:hAnsiTheme="minorHAnsi" w:cstheme="minorHAnsi"/>
                <w:color w:val="000000"/>
                <w:sz w:val="16"/>
                <w:szCs w:val="16"/>
              </w:rPr>
            </w:pPr>
            <w:r w:rsidRPr="00E060E5">
              <w:rPr>
                <w:rFonts w:asciiTheme="minorHAnsi" w:eastAsia="Times New Roman" w:hAnsiTheme="minorHAnsi" w:cstheme="minorHAnsi"/>
                <w:color w:val="000000"/>
                <w:sz w:val="16"/>
                <w:szCs w:val="16"/>
              </w:rPr>
              <w:t>594</w:t>
            </w:r>
          </w:p>
        </w:tc>
      </w:tr>
      <w:tr w:rsidR="00BA05A3" w:rsidRPr="00E060E5" w:rsidTr="00BA05A3">
        <w:trPr>
          <w:trHeight w:val="301"/>
        </w:trPr>
        <w:tc>
          <w:tcPr>
            <w:tcW w:w="3520" w:type="dxa"/>
            <w:tcBorders>
              <w:top w:val="nil"/>
              <w:left w:val="single" w:sz="4" w:space="0" w:color="auto"/>
              <w:bottom w:val="single" w:sz="4" w:space="0" w:color="auto"/>
              <w:right w:val="single" w:sz="4" w:space="0" w:color="auto"/>
            </w:tcBorders>
            <w:shd w:val="clear" w:color="auto" w:fill="auto"/>
            <w:noWrap/>
            <w:vAlign w:val="center"/>
            <w:hideMark/>
          </w:tcPr>
          <w:p w:rsidR="00BA05A3" w:rsidRPr="00E060E5" w:rsidRDefault="00BA05A3" w:rsidP="00DA7A22">
            <w:pPr>
              <w:spacing w:line="240" w:lineRule="auto"/>
              <w:rPr>
                <w:rFonts w:asciiTheme="minorHAnsi" w:eastAsia="Times New Roman" w:hAnsiTheme="minorHAnsi" w:cstheme="minorHAnsi"/>
                <w:color w:val="000000"/>
                <w:sz w:val="16"/>
                <w:szCs w:val="16"/>
              </w:rPr>
            </w:pPr>
            <w:r w:rsidRPr="00E060E5">
              <w:rPr>
                <w:rFonts w:asciiTheme="minorHAnsi" w:eastAsia="Times New Roman" w:hAnsiTheme="minorHAnsi" w:cstheme="minorHAnsi"/>
                <w:color w:val="000000"/>
                <w:sz w:val="16"/>
                <w:szCs w:val="16"/>
              </w:rPr>
              <w:t>województwo mazowieckie</w:t>
            </w:r>
          </w:p>
        </w:tc>
        <w:tc>
          <w:tcPr>
            <w:tcW w:w="734" w:type="dxa"/>
            <w:tcBorders>
              <w:top w:val="nil"/>
              <w:left w:val="nil"/>
              <w:bottom w:val="single" w:sz="4" w:space="0" w:color="auto"/>
              <w:right w:val="single" w:sz="4" w:space="0" w:color="auto"/>
            </w:tcBorders>
            <w:shd w:val="clear" w:color="auto" w:fill="auto"/>
            <w:noWrap/>
            <w:vAlign w:val="center"/>
            <w:hideMark/>
          </w:tcPr>
          <w:p w:rsidR="00BA05A3" w:rsidRPr="00E060E5" w:rsidRDefault="00BA05A3" w:rsidP="00DA7A22">
            <w:pPr>
              <w:spacing w:line="240" w:lineRule="auto"/>
              <w:rPr>
                <w:rFonts w:asciiTheme="minorHAnsi" w:eastAsia="Times New Roman" w:hAnsiTheme="minorHAnsi" w:cstheme="minorHAnsi"/>
                <w:color w:val="000000"/>
                <w:sz w:val="16"/>
                <w:szCs w:val="16"/>
              </w:rPr>
            </w:pPr>
            <w:r w:rsidRPr="00E060E5">
              <w:rPr>
                <w:rFonts w:asciiTheme="minorHAnsi" w:eastAsia="Times New Roman" w:hAnsiTheme="minorHAnsi" w:cstheme="minorHAnsi"/>
                <w:color w:val="000000"/>
                <w:sz w:val="16"/>
                <w:szCs w:val="16"/>
              </w:rPr>
              <w:t>3476,00</w:t>
            </w:r>
          </w:p>
        </w:tc>
        <w:tc>
          <w:tcPr>
            <w:tcW w:w="1369" w:type="dxa"/>
            <w:tcBorders>
              <w:top w:val="nil"/>
              <w:left w:val="nil"/>
              <w:bottom w:val="single" w:sz="4" w:space="0" w:color="auto"/>
              <w:right w:val="single" w:sz="4" w:space="0" w:color="auto"/>
            </w:tcBorders>
            <w:shd w:val="clear" w:color="auto" w:fill="auto"/>
            <w:noWrap/>
            <w:vAlign w:val="center"/>
            <w:hideMark/>
          </w:tcPr>
          <w:p w:rsidR="00BA05A3" w:rsidRPr="00E060E5" w:rsidRDefault="00BA05A3" w:rsidP="00DA7A22">
            <w:pPr>
              <w:spacing w:line="240" w:lineRule="auto"/>
              <w:jc w:val="center"/>
              <w:rPr>
                <w:rFonts w:asciiTheme="minorHAnsi" w:eastAsia="Times New Roman" w:hAnsiTheme="minorHAnsi" w:cstheme="minorHAnsi"/>
                <w:color w:val="000000"/>
                <w:sz w:val="16"/>
                <w:szCs w:val="16"/>
              </w:rPr>
            </w:pPr>
            <w:r w:rsidRPr="00E060E5">
              <w:rPr>
                <w:rFonts w:asciiTheme="minorHAnsi" w:eastAsia="Times New Roman" w:hAnsiTheme="minorHAnsi" w:cstheme="minorHAnsi"/>
                <w:color w:val="000000"/>
                <w:sz w:val="16"/>
                <w:szCs w:val="16"/>
              </w:rPr>
              <w:t>5,21</w:t>
            </w:r>
          </w:p>
        </w:tc>
        <w:tc>
          <w:tcPr>
            <w:tcW w:w="608" w:type="dxa"/>
            <w:tcBorders>
              <w:top w:val="nil"/>
              <w:left w:val="nil"/>
              <w:bottom w:val="single" w:sz="4" w:space="0" w:color="auto"/>
              <w:right w:val="single" w:sz="4" w:space="0" w:color="auto"/>
            </w:tcBorders>
            <w:shd w:val="clear" w:color="auto" w:fill="auto"/>
            <w:noWrap/>
            <w:vAlign w:val="center"/>
            <w:hideMark/>
          </w:tcPr>
          <w:p w:rsidR="00BA05A3" w:rsidRPr="00E060E5" w:rsidRDefault="00BA05A3" w:rsidP="00DA7A22">
            <w:pPr>
              <w:spacing w:line="240" w:lineRule="auto"/>
              <w:jc w:val="center"/>
              <w:rPr>
                <w:rFonts w:asciiTheme="minorHAnsi" w:eastAsia="Times New Roman" w:hAnsiTheme="minorHAnsi" w:cstheme="minorHAnsi"/>
                <w:color w:val="000000"/>
                <w:sz w:val="16"/>
                <w:szCs w:val="16"/>
              </w:rPr>
            </w:pPr>
            <w:r w:rsidRPr="00E060E5">
              <w:rPr>
                <w:rFonts w:asciiTheme="minorHAnsi" w:eastAsia="Times New Roman" w:hAnsiTheme="minorHAnsi" w:cstheme="minorHAnsi"/>
                <w:color w:val="000000"/>
                <w:sz w:val="16"/>
                <w:szCs w:val="16"/>
              </w:rPr>
              <w:t>104</w:t>
            </w:r>
          </w:p>
        </w:tc>
        <w:tc>
          <w:tcPr>
            <w:tcW w:w="608" w:type="dxa"/>
            <w:tcBorders>
              <w:top w:val="nil"/>
              <w:left w:val="nil"/>
              <w:bottom w:val="single" w:sz="4" w:space="0" w:color="auto"/>
              <w:right w:val="single" w:sz="4" w:space="0" w:color="auto"/>
            </w:tcBorders>
            <w:shd w:val="clear" w:color="auto" w:fill="auto"/>
            <w:noWrap/>
            <w:vAlign w:val="center"/>
            <w:hideMark/>
          </w:tcPr>
          <w:p w:rsidR="00BA05A3" w:rsidRPr="00E060E5" w:rsidRDefault="00BA05A3" w:rsidP="00DA7A22">
            <w:pPr>
              <w:spacing w:line="240" w:lineRule="auto"/>
              <w:jc w:val="center"/>
              <w:rPr>
                <w:rFonts w:asciiTheme="minorHAnsi" w:eastAsia="Times New Roman" w:hAnsiTheme="minorHAnsi" w:cstheme="minorHAnsi"/>
                <w:color w:val="000000"/>
                <w:sz w:val="16"/>
                <w:szCs w:val="16"/>
              </w:rPr>
            </w:pPr>
            <w:r w:rsidRPr="00E060E5">
              <w:rPr>
                <w:rFonts w:asciiTheme="minorHAnsi" w:eastAsia="Times New Roman" w:hAnsiTheme="minorHAnsi" w:cstheme="minorHAnsi"/>
                <w:color w:val="000000"/>
                <w:sz w:val="16"/>
                <w:szCs w:val="16"/>
              </w:rPr>
              <w:t>182</w:t>
            </w:r>
          </w:p>
        </w:tc>
        <w:tc>
          <w:tcPr>
            <w:tcW w:w="608" w:type="dxa"/>
            <w:tcBorders>
              <w:top w:val="nil"/>
              <w:left w:val="nil"/>
              <w:bottom w:val="single" w:sz="4" w:space="0" w:color="auto"/>
              <w:right w:val="single" w:sz="4" w:space="0" w:color="auto"/>
            </w:tcBorders>
            <w:shd w:val="clear" w:color="auto" w:fill="auto"/>
            <w:noWrap/>
            <w:vAlign w:val="center"/>
            <w:hideMark/>
          </w:tcPr>
          <w:p w:rsidR="00BA05A3" w:rsidRPr="00E060E5" w:rsidRDefault="00BA05A3" w:rsidP="00DA7A22">
            <w:pPr>
              <w:spacing w:line="240" w:lineRule="auto"/>
              <w:jc w:val="center"/>
              <w:rPr>
                <w:rFonts w:asciiTheme="minorHAnsi" w:eastAsia="Times New Roman" w:hAnsiTheme="minorHAnsi" w:cstheme="minorHAnsi"/>
                <w:color w:val="000000"/>
                <w:sz w:val="16"/>
                <w:szCs w:val="16"/>
              </w:rPr>
            </w:pPr>
            <w:r w:rsidRPr="00E060E5">
              <w:rPr>
                <w:rFonts w:asciiTheme="minorHAnsi" w:eastAsia="Times New Roman" w:hAnsiTheme="minorHAnsi" w:cstheme="minorHAnsi"/>
                <w:color w:val="000000"/>
                <w:sz w:val="16"/>
                <w:szCs w:val="16"/>
              </w:rPr>
              <w:t>261</w:t>
            </w:r>
          </w:p>
        </w:tc>
        <w:tc>
          <w:tcPr>
            <w:tcW w:w="608" w:type="dxa"/>
            <w:tcBorders>
              <w:top w:val="nil"/>
              <w:left w:val="nil"/>
              <w:bottom w:val="single" w:sz="4" w:space="0" w:color="auto"/>
              <w:right w:val="single" w:sz="4" w:space="0" w:color="auto"/>
            </w:tcBorders>
            <w:shd w:val="clear" w:color="auto" w:fill="auto"/>
            <w:noWrap/>
            <w:vAlign w:val="center"/>
            <w:hideMark/>
          </w:tcPr>
          <w:p w:rsidR="00BA05A3" w:rsidRPr="00E060E5" w:rsidRDefault="00BA05A3" w:rsidP="00DA7A22">
            <w:pPr>
              <w:spacing w:line="240" w:lineRule="auto"/>
              <w:jc w:val="center"/>
              <w:rPr>
                <w:rFonts w:asciiTheme="minorHAnsi" w:eastAsia="Times New Roman" w:hAnsiTheme="minorHAnsi" w:cstheme="minorHAnsi"/>
                <w:color w:val="000000"/>
                <w:sz w:val="16"/>
                <w:szCs w:val="16"/>
              </w:rPr>
            </w:pPr>
            <w:r w:rsidRPr="00E060E5">
              <w:rPr>
                <w:rFonts w:asciiTheme="minorHAnsi" w:eastAsia="Times New Roman" w:hAnsiTheme="minorHAnsi" w:cstheme="minorHAnsi"/>
                <w:color w:val="000000"/>
                <w:sz w:val="16"/>
                <w:szCs w:val="16"/>
              </w:rPr>
              <w:t>339</w:t>
            </w:r>
          </w:p>
        </w:tc>
        <w:tc>
          <w:tcPr>
            <w:tcW w:w="608" w:type="dxa"/>
            <w:tcBorders>
              <w:top w:val="nil"/>
              <w:left w:val="nil"/>
              <w:bottom w:val="single" w:sz="4" w:space="0" w:color="auto"/>
              <w:right w:val="single" w:sz="4" w:space="0" w:color="auto"/>
            </w:tcBorders>
            <w:shd w:val="clear" w:color="auto" w:fill="auto"/>
            <w:noWrap/>
            <w:vAlign w:val="center"/>
            <w:hideMark/>
          </w:tcPr>
          <w:p w:rsidR="00BA05A3" w:rsidRPr="00E060E5" w:rsidRDefault="00BA05A3" w:rsidP="00DA7A22">
            <w:pPr>
              <w:spacing w:line="240" w:lineRule="auto"/>
              <w:jc w:val="center"/>
              <w:rPr>
                <w:rFonts w:asciiTheme="minorHAnsi" w:eastAsia="Times New Roman" w:hAnsiTheme="minorHAnsi" w:cstheme="minorHAnsi"/>
                <w:color w:val="000000"/>
                <w:sz w:val="16"/>
                <w:szCs w:val="16"/>
              </w:rPr>
            </w:pPr>
            <w:r w:rsidRPr="00E060E5">
              <w:rPr>
                <w:rFonts w:asciiTheme="minorHAnsi" w:eastAsia="Times New Roman" w:hAnsiTheme="minorHAnsi" w:cstheme="minorHAnsi"/>
                <w:color w:val="000000"/>
                <w:sz w:val="16"/>
                <w:szCs w:val="16"/>
              </w:rPr>
              <w:t>417</w:t>
            </w:r>
          </w:p>
        </w:tc>
        <w:tc>
          <w:tcPr>
            <w:tcW w:w="611" w:type="dxa"/>
            <w:tcBorders>
              <w:top w:val="nil"/>
              <w:left w:val="nil"/>
              <w:bottom w:val="single" w:sz="4" w:space="0" w:color="auto"/>
              <w:right w:val="single" w:sz="4" w:space="0" w:color="auto"/>
            </w:tcBorders>
            <w:shd w:val="clear" w:color="auto" w:fill="auto"/>
            <w:noWrap/>
            <w:vAlign w:val="center"/>
            <w:hideMark/>
          </w:tcPr>
          <w:p w:rsidR="00BA05A3" w:rsidRPr="00E060E5" w:rsidRDefault="00BA05A3" w:rsidP="00DA7A22">
            <w:pPr>
              <w:spacing w:line="240" w:lineRule="auto"/>
              <w:jc w:val="center"/>
              <w:rPr>
                <w:rFonts w:asciiTheme="minorHAnsi" w:eastAsia="Times New Roman" w:hAnsiTheme="minorHAnsi" w:cstheme="minorHAnsi"/>
                <w:color w:val="000000"/>
                <w:sz w:val="16"/>
                <w:szCs w:val="16"/>
              </w:rPr>
            </w:pPr>
            <w:r w:rsidRPr="00E060E5">
              <w:rPr>
                <w:rFonts w:asciiTheme="minorHAnsi" w:eastAsia="Times New Roman" w:hAnsiTheme="minorHAnsi" w:cstheme="minorHAnsi"/>
                <w:color w:val="000000"/>
                <w:sz w:val="16"/>
                <w:szCs w:val="16"/>
              </w:rPr>
              <w:t>495</w:t>
            </w:r>
          </w:p>
        </w:tc>
      </w:tr>
      <w:tr w:rsidR="00BA05A3" w:rsidRPr="00E060E5" w:rsidTr="00BA05A3">
        <w:trPr>
          <w:trHeight w:val="301"/>
        </w:trPr>
        <w:tc>
          <w:tcPr>
            <w:tcW w:w="3520" w:type="dxa"/>
            <w:tcBorders>
              <w:top w:val="nil"/>
              <w:left w:val="single" w:sz="4" w:space="0" w:color="auto"/>
              <w:bottom w:val="single" w:sz="4" w:space="0" w:color="auto"/>
              <w:right w:val="single" w:sz="4" w:space="0" w:color="auto"/>
            </w:tcBorders>
            <w:shd w:val="clear" w:color="000000" w:fill="BEECF0"/>
            <w:noWrap/>
            <w:vAlign w:val="center"/>
            <w:hideMark/>
          </w:tcPr>
          <w:p w:rsidR="00BA05A3" w:rsidRPr="00E060E5" w:rsidRDefault="00BA05A3" w:rsidP="00DA7A22">
            <w:pPr>
              <w:spacing w:line="240" w:lineRule="auto"/>
              <w:rPr>
                <w:rFonts w:asciiTheme="minorHAnsi" w:eastAsia="Times New Roman" w:hAnsiTheme="minorHAnsi" w:cstheme="minorHAnsi"/>
                <w:color w:val="000000"/>
                <w:sz w:val="16"/>
                <w:szCs w:val="16"/>
              </w:rPr>
            </w:pPr>
            <w:r w:rsidRPr="00E060E5">
              <w:rPr>
                <w:rFonts w:asciiTheme="minorHAnsi" w:eastAsia="Times New Roman" w:hAnsiTheme="minorHAnsi" w:cstheme="minorHAnsi"/>
                <w:color w:val="000000"/>
                <w:sz w:val="16"/>
                <w:szCs w:val="16"/>
              </w:rPr>
              <w:t>Opole</w:t>
            </w:r>
          </w:p>
        </w:tc>
        <w:tc>
          <w:tcPr>
            <w:tcW w:w="734" w:type="dxa"/>
            <w:tcBorders>
              <w:top w:val="nil"/>
              <w:left w:val="nil"/>
              <w:bottom w:val="single" w:sz="4" w:space="0" w:color="auto"/>
              <w:right w:val="single" w:sz="4" w:space="0" w:color="auto"/>
            </w:tcBorders>
            <w:shd w:val="clear" w:color="000000" w:fill="BEECF0"/>
            <w:noWrap/>
            <w:vAlign w:val="center"/>
            <w:hideMark/>
          </w:tcPr>
          <w:p w:rsidR="00BA05A3" w:rsidRPr="00E060E5" w:rsidRDefault="00BA05A3" w:rsidP="00DA7A22">
            <w:pPr>
              <w:spacing w:line="240" w:lineRule="auto"/>
              <w:rPr>
                <w:rFonts w:asciiTheme="minorHAnsi" w:eastAsia="Times New Roman" w:hAnsiTheme="minorHAnsi" w:cstheme="minorHAnsi"/>
                <w:color w:val="000000"/>
                <w:sz w:val="16"/>
                <w:szCs w:val="16"/>
              </w:rPr>
            </w:pPr>
            <w:r w:rsidRPr="00E060E5">
              <w:rPr>
                <w:rFonts w:asciiTheme="minorHAnsi" w:eastAsia="Times New Roman" w:hAnsiTheme="minorHAnsi" w:cstheme="minorHAnsi"/>
                <w:color w:val="000000"/>
                <w:sz w:val="16"/>
                <w:szCs w:val="16"/>
              </w:rPr>
              <w:t>3836,13</w:t>
            </w:r>
          </w:p>
        </w:tc>
        <w:tc>
          <w:tcPr>
            <w:tcW w:w="1369" w:type="dxa"/>
            <w:tcBorders>
              <w:top w:val="nil"/>
              <w:left w:val="nil"/>
              <w:bottom w:val="single" w:sz="4" w:space="0" w:color="auto"/>
              <w:right w:val="single" w:sz="4" w:space="0" w:color="auto"/>
            </w:tcBorders>
            <w:shd w:val="clear" w:color="000000" w:fill="BEECF0"/>
            <w:noWrap/>
            <w:vAlign w:val="center"/>
            <w:hideMark/>
          </w:tcPr>
          <w:p w:rsidR="00BA05A3" w:rsidRPr="00E060E5" w:rsidRDefault="00BA05A3" w:rsidP="00DA7A22">
            <w:pPr>
              <w:spacing w:line="240" w:lineRule="auto"/>
              <w:jc w:val="center"/>
              <w:rPr>
                <w:rFonts w:asciiTheme="minorHAnsi" w:eastAsia="Times New Roman" w:hAnsiTheme="minorHAnsi" w:cstheme="minorHAnsi"/>
                <w:color w:val="000000"/>
                <w:sz w:val="16"/>
                <w:szCs w:val="16"/>
              </w:rPr>
            </w:pPr>
            <w:r w:rsidRPr="00E060E5">
              <w:rPr>
                <w:rFonts w:asciiTheme="minorHAnsi" w:eastAsia="Times New Roman" w:hAnsiTheme="minorHAnsi" w:cstheme="minorHAnsi"/>
                <w:color w:val="000000"/>
                <w:sz w:val="16"/>
                <w:szCs w:val="16"/>
              </w:rPr>
              <w:t>5,75</w:t>
            </w:r>
          </w:p>
        </w:tc>
        <w:tc>
          <w:tcPr>
            <w:tcW w:w="608" w:type="dxa"/>
            <w:tcBorders>
              <w:top w:val="nil"/>
              <w:left w:val="nil"/>
              <w:bottom w:val="single" w:sz="4" w:space="0" w:color="auto"/>
              <w:right w:val="single" w:sz="4" w:space="0" w:color="auto"/>
            </w:tcBorders>
            <w:shd w:val="clear" w:color="000000" w:fill="BEECF0"/>
            <w:noWrap/>
            <w:vAlign w:val="center"/>
            <w:hideMark/>
          </w:tcPr>
          <w:p w:rsidR="00BA05A3" w:rsidRPr="00E060E5" w:rsidRDefault="00BA05A3" w:rsidP="00DA7A22">
            <w:pPr>
              <w:spacing w:line="240" w:lineRule="auto"/>
              <w:jc w:val="center"/>
              <w:rPr>
                <w:rFonts w:asciiTheme="minorHAnsi" w:eastAsia="Times New Roman" w:hAnsiTheme="minorHAnsi" w:cstheme="minorHAnsi"/>
                <w:color w:val="000000"/>
                <w:sz w:val="16"/>
                <w:szCs w:val="16"/>
              </w:rPr>
            </w:pPr>
            <w:r w:rsidRPr="00E060E5">
              <w:rPr>
                <w:rFonts w:asciiTheme="minorHAnsi" w:eastAsia="Times New Roman" w:hAnsiTheme="minorHAnsi" w:cstheme="minorHAnsi"/>
                <w:color w:val="000000"/>
                <w:sz w:val="16"/>
                <w:szCs w:val="16"/>
              </w:rPr>
              <w:t>115</w:t>
            </w:r>
          </w:p>
        </w:tc>
        <w:tc>
          <w:tcPr>
            <w:tcW w:w="608" w:type="dxa"/>
            <w:tcBorders>
              <w:top w:val="nil"/>
              <w:left w:val="nil"/>
              <w:bottom w:val="single" w:sz="4" w:space="0" w:color="auto"/>
              <w:right w:val="single" w:sz="4" w:space="0" w:color="auto"/>
            </w:tcBorders>
            <w:shd w:val="clear" w:color="000000" w:fill="BEECF0"/>
            <w:noWrap/>
            <w:vAlign w:val="center"/>
            <w:hideMark/>
          </w:tcPr>
          <w:p w:rsidR="00BA05A3" w:rsidRPr="00E060E5" w:rsidRDefault="00BA05A3" w:rsidP="00DA7A22">
            <w:pPr>
              <w:spacing w:line="240" w:lineRule="auto"/>
              <w:jc w:val="center"/>
              <w:rPr>
                <w:rFonts w:asciiTheme="minorHAnsi" w:eastAsia="Times New Roman" w:hAnsiTheme="minorHAnsi" w:cstheme="minorHAnsi"/>
                <w:color w:val="000000"/>
                <w:sz w:val="16"/>
                <w:szCs w:val="16"/>
              </w:rPr>
            </w:pPr>
            <w:r w:rsidRPr="00E060E5">
              <w:rPr>
                <w:rFonts w:asciiTheme="minorHAnsi" w:eastAsia="Times New Roman" w:hAnsiTheme="minorHAnsi" w:cstheme="minorHAnsi"/>
                <w:color w:val="000000"/>
                <w:sz w:val="16"/>
                <w:szCs w:val="16"/>
              </w:rPr>
              <w:t>201</w:t>
            </w:r>
          </w:p>
        </w:tc>
        <w:tc>
          <w:tcPr>
            <w:tcW w:w="608" w:type="dxa"/>
            <w:tcBorders>
              <w:top w:val="nil"/>
              <w:left w:val="nil"/>
              <w:bottom w:val="single" w:sz="4" w:space="0" w:color="auto"/>
              <w:right w:val="single" w:sz="4" w:space="0" w:color="auto"/>
            </w:tcBorders>
            <w:shd w:val="clear" w:color="000000" w:fill="BEECF0"/>
            <w:noWrap/>
            <w:vAlign w:val="center"/>
            <w:hideMark/>
          </w:tcPr>
          <w:p w:rsidR="00BA05A3" w:rsidRPr="00E060E5" w:rsidRDefault="00BA05A3" w:rsidP="00DA7A22">
            <w:pPr>
              <w:spacing w:line="240" w:lineRule="auto"/>
              <w:jc w:val="center"/>
              <w:rPr>
                <w:rFonts w:asciiTheme="minorHAnsi" w:eastAsia="Times New Roman" w:hAnsiTheme="minorHAnsi" w:cstheme="minorHAnsi"/>
                <w:color w:val="000000"/>
                <w:sz w:val="16"/>
                <w:szCs w:val="16"/>
              </w:rPr>
            </w:pPr>
            <w:r w:rsidRPr="00E060E5">
              <w:rPr>
                <w:rFonts w:asciiTheme="minorHAnsi" w:eastAsia="Times New Roman" w:hAnsiTheme="minorHAnsi" w:cstheme="minorHAnsi"/>
                <w:color w:val="000000"/>
                <w:sz w:val="16"/>
                <w:szCs w:val="16"/>
              </w:rPr>
              <w:t>288</w:t>
            </w:r>
          </w:p>
        </w:tc>
        <w:tc>
          <w:tcPr>
            <w:tcW w:w="608" w:type="dxa"/>
            <w:tcBorders>
              <w:top w:val="nil"/>
              <w:left w:val="nil"/>
              <w:bottom w:val="single" w:sz="4" w:space="0" w:color="auto"/>
              <w:right w:val="single" w:sz="4" w:space="0" w:color="auto"/>
            </w:tcBorders>
            <w:shd w:val="clear" w:color="000000" w:fill="BEECF0"/>
            <w:noWrap/>
            <w:vAlign w:val="center"/>
            <w:hideMark/>
          </w:tcPr>
          <w:p w:rsidR="00BA05A3" w:rsidRPr="00E060E5" w:rsidRDefault="00BA05A3" w:rsidP="00DA7A22">
            <w:pPr>
              <w:spacing w:line="240" w:lineRule="auto"/>
              <w:jc w:val="center"/>
              <w:rPr>
                <w:rFonts w:asciiTheme="minorHAnsi" w:eastAsia="Times New Roman" w:hAnsiTheme="minorHAnsi" w:cstheme="minorHAnsi"/>
                <w:color w:val="000000"/>
                <w:sz w:val="16"/>
                <w:szCs w:val="16"/>
              </w:rPr>
            </w:pPr>
            <w:r w:rsidRPr="00E060E5">
              <w:rPr>
                <w:rFonts w:asciiTheme="minorHAnsi" w:eastAsia="Times New Roman" w:hAnsiTheme="minorHAnsi" w:cstheme="minorHAnsi"/>
                <w:color w:val="000000"/>
                <w:sz w:val="16"/>
                <w:szCs w:val="16"/>
              </w:rPr>
              <w:t>374</w:t>
            </w:r>
          </w:p>
        </w:tc>
        <w:tc>
          <w:tcPr>
            <w:tcW w:w="608" w:type="dxa"/>
            <w:tcBorders>
              <w:top w:val="nil"/>
              <w:left w:val="nil"/>
              <w:bottom w:val="single" w:sz="4" w:space="0" w:color="auto"/>
              <w:right w:val="single" w:sz="4" w:space="0" w:color="auto"/>
            </w:tcBorders>
            <w:shd w:val="clear" w:color="000000" w:fill="BEECF0"/>
            <w:noWrap/>
            <w:vAlign w:val="center"/>
            <w:hideMark/>
          </w:tcPr>
          <w:p w:rsidR="00BA05A3" w:rsidRPr="00E060E5" w:rsidRDefault="00BA05A3" w:rsidP="00DA7A22">
            <w:pPr>
              <w:spacing w:line="240" w:lineRule="auto"/>
              <w:jc w:val="center"/>
              <w:rPr>
                <w:rFonts w:asciiTheme="minorHAnsi" w:eastAsia="Times New Roman" w:hAnsiTheme="minorHAnsi" w:cstheme="minorHAnsi"/>
                <w:color w:val="000000"/>
                <w:sz w:val="16"/>
                <w:szCs w:val="16"/>
              </w:rPr>
            </w:pPr>
            <w:r w:rsidRPr="00E060E5">
              <w:rPr>
                <w:rFonts w:asciiTheme="minorHAnsi" w:eastAsia="Times New Roman" w:hAnsiTheme="minorHAnsi" w:cstheme="minorHAnsi"/>
                <w:color w:val="000000"/>
                <w:sz w:val="16"/>
                <w:szCs w:val="16"/>
              </w:rPr>
              <w:t>460</w:t>
            </w:r>
          </w:p>
        </w:tc>
        <w:tc>
          <w:tcPr>
            <w:tcW w:w="611" w:type="dxa"/>
            <w:tcBorders>
              <w:top w:val="nil"/>
              <w:left w:val="nil"/>
              <w:bottom w:val="single" w:sz="4" w:space="0" w:color="auto"/>
              <w:right w:val="single" w:sz="4" w:space="0" w:color="auto"/>
            </w:tcBorders>
            <w:shd w:val="clear" w:color="000000" w:fill="BEECF0"/>
            <w:noWrap/>
            <w:vAlign w:val="center"/>
            <w:hideMark/>
          </w:tcPr>
          <w:p w:rsidR="00BA05A3" w:rsidRPr="00E060E5" w:rsidRDefault="00BA05A3" w:rsidP="00DA7A22">
            <w:pPr>
              <w:spacing w:line="240" w:lineRule="auto"/>
              <w:jc w:val="center"/>
              <w:rPr>
                <w:rFonts w:asciiTheme="minorHAnsi" w:eastAsia="Times New Roman" w:hAnsiTheme="minorHAnsi" w:cstheme="minorHAnsi"/>
                <w:color w:val="000000"/>
                <w:sz w:val="16"/>
                <w:szCs w:val="16"/>
              </w:rPr>
            </w:pPr>
            <w:r w:rsidRPr="00E060E5">
              <w:rPr>
                <w:rFonts w:asciiTheme="minorHAnsi" w:eastAsia="Times New Roman" w:hAnsiTheme="minorHAnsi" w:cstheme="minorHAnsi"/>
                <w:color w:val="000000"/>
                <w:sz w:val="16"/>
                <w:szCs w:val="16"/>
              </w:rPr>
              <w:t>547</w:t>
            </w:r>
          </w:p>
        </w:tc>
      </w:tr>
      <w:tr w:rsidR="00BA05A3" w:rsidRPr="00E060E5" w:rsidTr="00BA05A3">
        <w:trPr>
          <w:trHeight w:val="301"/>
        </w:trPr>
        <w:tc>
          <w:tcPr>
            <w:tcW w:w="3520" w:type="dxa"/>
            <w:tcBorders>
              <w:top w:val="nil"/>
              <w:left w:val="single" w:sz="4" w:space="0" w:color="auto"/>
              <w:bottom w:val="single" w:sz="4" w:space="0" w:color="auto"/>
              <w:right w:val="single" w:sz="4" w:space="0" w:color="auto"/>
            </w:tcBorders>
            <w:shd w:val="clear" w:color="auto" w:fill="auto"/>
            <w:noWrap/>
            <w:vAlign w:val="center"/>
            <w:hideMark/>
          </w:tcPr>
          <w:p w:rsidR="00BA05A3" w:rsidRPr="00E060E5" w:rsidRDefault="00BA05A3" w:rsidP="00DA7A22">
            <w:pPr>
              <w:spacing w:line="240" w:lineRule="auto"/>
              <w:rPr>
                <w:rFonts w:asciiTheme="minorHAnsi" w:eastAsia="Times New Roman" w:hAnsiTheme="minorHAnsi" w:cstheme="minorHAnsi"/>
                <w:color w:val="000000"/>
                <w:sz w:val="16"/>
                <w:szCs w:val="16"/>
              </w:rPr>
            </w:pPr>
            <w:r w:rsidRPr="00E060E5">
              <w:rPr>
                <w:rFonts w:asciiTheme="minorHAnsi" w:eastAsia="Times New Roman" w:hAnsiTheme="minorHAnsi" w:cstheme="minorHAnsi"/>
                <w:color w:val="000000"/>
                <w:sz w:val="16"/>
                <w:szCs w:val="16"/>
              </w:rPr>
              <w:t>gminy sąsiadujące</w:t>
            </w:r>
          </w:p>
        </w:tc>
        <w:tc>
          <w:tcPr>
            <w:tcW w:w="734" w:type="dxa"/>
            <w:tcBorders>
              <w:top w:val="nil"/>
              <w:left w:val="nil"/>
              <w:bottom w:val="single" w:sz="4" w:space="0" w:color="auto"/>
              <w:right w:val="single" w:sz="4" w:space="0" w:color="auto"/>
            </w:tcBorders>
            <w:shd w:val="clear" w:color="auto" w:fill="auto"/>
            <w:noWrap/>
            <w:vAlign w:val="center"/>
            <w:hideMark/>
          </w:tcPr>
          <w:p w:rsidR="00BA05A3" w:rsidRPr="00E060E5" w:rsidRDefault="00BA05A3" w:rsidP="00DA7A22">
            <w:pPr>
              <w:spacing w:line="240" w:lineRule="auto"/>
              <w:rPr>
                <w:rFonts w:asciiTheme="minorHAnsi" w:eastAsia="Times New Roman" w:hAnsiTheme="minorHAnsi" w:cstheme="minorHAnsi"/>
                <w:color w:val="000000"/>
                <w:sz w:val="16"/>
                <w:szCs w:val="16"/>
              </w:rPr>
            </w:pPr>
            <w:r w:rsidRPr="00E060E5">
              <w:rPr>
                <w:rFonts w:asciiTheme="minorHAnsi" w:eastAsia="Times New Roman" w:hAnsiTheme="minorHAnsi" w:cstheme="minorHAnsi"/>
                <w:color w:val="000000"/>
                <w:sz w:val="16"/>
                <w:szCs w:val="16"/>
              </w:rPr>
              <w:t>3487,16</w:t>
            </w:r>
          </w:p>
        </w:tc>
        <w:tc>
          <w:tcPr>
            <w:tcW w:w="1369" w:type="dxa"/>
            <w:tcBorders>
              <w:top w:val="nil"/>
              <w:left w:val="nil"/>
              <w:bottom w:val="single" w:sz="4" w:space="0" w:color="auto"/>
              <w:right w:val="single" w:sz="4" w:space="0" w:color="auto"/>
            </w:tcBorders>
            <w:shd w:val="clear" w:color="auto" w:fill="auto"/>
            <w:noWrap/>
            <w:vAlign w:val="center"/>
            <w:hideMark/>
          </w:tcPr>
          <w:p w:rsidR="00BA05A3" w:rsidRPr="00E060E5" w:rsidRDefault="00BA05A3" w:rsidP="00DA7A22">
            <w:pPr>
              <w:spacing w:line="240" w:lineRule="auto"/>
              <w:jc w:val="center"/>
              <w:rPr>
                <w:rFonts w:asciiTheme="minorHAnsi" w:eastAsia="Times New Roman" w:hAnsiTheme="minorHAnsi" w:cstheme="minorHAnsi"/>
                <w:color w:val="000000"/>
                <w:sz w:val="16"/>
                <w:szCs w:val="16"/>
              </w:rPr>
            </w:pPr>
            <w:r w:rsidRPr="00E060E5">
              <w:rPr>
                <w:rFonts w:asciiTheme="minorHAnsi" w:eastAsia="Times New Roman" w:hAnsiTheme="minorHAnsi" w:cstheme="minorHAnsi"/>
                <w:color w:val="000000"/>
                <w:sz w:val="16"/>
                <w:szCs w:val="16"/>
              </w:rPr>
              <w:t>5,23</w:t>
            </w:r>
          </w:p>
        </w:tc>
        <w:tc>
          <w:tcPr>
            <w:tcW w:w="608" w:type="dxa"/>
            <w:tcBorders>
              <w:top w:val="nil"/>
              <w:left w:val="nil"/>
              <w:bottom w:val="single" w:sz="4" w:space="0" w:color="auto"/>
              <w:right w:val="single" w:sz="4" w:space="0" w:color="auto"/>
            </w:tcBorders>
            <w:shd w:val="clear" w:color="auto" w:fill="auto"/>
            <w:noWrap/>
            <w:vAlign w:val="center"/>
            <w:hideMark/>
          </w:tcPr>
          <w:p w:rsidR="00BA05A3" w:rsidRPr="00E060E5" w:rsidRDefault="00BA05A3" w:rsidP="00DA7A22">
            <w:pPr>
              <w:spacing w:line="240" w:lineRule="auto"/>
              <w:jc w:val="center"/>
              <w:rPr>
                <w:rFonts w:asciiTheme="minorHAnsi" w:eastAsia="Times New Roman" w:hAnsiTheme="minorHAnsi" w:cstheme="minorHAnsi"/>
                <w:color w:val="000000"/>
                <w:sz w:val="16"/>
                <w:szCs w:val="16"/>
              </w:rPr>
            </w:pPr>
            <w:r w:rsidRPr="00E060E5">
              <w:rPr>
                <w:rFonts w:asciiTheme="minorHAnsi" w:eastAsia="Times New Roman" w:hAnsiTheme="minorHAnsi" w:cstheme="minorHAnsi"/>
                <w:color w:val="000000"/>
                <w:sz w:val="16"/>
                <w:szCs w:val="16"/>
              </w:rPr>
              <w:t>105</w:t>
            </w:r>
          </w:p>
        </w:tc>
        <w:tc>
          <w:tcPr>
            <w:tcW w:w="608" w:type="dxa"/>
            <w:tcBorders>
              <w:top w:val="nil"/>
              <w:left w:val="nil"/>
              <w:bottom w:val="single" w:sz="4" w:space="0" w:color="auto"/>
              <w:right w:val="single" w:sz="4" w:space="0" w:color="auto"/>
            </w:tcBorders>
            <w:shd w:val="clear" w:color="auto" w:fill="auto"/>
            <w:noWrap/>
            <w:vAlign w:val="center"/>
            <w:hideMark/>
          </w:tcPr>
          <w:p w:rsidR="00BA05A3" w:rsidRPr="00E060E5" w:rsidRDefault="00BA05A3" w:rsidP="00DA7A22">
            <w:pPr>
              <w:spacing w:line="240" w:lineRule="auto"/>
              <w:jc w:val="center"/>
              <w:rPr>
                <w:rFonts w:asciiTheme="minorHAnsi" w:eastAsia="Times New Roman" w:hAnsiTheme="minorHAnsi" w:cstheme="minorHAnsi"/>
                <w:color w:val="000000"/>
                <w:sz w:val="16"/>
                <w:szCs w:val="16"/>
              </w:rPr>
            </w:pPr>
            <w:r w:rsidRPr="00E060E5">
              <w:rPr>
                <w:rFonts w:asciiTheme="minorHAnsi" w:eastAsia="Times New Roman" w:hAnsiTheme="minorHAnsi" w:cstheme="minorHAnsi"/>
                <w:color w:val="000000"/>
                <w:sz w:val="16"/>
                <w:szCs w:val="16"/>
              </w:rPr>
              <w:t>183</w:t>
            </w:r>
          </w:p>
        </w:tc>
        <w:tc>
          <w:tcPr>
            <w:tcW w:w="608" w:type="dxa"/>
            <w:tcBorders>
              <w:top w:val="nil"/>
              <w:left w:val="nil"/>
              <w:bottom w:val="single" w:sz="4" w:space="0" w:color="auto"/>
              <w:right w:val="single" w:sz="4" w:space="0" w:color="auto"/>
            </w:tcBorders>
            <w:shd w:val="clear" w:color="auto" w:fill="auto"/>
            <w:noWrap/>
            <w:vAlign w:val="center"/>
            <w:hideMark/>
          </w:tcPr>
          <w:p w:rsidR="00BA05A3" w:rsidRPr="00E060E5" w:rsidRDefault="00BA05A3" w:rsidP="00DA7A22">
            <w:pPr>
              <w:spacing w:line="240" w:lineRule="auto"/>
              <w:jc w:val="center"/>
              <w:rPr>
                <w:rFonts w:asciiTheme="minorHAnsi" w:eastAsia="Times New Roman" w:hAnsiTheme="minorHAnsi" w:cstheme="minorHAnsi"/>
                <w:color w:val="000000"/>
                <w:sz w:val="16"/>
                <w:szCs w:val="16"/>
              </w:rPr>
            </w:pPr>
            <w:r w:rsidRPr="00E060E5">
              <w:rPr>
                <w:rFonts w:asciiTheme="minorHAnsi" w:eastAsia="Times New Roman" w:hAnsiTheme="minorHAnsi" w:cstheme="minorHAnsi"/>
                <w:color w:val="000000"/>
                <w:sz w:val="16"/>
                <w:szCs w:val="16"/>
              </w:rPr>
              <w:t>262</w:t>
            </w:r>
          </w:p>
        </w:tc>
        <w:tc>
          <w:tcPr>
            <w:tcW w:w="608" w:type="dxa"/>
            <w:tcBorders>
              <w:top w:val="nil"/>
              <w:left w:val="nil"/>
              <w:bottom w:val="single" w:sz="4" w:space="0" w:color="auto"/>
              <w:right w:val="single" w:sz="4" w:space="0" w:color="auto"/>
            </w:tcBorders>
            <w:shd w:val="clear" w:color="auto" w:fill="auto"/>
            <w:noWrap/>
            <w:vAlign w:val="center"/>
            <w:hideMark/>
          </w:tcPr>
          <w:p w:rsidR="00BA05A3" w:rsidRPr="00E060E5" w:rsidRDefault="00BA05A3" w:rsidP="00DA7A22">
            <w:pPr>
              <w:spacing w:line="240" w:lineRule="auto"/>
              <w:jc w:val="center"/>
              <w:rPr>
                <w:rFonts w:asciiTheme="minorHAnsi" w:eastAsia="Times New Roman" w:hAnsiTheme="minorHAnsi" w:cstheme="minorHAnsi"/>
                <w:color w:val="000000"/>
                <w:sz w:val="16"/>
                <w:szCs w:val="16"/>
              </w:rPr>
            </w:pPr>
            <w:r w:rsidRPr="00E060E5">
              <w:rPr>
                <w:rFonts w:asciiTheme="minorHAnsi" w:eastAsia="Times New Roman" w:hAnsiTheme="minorHAnsi" w:cstheme="minorHAnsi"/>
                <w:color w:val="000000"/>
                <w:sz w:val="16"/>
                <w:szCs w:val="16"/>
              </w:rPr>
              <w:t>340</w:t>
            </w:r>
          </w:p>
        </w:tc>
        <w:tc>
          <w:tcPr>
            <w:tcW w:w="608" w:type="dxa"/>
            <w:tcBorders>
              <w:top w:val="nil"/>
              <w:left w:val="nil"/>
              <w:bottom w:val="single" w:sz="4" w:space="0" w:color="auto"/>
              <w:right w:val="single" w:sz="4" w:space="0" w:color="auto"/>
            </w:tcBorders>
            <w:shd w:val="clear" w:color="auto" w:fill="auto"/>
            <w:noWrap/>
            <w:vAlign w:val="center"/>
            <w:hideMark/>
          </w:tcPr>
          <w:p w:rsidR="00BA05A3" w:rsidRPr="00E060E5" w:rsidRDefault="00BA05A3" w:rsidP="00DA7A22">
            <w:pPr>
              <w:spacing w:line="240" w:lineRule="auto"/>
              <w:jc w:val="center"/>
              <w:rPr>
                <w:rFonts w:asciiTheme="minorHAnsi" w:eastAsia="Times New Roman" w:hAnsiTheme="minorHAnsi" w:cstheme="minorHAnsi"/>
                <w:color w:val="000000"/>
                <w:sz w:val="16"/>
                <w:szCs w:val="16"/>
              </w:rPr>
            </w:pPr>
            <w:r w:rsidRPr="00E060E5">
              <w:rPr>
                <w:rFonts w:asciiTheme="minorHAnsi" w:eastAsia="Times New Roman" w:hAnsiTheme="minorHAnsi" w:cstheme="minorHAnsi"/>
                <w:color w:val="000000"/>
                <w:sz w:val="16"/>
                <w:szCs w:val="16"/>
              </w:rPr>
              <w:t>418</w:t>
            </w:r>
          </w:p>
        </w:tc>
        <w:tc>
          <w:tcPr>
            <w:tcW w:w="611" w:type="dxa"/>
            <w:tcBorders>
              <w:top w:val="nil"/>
              <w:left w:val="nil"/>
              <w:bottom w:val="single" w:sz="4" w:space="0" w:color="auto"/>
              <w:right w:val="single" w:sz="4" w:space="0" w:color="auto"/>
            </w:tcBorders>
            <w:shd w:val="clear" w:color="auto" w:fill="auto"/>
            <w:noWrap/>
            <w:vAlign w:val="center"/>
            <w:hideMark/>
          </w:tcPr>
          <w:p w:rsidR="00BA05A3" w:rsidRPr="00E060E5" w:rsidRDefault="00BA05A3" w:rsidP="00DA7A22">
            <w:pPr>
              <w:spacing w:line="240" w:lineRule="auto"/>
              <w:jc w:val="center"/>
              <w:rPr>
                <w:rFonts w:asciiTheme="minorHAnsi" w:eastAsia="Times New Roman" w:hAnsiTheme="minorHAnsi" w:cstheme="minorHAnsi"/>
                <w:color w:val="000000"/>
                <w:sz w:val="16"/>
                <w:szCs w:val="16"/>
              </w:rPr>
            </w:pPr>
            <w:r w:rsidRPr="00E060E5">
              <w:rPr>
                <w:rFonts w:asciiTheme="minorHAnsi" w:eastAsia="Times New Roman" w:hAnsiTheme="minorHAnsi" w:cstheme="minorHAnsi"/>
                <w:color w:val="000000"/>
                <w:sz w:val="16"/>
                <w:szCs w:val="16"/>
              </w:rPr>
              <w:t>497</w:t>
            </w:r>
          </w:p>
        </w:tc>
      </w:tr>
      <w:tr w:rsidR="00BA05A3" w:rsidRPr="00E060E5" w:rsidTr="00BA05A3">
        <w:trPr>
          <w:trHeight w:val="301"/>
        </w:trPr>
        <w:tc>
          <w:tcPr>
            <w:tcW w:w="3520" w:type="dxa"/>
            <w:tcBorders>
              <w:top w:val="nil"/>
              <w:left w:val="single" w:sz="4" w:space="0" w:color="auto"/>
              <w:bottom w:val="single" w:sz="4" w:space="0" w:color="auto"/>
              <w:right w:val="single" w:sz="4" w:space="0" w:color="auto"/>
            </w:tcBorders>
            <w:shd w:val="clear" w:color="000000" w:fill="BEECF0"/>
            <w:noWrap/>
            <w:vAlign w:val="center"/>
            <w:hideMark/>
          </w:tcPr>
          <w:p w:rsidR="00BA05A3" w:rsidRPr="00E060E5" w:rsidRDefault="00BA05A3" w:rsidP="00DA7A22">
            <w:pPr>
              <w:spacing w:line="240" w:lineRule="auto"/>
              <w:rPr>
                <w:rFonts w:asciiTheme="minorHAnsi" w:eastAsia="Times New Roman" w:hAnsiTheme="minorHAnsi" w:cstheme="minorHAnsi"/>
                <w:color w:val="000000"/>
                <w:sz w:val="16"/>
                <w:szCs w:val="16"/>
              </w:rPr>
            </w:pPr>
            <w:r w:rsidRPr="00E060E5">
              <w:rPr>
                <w:rFonts w:asciiTheme="minorHAnsi" w:eastAsia="Times New Roman" w:hAnsiTheme="minorHAnsi" w:cstheme="minorHAnsi"/>
                <w:color w:val="000000"/>
                <w:sz w:val="16"/>
                <w:szCs w:val="16"/>
              </w:rPr>
              <w:t>województwo opolskie</w:t>
            </w:r>
          </w:p>
        </w:tc>
        <w:tc>
          <w:tcPr>
            <w:tcW w:w="734" w:type="dxa"/>
            <w:tcBorders>
              <w:top w:val="nil"/>
              <w:left w:val="nil"/>
              <w:bottom w:val="single" w:sz="4" w:space="0" w:color="auto"/>
              <w:right w:val="single" w:sz="4" w:space="0" w:color="auto"/>
            </w:tcBorders>
            <w:shd w:val="clear" w:color="000000" w:fill="BEECF0"/>
            <w:noWrap/>
            <w:vAlign w:val="center"/>
            <w:hideMark/>
          </w:tcPr>
          <w:p w:rsidR="00BA05A3" w:rsidRPr="00E060E5" w:rsidRDefault="00BA05A3" w:rsidP="00DA7A22">
            <w:pPr>
              <w:spacing w:line="240" w:lineRule="auto"/>
              <w:rPr>
                <w:rFonts w:asciiTheme="minorHAnsi" w:eastAsia="Times New Roman" w:hAnsiTheme="minorHAnsi" w:cstheme="minorHAnsi"/>
                <w:color w:val="000000"/>
                <w:sz w:val="16"/>
                <w:szCs w:val="16"/>
              </w:rPr>
            </w:pPr>
            <w:r w:rsidRPr="00E060E5">
              <w:rPr>
                <w:rFonts w:asciiTheme="minorHAnsi" w:eastAsia="Times New Roman" w:hAnsiTheme="minorHAnsi" w:cstheme="minorHAnsi"/>
                <w:color w:val="000000"/>
                <w:sz w:val="16"/>
                <w:szCs w:val="16"/>
              </w:rPr>
              <w:t>3138,19</w:t>
            </w:r>
          </w:p>
        </w:tc>
        <w:tc>
          <w:tcPr>
            <w:tcW w:w="1369" w:type="dxa"/>
            <w:tcBorders>
              <w:top w:val="nil"/>
              <w:left w:val="nil"/>
              <w:bottom w:val="single" w:sz="4" w:space="0" w:color="auto"/>
              <w:right w:val="single" w:sz="4" w:space="0" w:color="auto"/>
            </w:tcBorders>
            <w:shd w:val="clear" w:color="000000" w:fill="BEECF0"/>
            <w:noWrap/>
            <w:vAlign w:val="center"/>
            <w:hideMark/>
          </w:tcPr>
          <w:p w:rsidR="00BA05A3" w:rsidRPr="00E060E5" w:rsidRDefault="00BA05A3" w:rsidP="00DA7A22">
            <w:pPr>
              <w:spacing w:line="240" w:lineRule="auto"/>
              <w:jc w:val="center"/>
              <w:rPr>
                <w:rFonts w:asciiTheme="minorHAnsi" w:eastAsia="Times New Roman" w:hAnsiTheme="minorHAnsi" w:cstheme="minorHAnsi"/>
                <w:color w:val="000000"/>
                <w:sz w:val="16"/>
                <w:szCs w:val="16"/>
              </w:rPr>
            </w:pPr>
            <w:r w:rsidRPr="00E060E5">
              <w:rPr>
                <w:rFonts w:asciiTheme="minorHAnsi" w:eastAsia="Times New Roman" w:hAnsiTheme="minorHAnsi" w:cstheme="minorHAnsi"/>
                <w:color w:val="000000"/>
                <w:sz w:val="16"/>
                <w:szCs w:val="16"/>
              </w:rPr>
              <w:t>4,71</w:t>
            </w:r>
          </w:p>
        </w:tc>
        <w:tc>
          <w:tcPr>
            <w:tcW w:w="608" w:type="dxa"/>
            <w:tcBorders>
              <w:top w:val="nil"/>
              <w:left w:val="nil"/>
              <w:bottom w:val="single" w:sz="4" w:space="0" w:color="auto"/>
              <w:right w:val="single" w:sz="4" w:space="0" w:color="auto"/>
            </w:tcBorders>
            <w:shd w:val="clear" w:color="000000" w:fill="BEECF0"/>
            <w:noWrap/>
            <w:vAlign w:val="center"/>
            <w:hideMark/>
          </w:tcPr>
          <w:p w:rsidR="00BA05A3" w:rsidRPr="00E060E5" w:rsidRDefault="00BA05A3" w:rsidP="00DA7A22">
            <w:pPr>
              <w:spacing w:line="240" w:lineRule="auto"/>
              <w:jc w:val="center"/>
              <w:rPr>
                <w:rFonts w:asciiTheme="minorHAnsi" w:eastAsia="Times New Roman" w:hAnsiTheme="minorHAnsi" w:cstheme="minorHAnsi"/>
                <w:color w:val="000000"/>
                <w:sz w:val="16"/>
                <w:szCs w:val="16"/>
              </w:rPr>
            </w:pPr>
            <w:r w:rsidRPr="00E060E5">
              <w:rPr>
                <w:rFonts w:asciiTheme="minorHAnsi" w:eastAsia="Times New Roman" w:hAnsiTheme="minorHAnsi" w:cstheme="minorHAnsi"/>
                <w:color w:val="000000"/>
                <w:sz w:val="16"/>
                <w:szCs w:val="16"/>
              </w:rPr>
              <w:t>94</w:t>
            </w:r>
          </w:p>
        </w:tc>
        <w:tc>
          <w:tcPr>
            <w:tcW w:w="608" w:type="dxa"/>
            <w:tcBorders>
              <w:top w:val="nil"/>
              <w:left w:val="nil"/>
              <w:bottom w:val="single" w:sz="4" w:space="0" w:color="auto"/>
              <w:right w:val="single" w:sz="4" w:space="0" w:color="auto"/>
            </w:tcBorders>
            <w:shd w:val="clear" w:color="000000" w:fill="BEECF0"/>
            <w:noWrap/>
            <w:vAlign w:val="center"/>
            <w:hideMark/>
          </w:tcPr>
          <w:p w:rsidR="00BA05A3" w:rsidRPr="00E060E5" w:rsidRDefault="00BA05A3" w:rsidP="00DA7A22">
            <w:pPr>
              <w:spacing w:line="240" w:lineRule="auto"/>
              <w:jc w:val="center"/>
              <w:rPr>
                <w:rFonts w:asciiTheme="minorHAnsi" w:eastAsia="Times New Roman" w:hAnsiTheme="minorHAnsi" w:cstheme="minorHAnsi"/>
                <w:color w:val="000000"/>
                <w:sz w:val="16"/>
                <w:szCs w:val="16"/>
              </w:rPr>
            </w:pPr>
            <w:r w:rsidRPr="00E060E5">
              <w:rPr>
                <w:rFonts w:asciiTheme="minorHAnsi" w:eastAsia="Times New Roman" w:hAnsiTheme="minorHAnsi" w:cstheme="minorHAnsi"/>
                <w:color w:val="000000"/>
                <w:sz w:val="16"/>
                <w:szCs w:val="16"/>
              </w:rPr>
              <w:t>165</w:t>
            </w:r>
          </w:p>
        </w:tc>
        <w:tc>
          <w:tcPr>
            <w:tcW w:w="608" w:type="dxa"/>
            <w:tcBorders>
              <w:top w:val="nil"/>
              <w:left w:val="nil"/>
              <w:bottom w:val="single" w:sz="4" w:space="0" w:color="auto"/>
              <w:right w:val="single" w:sz="4" w:space="0" w:color="auto"/>
            </w:tcBorders>
            <w:shd w:val="clear" w:color="000000" w:fill="BEECF0"/>
            <w:noWrap/>
            <w:vAlign w:val="center"/>
            <w:hideMark/>
          </w:tcPr>
          <w:p w:rsidR="00BA05A3" w:rsidRPr="00E060E5" w:rsidRDefault="00BA05A3" w:rsidP="00DA7A22">
            <w:pPr>
              <w:spacing w:line="240" w:lineRule="auto"/>
              <w:jc w:val="center"/>
              <w:rPr>
                <w:rFonts w:asciiTheme="minorHAnsi" w:eastAsia="Times New Roman" w:hAnsiTheme="minorHAnsi" w:cstheme="minorHAnsi"/>
                <w:color w:val="000000"/>
                <w:sz w:val="16"/>
                <w:szCs w:val="16"/>
              </w:rPr>
            </w:pPr>
            <w:r w:rsidRPr="00E060E5">
              <w:rPr>
                <w:rFonts w:asciiTheme="minorHAnsi" w:eastAsia="Times New Roman" w:hAnsiTheme="minorHAnsi" w:cstheme="minorHAnsi"/>
                <w:color w:val="000000"/>
                <w:sz w:val="16"/>
                <w:szCs w:val="16"/>
              </w:rPr>
              <w:t>235</w:t>
            </w:r>
          </w:p>
        </w:tc>
        <w:tc>
          <w:tcPr>
            <w:tcW w:w="608" w:type="dxa"/>
            <w:tcBorders>
              <w:top w:val="nil"/>
              <w:left w:val="nil"/>
              <w:bottom w:val="single" w:sz="4" w:space="0" w:color="auto"/>
              <w:right w:val="single" w:sz="4" w:space="0" w:color="auto"/>
            </w:tcBorders>
            <w:shd w:val="clear" w:color="000000" w:fill="BEECF0"/>
            <w:noWrap/>
            <w:vAlign w:val="center"/>
            <w:hideMark/>
          </w:tcPr>
          <w:p w:rsidR="00BA05A3" w:rsidRPr="00E060E5" w:rsidRDefault="00BA05A3" w:rsidP="00DA7A22">
            <w:pPr>
              <w:spacing w:line="240" w:lineRule="auto"/>
              <w:jc w:val="center"/>
              <w:rPr>
                <w:rFonts w:asciiTheme="minorHAnsi" w:eastAsia="Times New Roman" w:hAnsiTheme="minorHAnsi" w:cstheme="minorHAnsi"/>
                <w:color w:val="000000"/>
                <w:sz w:val="16"/>
                <w:szCs w:val="16"/>
              </w:rPr>
            </w:pPr>
            <w:r w:rsidRPr="00E060E5">
              <w:rPr>
                <w:rFonts w:asciiTheme="minorHAnsi" w:eastAsia="Times New Roman" w:hAnsiTheme="minorHAnsi" w:cstheme="minorHAnsi"/>
                <w:color w:val="000000"/>
                <w:sz w:val="16"/>
                <w:szCs w:val="16"/>
              </w:rPr>
              <w:t>306</w:t>
            </w:r>
          </w:p>
        </w:tc>
        <w:tc>
          <w:tcPr>
            <w:tcW w:w="608" w:type="dxa"/>
            <w:tcBorders>
              <w:top w:val="nil"/>
              <w:left w:val="nil"/>
              <w:bottom w:val="single" w:sz="4" w:space="0" w:color="auto"/>
              <w:right w:val="single" w:sz="4" w:space="0" w:color="auto"/>
            </w:tcBorders>
            <w:shd w:val="clear" w:color="000000" w:fill="BEECF0"/>
            <w:noWrap/>
            <w:vAlign w:val="center"/>
            <w:hideMark/>
          </w:tcPr>
          <w:p w:rsidR="00BA05A3" w:rsidRPr="00E060E5" w:rsidRDefault="00BA05A3" w:rsidP="00DA7A22">
            <w:pPr>
              <w:spacing w:line="240" w:lineRule="auto"/>
              <w:jc w:val="center"/>
              <w:rPr>
                <w:rFonts w:asciiTheme="minorHAnsi" w:eastAsia="Times New Roman" w:hAnsiTheme="minorHAnsi" w:cstheme="minorHAnsi"/>
                <w:color w:val="000000"/>
                <w:sz w:val="16"/>
                <w:szCs w:val="16"/>
              </w:rPr>
            </w:pPr>
            <w:r w:rsidRPr="00E060E5">
              <w:rPr>
                <w:rFonts w:asciiTheme="minorHAnsi" w:eastAsia="Times New Roman" w:hAnsiTheme="minorHAnsi" w:cstheme="minorHAnsi"/>
                <w:color w:val="000000"/>
                <w:sz w:val="16"/>
                <w:szCs w:val="16"/>
              </w:rPr>
              <w:t>377</w:t>
            </w:r>
          </w:p>
        </w:tc>
        <w:tc>
          <w:tcPr>
            <w:tcW w:w="611" w:type="dxa"/>
            <w:tcBorders>
              <w:top w:val="nil"/>
              <w:left w:val="nil"/>
              <w:bottom w:val="single" w:sz="4" w:space="0" w:color="auto"/>
              <w:right w:val="single" w:sz="4" w:space="0" w:color="auto"/>
            </w:tcBorders>
            <w:shd w:val="clear" w:color="000000" w:fill="BEECF0"/>
            <w:noWrap/>
            <w:vAlign w:val="center"/>
            <w:hideMark/>
          </w:tcPr>
          <w:p w:rsidR="00BA05A3" w:rsidRPr="00E060E5" w:rsidRDefault="00BA05A3" w:rsidP="00DA7A22">
            <w:pPr>
              <w:spacing w:line="240" w:lineRule="auto"/>
              <w:jc w:val="center"/>
              <w:rPr>
                <w:rFonts w:asciiTheme="minorHAnsi" w:eastAsia="Times New Roman" w:hAnsiTheme="minorHAnsi" w:cstheme="minorHAnsi"/>
                <w:color w:val="000000"/>
                <w:sz w:val="16"/>
                <w:szCs w:val="16"/>
              </w:rPr>
            </w:pPr>
            <w:r w:rsidRPr="00E060E5">
              <w:rPr>
                <w:rFonts w:asciiTheme="minorHAnsi" w:eastAsia="Times New Roman" w:hAnsiTheme="minorHAnsi" w:cstheme="minorHAnsi"/>
                <w:color w:val="000000"/>
                <w:sz w:val="16"/>
                <w:szCs w:val="16"/>
              </w:rPr>
              <w:t>447</w:t>
            </w:r>
          </w:p>
        </w:tc>
      </w:tr>
      <w:tr w:rsidR="00BA05A3" w:rsidRPr="00E060E5" w:rsidTr="00BA05A3">
        <w:trPr>
          <w:trHeight w:val="301"/>
        </w:trPr>
        <w:tc>
          <w:tcPr>
            <w:tcW w:w="3520" w:type="dxa"/>
            <w:tcBorders>
              <w:top w:val="nil"/>
              <w:left w:val="single" w:sz="4" w:space="0" w:color="auto"/>
              <w:bottom w:val="single" w:sz="4" w:space="0" w:color="auto"/>
              <w:right w:val="single" w:sz="4" w:space="0" w:color="auto"/>
            </w:tcBorders>
            <w:shd w:val="clear" w:color="auto" w:fill="auto"/>
            <w:noWrap/>
            <w:vAlign w:val="center"/>
            <w:hideMark/>
          </w:tcPr>
          <w:p w:rsidR="00BA05A3" w:rsidRPr="00E060E5" w:rsidRDefault="00BA05A3" w:rsidP="00DA7A22">
            <w:pPr>
              <w:spacing w:line="240" w:lineRule="auto"/>
              <w:rPr>
                <w:rFonts w:asciiTheme="minorHAnsi" w:eastAsia="Times New Roman" w:hAnsiTheme="minorHAnsi" w:cstheme="minorHAnsi"/>
                <w:color w:val="000000"/>
                <w:sz w:val="16"/>
                <w:szCs w:val="16"/>
              </w:rPr>
            </w:pPr>
            <w:r w:rsidRPr="00E060E5">
              <w:rPr>
                <w:rFonts w:asciiTheme="minorHAnsi" w:eastAsia="Times New Roman" w:hAnsiTheme="minorHAnsi" w:cstheme="minorHAnsi"/>
                <w:color w:val="000000"/>
                <w:sz w:val="16"/>
                <w:szCs w:val="16"/>
              </w:rPr>
              <w:t>Rzeszów</w:t>
            </w:r>
          </w:p>
        </w:tc>
        <w:tc>
          <w:tcPr>
            <w:tcW w:w="734" w:type="dxa"/>
            <w:tcBorders>
              <w:top w:val="nil"/>
              <w:left w:val="nil"/>
              <w:bottom w:val="single" w:sz="4" w:space="0" w:color="auto"/>
              <w:right w:val="single" w:sz="4" w:space="0" w:color="auto"/>
            </w:tcBorders>
            <w:shd w:val="clear" w:color="auto" w:fill="auto"/>
            <w:noWrap/>
            <w:vAlign w:val="center"/>
            <w:hideMark/>
          </w:tcPr>
          <w:p w:rsidR="00BA05A3" w:rsidRPr="00E060E5" w:rsidRDefault="00BA05A3" w:rsidP="00DA7A22">
            <w:pPr>
              <w:spacing w:line="240" w:lineRule="auto"/>
              <w:rPr>
                <w:rFonts w:asciiTheme="minorHAnsi" w:eastAsia="Times New Roman" w:hAnsiTheme="minorHAnsi" w:cstheme="minorHAnsi"/>
                <w:color w:val="000000"/>
                <w:sz w:val="16"/>
                <w:szCs w:val="16"/>
              </w:rPr>
            </w:pPr>
            <w:r w:rsidRPr="00E060E5">
              <w:rPr>
                <w:rFonts w:asciiTheme="minorHAnsi" w:eastAsia="Times New Roman" w:hAnsiTheme="minorHAnsi" w:cstheme="minorHAnsi"/>
                <w:color w:val="000000"/>
                <w:sz w:val="16"/>
                <w:szCs w:val="16"/>
              </w:rPr>
              <w:t>4269,25</w:t>
            </w:r>
          </w:p>
        </w:tc>
        <w:tc>
          <w:tcPr>
            <w:tcW w:w="1369" w:type="dxa"/>
            <w:tcBorders>
              <w:top w:val="nil"/>
              <w:left w:val="nil"/>
              <w:bottom w:val="single" w:sz="4" w:space="0" w:color="auto"/>
              <w:right w:val="single" w:sz="4" w:space="0" w:color="auto"/>
            </w:tcBorders>
            <w:shd w:val="clear" w:color="auto" w:fill="auto"/>
            <w:noWrap/>
            <w:vAlign w:val="center"/>
            <w:hideMark/>
          </w:tcPr>
          <w:p w:rsidR="00BA05A3" w:rsidRPr="00E060E5" w:rsidRDefault="00BA05A3" w:rsidP="00DA7A22">
            <w:pPr>
              <w:spacing w:line="240" w:lineRule="auto"/>
              <w:jc w:val="center"/>
              <w:rPr>
                <w:rFonts w:asciiTheme="minorHAnsi" w:eastAsia="Times New Roman" w:hAnsiTheme="minorHAnsi" w:cstheme="minorHAnsi"/>
                <w:color w:val="000000"/>
                <w:sz w:val="16"/>
                <w:szCs w:val="16"/>
              </w:rPr>
            </w:pPr>
            <w:r w:rsidRPr="00E060E5">
              <w:rPr>
                <w:rFonts w:asciiTheme="minorHAnsi" w:eastAsia="Times New Roman" w:hAnsiTheme="minorHAnsi" w:cstheme="minorHAnsi"/>
                <w:color w:val="000000"/>
                <w:sz w:val="16"/>
                <w:szCs w:val="16"/>
              </w:rPr>
              <w:t>6,40</w:t>
            </w:r>
          </w:p>
        </w:tc>
        <w:tc>
          <w:tcPr>
            <w:tcW w:w="608" w:type="dxa"/>
            <w:tcBorders>
              <w:top w:val="nil"/>
              <w:left w:val="nil"/>
              <w:bottom w:val="single" w:sz="4" w:space="0" w:color="auto"/>
              <w:right w:val="single" w:sz="4" w:space="0" w:color="auto"/>
            </w:tcBorders>
            <w:shd w:val="clear" w:color="auto" w:fill="auto"/>
            <w:noWrap/>
            <w:vAlign w:val="center"/>
            <w:hideMark/>
          </w:tcPr>
          <w:p w:rsidR="00BA05A3" w:rsidRPr="00E060E5" w:rsidRDefault="00BA05A3" w:rsidP="00DA7A22">
            <w:pPr>
              <w:spacing w:line="240" w:lineRule="auto"/>
              <w:jc w:val="center"/>
              <w:rPr>
                <w:rFonts w:asciiTheme="minorHAnsi" w:eastAsia="Times New Roman" w:hAnsiTheme="minorHAnsi" w:cstheme="minorHAnsi"/>
                <w:color w:val="000000"/>
                <w:sz w:val="16"/>
                <w:szCs w:val="16"/>
              </w:rPr>
            </w:pPr>
            <w:r w:rsidRPr="00E060E5">
              <w:rPr>
                <w:rFonts w:asciiTheme="minorHAnsi" w:eastAsia="Times New Roman" w:hAnsiTheme="minorHAnsi" w:cstheme="minorHAnsi"/>
                <w:color w:val="000000"/>
                <w:sz w:val="16"/>
                <w:szCs w:val="16"/>
              </w:rPr>
              <w:t>128</w:t>
            </w:r>
          </w:p>
        </w:tc>
        <w:tc>
          <w:tcPr>
            <w:tcW w:w="608" w:type="dxa"/>
            <w:tcBorders>
              <w:top w:val="nil"/>
              <w:left w:val="nil"/>
              <w:bottom w:val="single" w:sz="4" w:space="0" w:color="auto"/>
              <w:right w:val="single" w:sz="4" w:space="0" w:color="auto"/>
            </w:tcBorders>
            <w:shd w:val="clear" w:color="auto" w:fill="auto"/>
            <w:noWrap/>
            <w:vAlign w:val="center"/>
            <w:hideMark/>
          </w:tcPr>
          <w:p w:rsidR="00BA05A3" w:rsidRPr="00E060E5" w:rsidRDefault="00BA05A3" w:rsidP="00DA7A22">
            <w:pPr>
              <w:spacing w:line="240" w:lineRule="auto"/>
              <w:jc w:val="center"/>
              <w:rPr>
                <w:rFonts w:asciiTheme="minorHAnsi" w:eastAsia="Times New Roman" w:hAnsiTheme="minorHAnsi" w:cstheme="minorHAnsi"/>
                <w:color w:val="000000"/>
                <w:sz w:val="16"/>
                <w:szCs w:val="16"/>
              </w:rPr>
            </w:pPr>
            <w:r w:rsidRPr="00E060E5">
              <w:rPr>
                <w:rFonts w:asciiTheme="minorHAnsi" w:eastAsia="Times New Roman" w:hAnsiTheme="minorHAnsi" w:cstheme="minorHAnsi"/>
                <w:color w:val="000000"/>
                <w:sz w:val="16"/>
                <w:szCs w:val="16"/>
              </w:rPr>
              <w:t>224</w:t>
            </w:r>
          </w:p>
        </w:tc>
        <w:tc>
          <w:tcPr>
            <w:tcW w:w="608" w:type="dxa"/>
            <w:tcBorders>
              <w:top w:val="nil"/>
              <w:left w:val="nil"/>
              <w:bottom w:val="single" w:sz="4" w:space="0" w:color="auto"/>
              <w:right w:val="single" w:sz="4" w:space="0" w:color="auto"/>
            </w:tcBorders>
            <w:shd w:val="clear" w:color="auto" w:fill="auto"/>
            <w:noWrap/>
            <w:vAlign w:val="center"/>
            <w:hideMark/>
          </w:tcPr>
          <w:p w:rsidR="00BA05A3" w:rsidRPr="00E060E5" w:rsidRDefault="00BA05A3" w:rsidP="00DA7A22">
            <w:pPr>
              <w:spacing w:line="240" w:lineRule="auto"/>
              <w:jc w:val="center"/>
              <w:rPr>
                <w:rFonts w:asciiTheme="minorHAnsi" w:eastAsia="Times New Roman" w:hAnsiTheme="minorHAnsi" w:cstheme="minorHAnsi"/>
                <w:color w:val="000000"/>
                <w:sz w:val="16"/>
                <w:szCs w:val="16"/>
              </w:rPr>
            </w:pPr>
            <w:r w:rsidRPr="00E060E5">
              <w:rPr>
                <w:rFonts w:asciiTheme="minorHAnsi" w:eastAsia="Times New Roman" w:hAnsiTheme="minorHAnsi" w:cstheme="minorHAnsi"/>
                <w:color w:val="000000"/>
                <w:sz w:val="16"/>
                <w:szCs w:val="16"/>
              </w:rPr>
              <w:t>320</w:t>
            </w:r>
          </w:p>
        </w:tc>
        <w:tc>
          <w:tcPr>
            <w:tcW w:w="608" w:type="dxa"/>
            <w:tcBorders>
              <w:top w:val="nil"/>
              <w:left w:val="nil"/>
              <w:bottom w:val="single" w:sz="4" w:space="0" w:color="auto"/>
              <w:right w:val="single" w:sz="4" w:space="0" w:color="auto"/>
            </w:tcBorders>
            <w:shd w:val="clear" w:color="auto" w:fill="auto"/>
            <w:noWrap/>
            <w:vAlign w:val="center"/>
            <w:hideMark/>
          </w:tcPr>
          <w:p w:rsidR="00BA05A3" w:rsidRPr="00E060E5" w:rsidRDefault="00BA05A3" w:rsidP="00DA7A22">
            <w:pPr>
              <w:spacing w:line="240" w:lineRule="auto"/>
              <w:jc w:val="center"/>
              <w:rPr>
                <w:rFonts w:asciiTheme="minorHAnsi" w:eastAsia="Times New Roman" w:hAnsiTheme="minorHAnsi" w:cstheme="minorHAnsi"/>
                <w:color w:val="000000"/>
                <w:sz w:val="16"/>
                <w:szCs w:val="16"/>
              </w:rPr>
            </w:pPr>
            <w:r w:rsidRPr="00E060E5">
              <w:rPr>
                <w:rFonts w:asciiTheme="minorHAnsi" w:eastAsia="Times New Roman" w:hAnsiTheme="minorHAnsi" w:cstheme="minorHAnsi"/>
                <w:color w:val="000000"/>
                <w:sz w:val="16"/>
                <w:szCs w:val="16"/>
              </w:rPr>
              <w:t>416</w:t>
            </w:r>
          </w:p>
        </w:tc>
        <w:tc>
          <w:tcPr>
            <w:tcW w:w="608" w:type="dxa"/>
            <w:tcBorders>
              <w:top w:val="nil"/>
              <w:left w:val="nil"/>
              <w:bottom w:val="single" w:sz="4" w:space="0" w:color="auto"/>
              <w:right w:val="single" w:sz="4" w:space="0" w:color="auto"/>
            </w:tcBorders>
            <w:shd w:val="clear" w:color="auto" w:fill="auto"/>
            <w:noWrap/>
            <w:vAlign w:val="center"/>
            <w:hideMark/>
          </w:tcPr>
          <w:p w:rsidR="00BA05A3" w:rsidRPr="00E060E5" w:rsidRDefault="00BA05A3" w:rsidP="00DA7A22">
            <w:pPr>
              <w:spacing w:line="240" w:lineRule="auto"/>
              <w:jc w:val="center"/>
              <w:rPr>
                <w:rFonts w:asciiTheme="minorHAnsi" w:eastAsia="Times New Roman" w:hAnsiTheme="minorHAnsi" w:cstheme="minorHAnsi"/>
                <w:color w:val="000000"/>
                <w:sz w:val="16"/>
                <w:szCs w:val="16"/>
              </w:rPr>
            </w:pPr>
            <w:r w:rsidRPr="00E060E5">
              <w:rPr>
                <w:rFonts w:asciiTheme="minorHAnsi" w:eastAsia="Times New Roman" w:hAnsiTheme="minorHAnsi" w:cstheme="minorHAnsi"/>
                <w:color w:val="000000"/>
                <w:sz w:val="16"/>
                <w:szCs w:val="16"/>
              </w:rPr>
              <w:t>512</w:t>
            </w:r>
          </w:p>
        </w:tc>
        <w:tc>
          <w:tcPr>
            <w:tcW w:w="611" w:type="dxa"/>
            <w:tcBorders>
              <w:top w:val="nil"/>
              <w:left w:val="nil"/>
              <w:bottom w:val="single" w:sz="4" w:space="0" w:color="auto"/>
              <w:right w:val="single" w:sz="4" w:space="0" w:color="auto"/>
            </w:tcBorders>
            <w:shd w:val="clear" w:color="auto" w:fill="auto"/>
            <w:noWrap/>
            <w:vAlign w:val="center"/>
            <w:hideMark/>
          </w:tcPr>
          <w:p w:rsidR="00BA05A3" w:rsidRPr="00E060E5" w:rsidRDefault="00BA05A3" w:rsidP="00DA7A22">
            <w:pPr>
              <w:spacing w:line="240" w:lineRule="auto"/>
              <w:jc w:val="center"/>
              <w:rPr>
                <w:rFonts w:asciiTheme="minorHAnsi" w:eastAsia="Times New Roman" w:hAnsiTheme="minorHAnsi" w:cstheme="minorHAnsi"/>
                <w:color w:val="000000"/>
                <w:sz w:val="16"/>
                <w:szCs w:val="16"/>
              </w:rPr>
            </w:pPr>
            <w:r w:rsidRPr="00E060E5">
              <w:rPr>
                <w:rFonts w:asciiTheme="minorHAnsi" w:eastAsia="Times New Roman" w:hAnsiTheme="minorHAnsi" w:cstheme="minorHAnsi"/>
                <w:color w:val="000000"/>
                <w:sz w:val="16"/>
                <w:szCs w:val="16"/>
              </w:rPr>
              <w:t>608</w:t>
            </w:r>
          </w:p>
        </w:tc>
      </w:tr>
      <w:tr w:rsidR="00BA05A3" w:rsidRPr="00E060E5" w:rsidTr="00BA05A3">
        <w:trPr>
          <w:trHeight w:val="301"/>
        </w:trPr>
        <w:tc>
          <w:tcPr>
            <w:tcW w:w="3520" w:type="dxa"/>
            <w:tcBorders>
              <w:top w:val="nil"/>
              <w:left w:val="single" w:sz="4" w:space="0" w:color="auto"/>
              <w:bottom w:val="single" w:sz="4" w:space="0" w:color="auto"/>
              <w:right w:val="single" w:sz="4" w:space="0" w:color="auto"/>
            </w:tcBorders>
            <w:shd w:val="clear" w:color="000000" w:fill="BEECF0"/>
            <w:noWrap/>
            <w:vAlign w:val="center"/>
            <w:hideMark/>
          </w:tcPr>
          <w:p w:rsidR="00BA05A3" w:rsidRPr="00E060E5" w:rsidRDefault="00BA05A3" w:rsidP="00DA7A22">
            <w:pPr>
              <w:spacing w:line="240" w:lineRule="auto"/>
              <w:rPr>
                <w:rFonts w:asciiTheme="minorHAnsi" w:eastAsia="Times New Roman" w:hAnsiTheme="minorHAnsi" w:cstheme="minorHAnsi"/>
                <w:color w:val="000000"/>
                <w:sz w:val="16"/>
                <w:szCs w:val="16"/>
              </w:rPr>
            </w:pPr>
            <w:r w:rsidRPr="00E060E5">
              <w:rPr>
                <w:rFonts w:asciiTheme="minorHAnsi" w:eastAsia="Times New Roman" w:hAnsiTheme="minorHAnsi" w:cstheme="minorHAnsi"/>
                <w:color w:val="000000"/>
                <w:sz w:val="16"/>
                <w:szCs w:val="16"/>
              </w:rPr>
              <w:t>gminy sąsiadujące</w:t>
            </w:r>
          </w:p>
        </w:tc>
        <w:tc>
          <w:tcPr>
            <w:tcW w:w="734" w:type="dxa"/>
            <w:tcBorders>
              <w:top w:val="nil"/>
              <w:left w:val="nil"/>
              <w:bottom w:val="single" w:sz="4" w:space="0" w:color="auto"/>
              <w:right w:val="single" w:sz="4" w:space="0" w:color="auto"/>
            </w:tcBorders>
            <w:shd w:val="clear" w:color="000000" w:fill="BEECF0"/>
            <w:noWrap/>
            <w:vAlign w:val="center"/>
            <w:hideMark/>
          </w:tcPr>
          <w:p w:rsidR="00BA05A3" w:rsidRPr="00E060E5" w:rsidRDefault="00BA05A3" w:rsidP="00DA7A22">
            <w:pPr>
              <w:spacing w:line="240" w:lineRule="auto"/>
              <w:rPr>
                <w:rFonts w:asciiTheme="minorHAnsi" w:eastAsia="Times New Roman" w:hAnsiTheme="minorHAnsi" w:cstheme="minorHAnsi"/>
                <w:color w:val="000000"/>
                <w:sz w:val="16"/>
                <w:szCs w:val="16"/>
              </w:rPr>
            </w:pPr>
            <w:r w:rsidRPr="00E060E5">
              <w:rPr>
                <w:rFonts w:asciiTheme="minorHAnsi" w:eastAsia="Times New Roman" w:hAnsiTheme="minorHAnsi" w:cstheme="minorHAnsi"/>
                <w:color w:val="000000"/>
                <w:sz w:val="16"/>
                <w:szCs w:val="16"/>
              </w:rPr>
              <w:t>3717,63</w:t>
            </w:r>
          </w:p>
        </w:tc>
        <w:tc>
          <w:tcPr>
            <w:tcW w:w="1369" w:type="dxa"/>
            <w:tcBorders>
              <w:top w:val="nil"/>
              <w:left w:val="nil"/>
              <w:bottom w:val="single" w:sz="4" w:space="0" w:color="auto"/>
              <w:right w:val="single" w:sz="4" w:space="0" w:color="auto"/>
            </w:tcBorders>
            <w:shd w:val="clear" w:color="000000" w:fill="BEECF0"/>
            <w:noWrap/>
            <w:vAlign w:val="center"/>
            <w:hideMark/>
          </w:tcPr>
          <w:p w:rsidR="00BA05A3" w:rsidRPr="00E060E5" w:rsidRDefault="00BA05A3" w:rsidP="00DA7A22">
            <w:pPr>
              <w:spacing w:line="240" w:lineRule="auto"/>
              <w:jc w:val="center"/>
              <w:rPr>
                <w:rFonts w:asciiTheme="minorHAnsi" w:eastAsia="Times New Roman" w:hAnsiTheme="minorHAnsi" w:cstheme="minorHAnsi"/>
                <w:color w:val="000000"/>
                <w:sz w:val="16"/>
                <w:szCs w:val="16"/>
              </w:rPr>
            </w:pPr>
            <w:r w:rsidRPr="00E060E5">
              <w:rPr>
                <w:rFonts w:asciiTheme="minorHAnsi" w:eastAsia="Times New Roman" w:hAnsiTheme="minorHAnsi" w:cstheme="minorHAnsi"/>
                <w:color w:val="000000"/>
                <w:sz w:val="16"/>
                <w:szCs w:val="16"/>
              </w:rPr>
              <w:t>5,58</w:t>
            </w:r>
          </w:p>
        </w:tc>
        <w:tc>
          <w:tcPr>
            <w:tcW w:w="608" w:type="dxa"/>
            <w:tcBorders>
              <w:top w:val="nil"/>
              <w:left w:val="nil"/>
              <w:bottom w:val="single" w:sz="4" w:space="0" w:color="auto"/>
              <w:right w:val="single" w:sz="4" w:space="0" w:color="auto"/>
            </w:tcBorders>
            <w:shd w:val="clear" w:color="000000" w:fill="BEECF0"/>
            <w:noWrap/>
            <w:vAlign w:val="center"/>
            <w:hideMark/>
          </w:tcPr>
          <w:p w:rsidR="00BA05A3" w:rsidRPr="00E060E5" w:rsidRDefault="00BA05A3" w:rsidP="00DA7A22">
            <w:pPr>
              <w:spacing w:line="240" w:lineRule="auto"/>
              <w:jc w:val="center"/>
              <w:rPr>
                <w:rFonts w:asciiTheme="minorHAnsi" w:eastAsia="Times New Roman" w:hAnsiTheme="minorHAnsi" w:cstheme="minorHAnsi"/>
                <w:color w:val="000000"/>
                <w:sz w:val="16"/>
                <w:szCs w:val="16"/>
              </w:rPr>
            </w:pPr>
            <w:r w:rsidRPr="00E060E5">
              <w:rPr>
                <w:rFonts w:asciiTheme="minorHAnsi" w:eastAsia="Times New Roman" w:hAnsiTheme="minorHAnsi" w:cstheme="minorHAnsi"/>
                <w:color w:val="000000"/>
                <w:sz w:val="16"/>
                <w:szCs w:val="16"/>
              </w:rPr>
              <w:t>112</w:t>
            </w:r>
          </w:p>
        </w:tc>
        <w:tc>
          <w:tcPr>
            <w:tcW w:w="608" w:type="dxa"/>
            <w:tcBorders>
              <w:top w:val="nil"/>
              <w:left w:val="nil"/>
              <w:bottom w:val="single" w:sz="4" w:space="0" w:color="auto"/>
              <w:right w:val="single" w:sz="4" w:space="0" w:color="auto"/>
            </w:tcBorders>
            <w:shd w:val="clear" w:color="000000" w:fill="BEECF0"/>
            <w:noWrap/>
            <w:vAlign w:val="center"/>
            <w:hideMark/>
          </w:tcPr>
          <w:p w:rsidR="00BA05A3" w:rsidRPr="00E060E5" w:rsidRDefault="00BA05A3" w:rsidP="00DA7A22">
            <w:pPr>
              <w:spacing w:line="240" w:lineRule="auto"/>
              <w:jc w:val="center"/>
              <w:rPr>
                <w:rFonts w:asciiTheme="minorHAnsi" w:eastAsia="Times New Roman" w:hAnsiTheme="minorHAnsi" w:cstheme="minorHAnsi"/>
                <w:color w:val="000000"/>
                <w:sz w:val="16"/>
                <w:szCs w:val="16"/>
              </w:rPr>
            </w:pPr>
            <w:r w:rsidRPr="00E060E5">
              <w:rPr>
                <w:rFonts w:asciiTheme="minorHAnsi" w:eastAsia="Times New Roman" w:hAnsiTheme="minorHAnsi" w:cstheme="minorHAnsi"/>
                <w:color w:val="000000"/>
                <w:sz w:val="16"/>
                <w:szCs w:val="16"/>
              </w:rPr>
              <w:t>195</w:t>
            </w:r>
          </w:p>
        </w:tc>
        <w:tc>
          <w:tcPr>
            <w:tcW w:w="608" w:type="dxa"/>
            <w:tcBorders>
              <w:top w:val="nil"/>
              <w:left w:val="nil"/>
              <w:bottom w:val="single" w:sz="4" w:space="0" w:color="auto"/>
              <w:right w:val="single" w:sz="4" w:space="0" w:color="auto"/>
            </w:tcBorders>
            <w:shd w:val="clear" w:color="000000" w:fill="BEECF0"/>
            <w:noWrap/>
            <w:vAlign w:val="center"/>
            <w:hideMark/>
          </w:tcPr>
          <w:p w:rsidR="00BA05A3" w:rsidRPr="00E060E5" w:rsidRDefault="00BA05A3" w:rsidP="00DA7A22">
            <w:pPr>
              <w:spacing w:line="240" w:lineRule="auto"/>
              <w:jc w:val="center"/>
              <w:rPr>
                <w:rFonts w:asciiTheme="minorHAnsi" w:eastAsia="Times New Roman" w:hAnsiTheme="minorHAnsi" w:cstheme="minorHAnsi"/>
                <w:color w:val="000000"/>
                <w:sz w:val="16"/>
                <w:szCs w:val="16"/>
              </w:rPr>
            </w:pPr>
            <w:r w:rsidRPr="00E060E5">
              <w:rPr>
                <w:rFonts w:asciiTheme="minorHAnsi" w:eastAsia="Times New Roman" w:hAnsiTheme="minorHAnsi" w:cstheme="minorHAnsi"/>
                <w:color w:val="000000"/>
                <w:sz w:val="16"/>
                <w:szCs w:val="16"/>
              </w:rPr>
              <w:t>279</w:t>
            </w:r>
          </w:p>
        </w:tc>
        <w:tc>
          <w:tcPr>
            <w:tcW w:w="608" w:type="dxa"/>
            <w:tcBorders>
              <w:top w:val="nil"/>
              <w:left w:val="nil"/>
              <w:bottom w:val="single" w:sz="4" w:space="0" w:color="auto"/>
              <w:right w:val="single" w:sz="4" w:space="0" w:color="auto"/>
            </w:tcBorders>
            <w:shd w:val="clear" w:color="000000" w:fill="BEECF0"/>
            <w:noWrap/>
            <w:vAlign w:val="center"/>
            <w:hideMark/>
          </w:tcPr>
          <w:p w:rsidR="00BA05A3" w:rsidRPr="00E060E5" w:rsidRDefault="00BA05A3" w:rsidP="00DA7A22">
            <w:pPr>
              <w:spacing w:line="240" w:lineRule="auto"/>
              <w:jc w:val="center"/>
              <w:rPr>
                <w:rFonts w:asciiTheme="minorHAnsi" w:eastAsia="Times New Roman" w:hAnsiTheme="minorHAnsi" w:cstheme="minorHAnsi"/>
                <w:color w:val="000000"/>
                <w:sz w:val="16"/>
                <w:szCs w:val="16"/>
              </w:rPr>
            </w:pPr>
            <w:r w:rsidRPr="00E060E5">
              <w:rPr>
                <w:rFonts w:asciiTheme="minorHAnsi" w:eastAsia="Times New Roman" w:hAnsiTheme="minorHAnsi" w:cstheme="minorHAnsi"/>
                <w:color w:val="000000"/>
                <w:sz w:val="16"/>
                <w:szCs w:val="16"/>
              </w:rPr>
              <w:t>362</w:t>
            </w:r>
          </w:p>
        </w:tc>
        <w:tc>
          <w:tcPr>
            <w:tcW w:w="608" w:type="dxa"/>
            <w:tcBorders>
              <w:top w:val="nil"/>
              <w:left w:val="nil"/>
              <w:bottom w:val="single" w:sz="4" w:space="0" w:color="auto"/>
              <w:right w:val="single" w:sz="4" w:space="0" w:color="auto"/>
            </w:tcBorders>
            <w:shd w:val="clear" w:color="000000" w:fill="BEECF0"/>
            <w:noWrap/>
            <w:vAlign w:val="center"/>
            <w:hideMark/>
          </w:tcPr>
          <w:p w:rsidR="00BA05A3" w:rsidRPr="00E060E5" w:rsidRDefault="00BA05A3" w:rsidP="00DA7A22">
            <w:pPr>
              <w:spacing w:line="240" w:lineRule="auto"/>
              <w:jc w:val="center"/>
              <w:rPr>
                <w:rFonts w:asciiTheme="minorHAnsi" w:eastAsia="Times New Roman" w:hAnsiTheme="minorHAnsi" w:cstheme="minorHAnsi"/>
                <w:color w:val="000000"/>
                <w:sz w:val="16"/>
                <w:szCs w:val="16"/>
              </w:rPr>
            </w:pPr>
            <w:r w:rsidRPr="00E060E5">
              <w:rPr>
                <w:rFonts w:asciiTheme="minorHAnsi" w:eastAsia="Times New Roman" w:hAnsiTheme="minorHAnsi" w:cstheme="minorHAnsi"/>
                <w:color w:val="000000"/>
                <w:sz w:val="16"/>
                <w:szCs w:val="16"/>
              </w:rPr>
              <w:t>446</w:t>
            </w:r>
          </w:p>
        </w:tc>
        <w:tc>
          <w:tcPr>
            <w:tcW w:w="611" w:type="dxa"/>
            <w:tcBorders>
              <w:top w:val="nil"/>
              <w:left w:val="nil"/>
              <w:bottom w:val="single" w:sz="4" w:space="0" w:color="auto"/>
              <w:right w:val="single" w:sz="4" w:space="0" w:color="auto"/>
            </w:tcBorders>
            <w:shd w:val="clear" w:color="000000" w:fill="BEECF0"/>
            <w:noWrap/>
            <w:vAlign w:val="center"/>
            <w:hideMark/>
          </w:tcPr>
          <w:p w:rsidR="00BA05A3" w:rsidRPr="00E060E5" w:rsidRDefault="00BA05A3" w:rsidP="00DA7A22">
            <w:pPr>
              <w:spacing w:line="240" w:lineRule="auto"/>
              <w:jc w:val="center"/>
              <w:rPr>
                <w:rFonts w:asciiTheme="minorHAnsi" w:eastAsia="Times New Roman" w:hAnsiTheme="minorHAnsi" w:cstheme="minorHAnsi"/>
                <w:color w:val="000000"/>
                <w:sz w:val="16"/>
                <w:szCs w:val="16"/>
              </w:rPr>
            </w:pPr>
            <w:r w:rsidRPr="00E060E5">
              <w:rPr>
                <w:rFonts w:asciiTheme="minorHAnsi" w:eastAsia="Times New Roman" w:hAnsiTheme="minorHAnsi" w:cstheme="minorHAnsi"/>
                <w:color w:val="000000"/>
                <w:sz w:val="16"/>
                <w:szCs w:val="16"/>
              </w:rPr>
              <w:t>530</w:t>
            </w:r>
          </w:p>
        </w:tc>
      </w:tr>
      <w:tr w:rsidR="00BA05A3" w:rsidRPr="00E060E5" w:rsidTr="00BA05A3">
        <w:trPr>
          <w:trHeight w:val="301"/>
        </w:trPr>
        <w:tc>
          <w:tcPr>
            <w:tcW w:w="3520" w:type="dxa"/>
            <w:tcBorders>
              <w:top w:val="nil"/>
              <w:left w:val="single" w:sz="4" w:space="0" w:color="auto"/>
              <w:bottom w:val="single" w:sz="4" w:space="0" w:color="auto"/>
              <w:right w:val="single" w:sz="4" w:space="0" w:color="auto"/>
            </w:tcBorders>
            <w:shd w:val="clear" w:color="auto" w:fill="auto"/>
            <w:noWrap/>
            <w:vAlign w:val="center"/>
            <w:hideMark/>
          </w:tcPr>
          <w:p w:rsidR="00BA05A3" w:rsidRPr="00E060E5" w:rsidRDefault="00BA05A3" w:rsidP="00DA7A22">
            <w:pPr>
              <w:spacing w:line="240" w:lineRule="auto"/>
              <w:rPr>
                <w:rFonts w:asciiTheme="minorHAnsi" w:eastAsia="Times New Roman" w:hAnsiTheme="minorHAnsi" w:cstheme="minorHAnsi"/>
                <w:color w:val="000000"/>
                <w:sz w:val="16"/>
                <w:szCs w:val="16"/>
              </w:rPr>
            </w:pPr>
            <w:r w:rsidRPr="00E060E5">
              <w:rPr>
                <w:rFonts w:asciiTheme="minorHAnsi" w:eastAsia="Times New Roman" w:hAnsiTheme="minorHAnsi" w:cstheme="minorHAnsi"/>
                <w:color w:val="000000"/>
                <w:sz w:val="16"/>
                <w:szCs w:val="16"/>
              </w:rPr>
              <w:t>województwo podkarpackie</w:t>
            </w:r>
          </w:p>
        </w:tc>
        <w:tc>
          <w:tcPr>
            <w:tcW w:w="734" w:type="dxa"/>
            <w:tcBorders>
              <w:top w:val="nil"/>
              <w:left w:val="nil"/>
              <w:bottom w:val="single" w:sz="4" w:space="0" w:color="auto"/>
              <w:right w:val="single" w:sz="4" w:space="0" w:color="auto"/>
            </w:tcBorders>
            <w:shd w:val="clear" w:color="auto" w:fill="auto"/>
            <w:noWrap/>
            <w:vAlign w:val="center"/>
            <w:hideMark/>
          </w:tcPr>
          <w:p w:rsidR="00BA05A3" w:rsidRPr="00E060E5" w:rsidRDefault="00BA05A3" w:rsidP="00DA7A22">
            <w:pPr>
              <w:spacing w:line="240" w:lineRule="auto"/>
              <w:rPr>
                <w:rFonts w:asciiTheme="minorHAnsi" w:eastAsia="Times New Roman" w:hAnsiTheme="minorHAnsi" w:cstheme="minorHAnsi"/>
                <w:color w:val="000000"/>
                <w:sz w:val="16"/>
                <w:szCs w:val="16"/>
              </w:rPr>
            </w:pPr>
            <w:r w:rsidRPr="00E060E5">
              <w:rPr>
                <w:rFonts w:asciiTheme="minorHAnsi" w:eastAsia="Times New Roman" w:hAnsiTheme="minorHAnsi" w:cstheme="minorHAnsi"/>
                <w:color w:val="000000"/>
                <w:sz w:val="16"/>
                <w:szCs w:val="16"/>
              </w:rPr>
              <w:t>3166,00</w:t>
            </w:r>
          </w:p>
        </w:tc>
        <w:tc>
          <w:tcPr>
            <w:tcW w:w="1369" w:type="dxa"/>
            <w:tcBorders>
              <w:top w:val="nil"/>
              <w:left w:val="nil"/>
              <w:bottom w:val="single" w:sz="4" w:space="0" w:color="auto"/>
              <w:right w:val="single" w:sz="4" w:space="0" w:color="auto"/>
            </w:tcBorders>
            <w:shd w:val="clear" w:color="auto" w:fill="auto"/>
            <w:noWrap/>
            <w:vAlign w:val="center"/>
            <w:hideMark/>
          </w:tcPr>
          <w:p w:rsidR="00BA05A3" w:rsidRPr="00E060E5" w:rsidRDefault="00BA05A3" w:rsidP="00DA7A22">
            <w:pPr>
              <w:spacing w:line="240" w:lineRule="auto"/>
              <w:jc w:val="center"/>
              <w:rPr>
                <w:rFonts w:asciiTheme="minorHAnsi" w:eastAsia="Times New Roman" w:hAnsiTheme="minorHAnsi" w:cstheme="minorHAnsi"/>
                <w:color w:val="000000"/>
                <w:sz w:val="16"/>
                <w:szCs w:val="16"/>
              </w:rPr>
            </w:pPr>
            <w:r w:rsidRPr="00E060E5">
              <w:rPr>
                <w:rFonts w:asciiTheme="minorHAnsi" w:eastAsia="Times New Roman" w:hAnsiTheme="minorHAnsi" w:cstheme="minorHAnsi"/>
                <w:color w:val="000000"/>
                <w:sz w:val="16"/>
                <w:szCs w:val="16"/>
              </w:rPr>
              <w:t>4,75</w:t>
            </w:r>
          </w:p>
        </w:tc>
        <w:tc>
          <w:tcPr>
            <w:tcW w:w="608" w:type="dxa"/>
            <w:tcBorders>
              <w:top w:val="nil"/>
              <w:left w:val="nil"/>
              <w:bottom w:val="single" w:sz="4" w:space="0" w:color="auto"/>
              <w:right w:val="single" w:sz="4" w:space="0" w:color="auto"/>
            </w:tcBorders>
            <w:shd w:val="clear" w:color="auto" w:fill="auto"/>
            <w:noWrap/>
            <w:vAlign w:val="center"/>
            <w:hideMark/>
          </w:tcPr>
          <w:p w:rsidR="00BA05A3" w:rsidRPr="00E060E5" w:rsidRDefault="00BA05A3" w:rsidP="00DA7A22">
            <w:pPr>
              <w:spacing w:line="240" w:lineRule="auto"/>
              <w:jc w:val="center"/>
              <w:rPr>
                <w:rFonts w:asciiTheme="minorHAnsi" w:eastAsia="Times New Roman" w:hAnsiTheme="minorHAnsi" w:cstheme="minorHAnsi"/>
                <w:color w:val="000000"/>
                <w:sz w:val="16"/>
                <w:szCs w:val="16"/>
              </w:rPr>
            </w:pPr>
            <w:r w:rsidRPr="00E060E5">
              <w:rPr>
                <w:rFonts w:asciiTheme="minorHAnsi" w:eastAsia="Times New Roman" w:hAnsiTheme="minorHAnsi" w:cstheme="minorHAnsi"/>
                <w:color w:val="000000"/>
                <w:sz w:val="16"/>
                <w:szCs w:val="16"/>
              </w:rPr>
              <w:t>95</w:t>
            </w:r>
          </w:p>
        </w:tc>
        <w:tc>
          <w:tcPr>
            <w:tcW w:w="608" w:type="dxa"/>
            <w:tcBorders>
              <w:top w:val="nil"/>
              <w:left w:val="nil"/>
              <w:bottom w:val="single" w:sz="4" w:space="0" w:color="auto"/>
              <w:right w:val="single" w:sz="4" w:space="0" w:color="auto"/>
            </w:tcBorders>
            <w:shd w:val="clear" w:color="auto" w:fill="auto"/>
            <w:noWrap/>
            <w:vAlign w:val="center"/>
            <w:hideMark/>
          </w:tcPr>
          <w:p w:rsidR="00BA05A3" w:rsidRPr="00E060E5" w:rsidRDefault="00BA05A3" w:rsidP="00DA7A22">
            <w:pPr>
              <w:spacing w:line="240" w:lineRule="auto"/>
              <w:jc w:val="center"/>
              <w:rPr>
                <w:rFonts w:asciiTheme="minorHAnsi" w:eastAsia="Times New Roman" w:hAnsiTheme="minorHAnsi" w:cstheme="minorHAnsi"/>
                <w:color w:val="000000"/>
                <w:sz w:val="16"/>
                <w:szCs w:val="16"/>
              </w:rPr>
            </w:pPr>
            <w:r w:rsidRPr="00E060E5">
              <w:rPr>
                <w:rFonts w:asciiTheme="minorHAnsi" w:eastAsia="Times New Roman" w:hAnsiTheme="minorHAnsi" w:cstheme="minorHAnsi"/>
                <w:color w:val="000000"/>
                <w:sz w:val="16"/>
                <w:szCs w:val="16"/>
              </w:rPr>
              <w:t>166</w:t>
            </w:r>
          </w:p>
        </w:tc>
        <w:tc>
          <w:tcPr>
            <w:tcW w:w="608" w:type="dxa"/>
            <w:tcBorders>
              <w:top w:val="nil"/>
              <w:left w:val="nil"/>
              <w:bottom w:val="single" w:sz="4" w:space="0" w:color="auto"/>
              <w:right w:val="single" w:sz="4" w:space="0" w:color="auto"/>
            </w:tcBorders>
            <w:shd w:val="clear" w:color="auto" w:fill="auto"/>
            <w:noWrap/>
            <w:vAlign w:val="center"/>
            <w:hideMark/>
          </w:tcPr>
          <w:p w:rsidR="00BA05A3" w:rsidRPr="00E060E5" w:rsidRDefault="00BA05A3" w:rsidP="00DA7A22">
            <w:pPr>
              <w:spacing w:line="240" w:lineRule="auto"/>
              <w:jc w:val="center"/>
              <w:rPr>
                <w:rFonts w:asciiTheme="minorHAnsi" w:eastAsia="Times New Roman" w:hAnsiTheme="minorHAnsi" w:cstheme="minorHAnsi"/>
                <w:color w:val="000000"/>
                <w:sz w:val="16"/>
                <w:szCs w:val="16"/>
              </w:rPr>
            </w:pPr>
            <w:r w:rsidRPr="00E060E5">
              <w:rPr>
                <w:rFonts w:asciiTheme="minorHAnsi" w:eastAsia="Times New Roman" w:hAnsiTheme="minorHAnsi" w:cstheme="minorHAnsi"/>
                <w:color w:val="000000"/>
                <w:sz w:val="16"/>
                <w:szCs w:val="16"/>
              </w:rPr>
              <w:t>237</w:t>
            </w:r>
          </w:p>
        </w:tc>
        <w:tc>
          <w:tcPr>
            <w:tcW w:w="608" w:type="dxa"/>
            <w:tcBorders>
              <w:top w:val="nil"/>
              <w:left w:val="nil"/>
              <w:bottom w:val="single" w:sz="4" w:space="0" w:color="auto"/>
              <w:right w:val="single" w:sz="4" w:space="0" w:color="auto"/>
            </w:tcBorders>
            <w:shd w:val="clear" w:color="auto" w:fill="auto"/>
            <w:noWrap/>
            <w:vAlign w:val="center"/>
            <w:hideMark/>
          </w:tcPr>
          <w:p w:rsidR="00BA05A3" w:rsidRPr="00E060E5" w:rsidRDefault="00BA05A3" w:rsidP="00DA7A22">
            <w:pPr>
              <w:spacing w:line="240" w:lineRule="auto"/>
              <w:jc w:val="center"/>
              <w:rPr>
                <w:rFonts w:asciiTheme="minorHAnsi" w:eastAsia="Times New Roman" w:hAnsiTheme="minorHAnsi" w:cstheme="minorHAnsi"/>
                <w:color w:val="000000"/>
                <w:sz w:val="16"/>
                <w:szCs w:val="16"/>
              </w:rPr>
            </w:pPr>
            <w:r w:rsidRPr="00E060E5">
              <w:rPr>
                <w:rFonts w:asciiTheme="minorHAnsi" w:eastAsia="Times New Roman" w:hAnsiTheme="minorHAnsi" w:cstheme="minorHAnsi"/>
                <w:color w:val="000000"/>
                <w:sz w:val="16"/>
                <w:szCs w:val="16"/>
              </w:rPr>
              <w:t>309</w:t>
            </w:r>
          </w:p>
        </w:tc>
        <w:tc>
          <w:tcPr>
            <w:tcW w:w="608" w:type="dxa"/>
            <w:tcBorders>
              <w:top w:val="nil"/>
              <w:left w:val="nil"/>
              <w:bottom w:val="single" w:sz="4" w:space="0" w:color="auto"/>
              <w:right w:val="single" w:sz="4" w:space="0" w:color="auto"/>
            </w:tcBorders>
            <w:shd w:val="clear" w:color="auto" w:fill="auto"/>
            <w:noWrap/>
            <w:vAlign w:val="center"/>
            <w:hideMark/>
          </w:tcPr>
          <w:p w:rsidR="00BA05A3" w:rsidRPr="00E060E5" w:rsidRDefault="00BA05A3" w:rsidP="00DA7A22">
            <w:pPr>
              <w:spacing w:line="240" w:lineRule="auto"/>
              <w:jc w:val="center"/>
              <w:rPr>
                <w:rFonts w:asciiTheme="minorHAnsi" w:eastAsia="Times New Roman" w:hAnsiTheme="minorHAnsi" w:cstheme="minorHAnsi"/>
                <w:color w:val="000000"/>
                <w:sz w:val="16"/>
                <w:szCs w:val="16"/>
              </w:rPr>
            </w:pPr>
            <w:r w:rsidRPr="00E060E5">
              <w:rPr>
                <w:rFonts w:asciiTheme="minorHAnsi" w:eastAsia="Times New Roman" w:hAnsiTheme="minorHAnsi" w:cstheme="minorHAnsi"/>
                <w:color w:val="000000"/>
                <w:sz w:val="16"/>
                <w:szCs w:val="16"/>
              </w:rPr>
              <w:t>380</w:t>
            </w:r>
          </w:p>
        </w:tc>
        <w:tc>
          <w:tcPr>
            <w:tcW w:w="611" w:type="dxa"/>
            <w:tcBorders>
              <w:top w:val="nil"/>
              <w:left w:val="nil"/>
              <w:bottom w:val="single" w:sz="4" w:space="0" w:color="auto"/>
              <w:right w:val="single" w:sz="4" w:space="0" w:color="auto"/>
            </w:tcBorders>
            <w:shd w:val="clear" w:color="auto" w:fill="auto"/>
            <w:noWrap/>
            <w:vAlign w:val="center"/>
            <w:hideMark/>
          </w:tcPr>
          <w:p w:rsidR="00BA05A3" w:rsidRPr="00E060E5" w:rsidRDefault="00BA05A3" w:rsidP="00DA7A22">
            <w:pPr>
              <w:spacing w:line="240" w:lineRule="auto"/>
              <w:jc w:val="center"/>
              <w:rPr>
                <w:rFonts w:asciiTheme="minorHAnsi" w:eastAsia="Times New Roman" w:hAnsiTheme="minorHAnsi" w:cstheme="minorHAnsi"/>
                <w:color w:val="000000"/>
                <w:sz w:val="16"/>
                <w:szCs w:val="16"/>
              </w:rPr>
            </w:pPr>
            <w:r w:rsidRPr="00E060E5">
              <w:rPr>
                <w:rFonts w:asciiTheme="minorHAnsi" w:eastAsia="Times New Roman" w:hAnsiTheme="minorHAnsi" w:cstheme="minorHAnsi"/>
                <w:color w:val="000000"/>
                <w:sz w:val="16"/>
                <w:szCs w:val="16"/>
              </w:rPr>
              <w:t>451</w:t>
            </w:r>
          </w:p>
        </w:tc>
      </w:tr>
      <w:tr w:rsidR="00BA05A3" w:rsidRPr="00E060E5" w:rsidTr="00BA05A3">
        <w:trPr>
          <w:trHeight w:val="301"/>
        </w:trPr>
        <w:tc>
          <w:tcPr>
            <w:tcW w:w="3520" w:type="dxa"/>
            <w:tcBorders>
              <w:top w:val="nil"/>
              <w:left w:val="single" w:sz="4" w:space="0" w:color="auto"/>
              <w:bottom w:val="single" w:sz="4" w:space="0" w:color="auto"/>
              <w:right w:val="single" w:sz="4" w:space="0" w:color="auto"/>
            </w:tcBorders>
            <w:shd w:val="clear" w:color="000000" w:fill="BEECF0"/>
            <w:noWrap/>
            <w:vAlign w:val="center"/>
            <w:hideMark/>
          </w:tcPr>
          <w:p w:rsidR="00BA05A3" w:rsidRPr="00E060E5" w:rsidRDefault="00BA05A3" w:rsidP="00DA7A22">
            <w:pPr>
              <w:spacing w:line="240" w:lineRule="auto"/>
              <w:rPr>
                <w:rFonts w:asciiTheme="minorHAnsi" w:eastAsia="Times New Roman" w:hAnsiTheme="minorHAnsi" w:cstheme="minorHAnsi"/>
                <w:color w:val="000000"/>
                <w:sz w:val="16"/>
                <w:szCs w:val="16"/>
              </w:rPr>
            </w:pPr>
            <w:r w:rsidRPr="00E060E5">
              <w:rPr>
                <w:rFonts w:asciiTheme="minorHAnsi" w:eastAsia="Times New Roman" w:hAnsiTheme="minorHAnsi" w:cstheme="minorHAnsi"/>
                <w:color w:val="000000"/>
                <w:sz w:val="16"/>
                <w:szCs w:val="16"/>
              </w:rPr>
              <w:t>Białystok</w:t>
            </w:r>
          </w:p>
        </w:tc>
        <w:tc>
          <w:tcPr>
            <w:tcW w:w="734" w:type="dxa"/>
            <w:tcBorders>
              <w:top w:val="nil"/>
              <w:left w:val="nil"/>
              <w:bottom w:val="single" w:sz="4" w:space="0" w:color="auto"/>
              <w:right w:val="single" w:sz="4" w:space="0" w:color="auto"/>
            </w:tcBorders>
            <w:shd w:val="clear" w:color="000000" w:fill="BEECF0"/>
            <w:noWrap/>
            <w:vAlign w:val="center"/>
            <w:hideMark/>
          </w:tcPr>
          <w:p w:rsidR="00BA05A3" w:rsidRPr="00E060E5" w:rsidRDefault="00BA05A3" w:rsidP="00DA7A22">
            <w:pPr>
              <w:spacing w:line="240" w:lineRule="auto"/>
              <w:rPr>
                <w:rFonts w:asciiTheme="minorHAnsi" w:eastAsia="Times New Roman" w:hAnsiTheme="minorHAnsi" w:cstheme="minorHAnsi"/>
                <w:color w:val="000000"/>
                <w:sz w:val="16"/>
                <w:szCs w:val="16"/>
              </w:rPr>
            </w:pPr>
            <w:r w:rsidRPr="00E060E5">
              <w:rPr>
                <w:rFonts w:asciiTheme="minorHAnsi" w:eastAsia="Times New Roman" w:hAnsiTheme="minorHAnsi" w:cstheme="minorHAnsi"/>
                <w:color w:val="000000"/>
                <w:sz w:val="16"/>
                <w:szCs w:val="16"/>
              </w:rPr>
              <w:t>4107,25</w:t>
            </w:r>
          </w:p>
        </w:tc>
        <w:tc>
          <w:tcPr>
            <w:tcW w:w="1369" w:type="dxa"/>
            <w:tcBorders>
              <w:top w:val="nil"/>
              <w:left w:val="nil"/>
              <w:bottom w:val="single" w:sz="4" w:space="0" w:color="auto"/>
              <w:right w:val="single" w:sz="4" w:space="0" w:color="auto"/>
            </w:tcBorders>
            <w:shd w:val="clear" w:color="000000" w:fill="BEECF0"/>
            <w:noWrap/>
            <w:vAlign w:val="center"/>
            <w:hideMark/>
          </w:tcPr>
          <w:p w:rsidR="00BA05A3" w:rsidRPr="00E060E5" w:rsidRDefault="00BA05A3" w:rsidP="00DA7A22">
            <w:pPr>
              <w:spacing w:line="240" w:lineRule="auto"/>
              <w:jc w:val="center"/>
              <w:rPr>
                <w:rFonts w:asciiTheme="minorHAnsi" w:eastAsia="Times New Roman" w:hAnsiTheme="minorHAnsi" w:cstheme="minorHAnsi"/>
                <w:color w:val="000000"/>
                <w:sz w:val="16"/>
                <w:szCs w:val="16"/>
              </w:rPr>
            </w:pPr>
            <w:r w:rsidRPr="00E060E5">
              <w:rPr>
                <w:rFonts w:asciiTheme="minorHAnsi" w:eastAsia="Times New Roman" w:hAnsiTheme="minorHAnsi" w:cstheme="minorHAnsi"/>
                <w:color w:val="000000"/>
                <w:sz w:val="16"/>
                <w:szCs w:val="16"/>
              </w:rPr>
              <w:t>6,16</w:t>
            </w:r>
          </w:p>
        </w:tc>
        <w:tc>
          <w:tcPr>
            <w:tcW w:w="608" w:type="dxa"/>
            <w:tcBorders>
              <w:top w:val="nil"/>
              <w:left w:val="nil"/>
              <w:bottom w:val="single" w:sz="4" w:space="0" w:color="auto"/>
              <w:right w:val="single" w:sz="4" w:space="0" w:color="auto"/>
            </w:tcBorders>
            <w:shd w:val="clear" w:color="000000" w:fill="BEECF0"/>
            <w:noWrap/>
            <w:vAlign w:val="center"/>
            <w:hideMark/>
          </w:tcPr>
          <w:p w:rsidR="00BA05A3" w:rsidRPr="00E060E5" w:rsidRDefault="00BA05A3" w:rsidP="00DA7A22">
            <w:pPr>
              <w:spacing w:line="240" w:lineRule="auto"/>
              <w:jc w:val="center"/>
              <w:rPr>
                <w:rFonts w:asciiTheme="minorHAnsi" w:eastAsia="Times New Roman" w:hAnsiTheme="minorHAnsi" w:cstheme="minorHAnsi"/>
                <w:color w:val="000000"/>
                <w:sz w:val="16"/>
                <w:szCs w:val="16"/>
              </w:rPr>
            </w:pPr>
            <w:r w:rsidRPr="00E060E5">
              <w:rPr>
                <w:rFonts w:asciiTheme="minorHAnsi" w:eastAsia="Times New Roman" w:hAnsiTheme="minorHAnsi" w:cstheme="minorHAnsi"/>
                <w:color w:val="000000"/>
                <w:sz w:val="16"/>
                <w:szCs w:val="16"/>
              </w:rPr>
              <w:t>123</w:t>
            </w:r>
          </w:p>
        </w:tc>
        <w:tc>
          <w:tcPr>
            <w:tcW w:w="608" w:type="dxa"/>
            <w:tcBorders>
              <w:top w:val="nil"/>
              <w:left w:val="nil"/>
              <w:bottom w:val="single" w:sz="4" w:space="0" w:color="auto"/>
              <w:right w:val="single" w:sz="4" w:space="0" w:color="auto"/>
            </w:tcBorders>
            <w:shd w:val="clear" w:color="000000" w:fill="BEECF0"/>
            <w:noWrap/>
            <w:vAlign w:val="center"/>
            <w:hideMark/>
          </w:tcPr>
          <w:p w:rsidR="00BA05A3" w:rsidRPr="00E060E5" w:rsidRDefault="00BA05A3" w:rsidP="00DA7A22">
            <w:pPr>
              <w:spacing w:line="240" w:lineRule="auto"/>
              <w:jc w:val="center"/>
              <w:rPr>
                <w:rFonts w:asciiTheme="minorHAnsi" w:eastAsia="Times New Roman" w:hAnsiTheme="minorHAnsi" w:cstheme="minorHAnsi"/>
                <w:color w:val="000000"/>
                <w:sz w:val="16"/>
                <w:szCs w:val="16"/>
              </w:rPr>
            </w:pPr>
            <w:r w:rsidRPr="00E060E5">
              <w:rPr>
                <w:rFonts w:asciiTheme="minorHAnsi" w:eastAsia="Times New Roman" w:hAnsiTheme="minorHAnsi" w:cstheme="minorHAnsi"/>
                <w:color w:val="000000"/>
                <w:sz w:val="16"/>
                <w:szCs w:val="16"/>
              </w:rPr>
              <w:t>216</w:t>
            </w:r>
          </w:p>
        </w:tc>
        <w:tc>
          <w:tcPr>
            <w:tcW w:w="608" w:type="dxa"/>
            <w:tcBorders>
              <w:top w:val="nil"/>
              <w:left w:val="nil"/>
              <w:bottom w:val="single" w:sz="4" w:space="0" w:color="auto"/>
              <w:right w:val="single" w:sz="4" w:space="0" w:color="auto"/>
            </w:tcBorders>
            <w:shd w:val="clear" w:color="000000" w:fill="BEECF0"/>
            <w:noWrap/>
            <w:vAlign w:val="center"/>
            <w:hideMark/>
          </w:tcPr>
          <w:p w:rsidR="00BA05A3" w:rsidRPr="00E060E5" w:rsidRDefault="00BA05A3" w:rsidP="00DA7A22">
            <w:pPr>
              <w:spacing w:line="240" w:lineRule="auto"/>
              <w:jc w:val="center"/>
              <w:rPr>
                <w:rFonts w:asciiTheme="minorHAnsi" w:eastAsia="Times New Roman" w:hAnsiTheme="minorHAnsi" w:cstheme="minorHAnsi"/>
                <w:color w:val="000000"/>
                <w:sz w:val="16"/>
                <w:szCs w:val="16"/>
              </w:rPr>
            </w:pPr>
            <w:r w:rsidRPr="00E060E5">
              <w:rPr>
                <w:rFonts w:asciiTheme="minorHAnsi" w:eastAsia="Times New Roman" w:hAnsiTheme="minorHAnsi" w:cstheme="minorHAnsi"/>
                <w:color w:val="000000"/>
                <w:sz w:val="16"/>
                <w:szCs w:val="16"/>
              </w:rPr>
              <w:t>308</w:t>
            </w:r>
          </w:p>
        </w:tc>
        <w:tc>
          <w:tcPr>
            <w:tcW w:w="608" w:type="dxa"/>
            <w:tcBorders>
              <w:top w:val="nil"/>
              <w:left w:val="nil"/>
              <w:bottom w:val="single" w:sz="4" w:space="0" w:color="auto"/>
              <w:right w:val="single" w:sz="4" w:space="0" w:color="auto"/>
            </w:tcBorders>
            <w:shd w:val="clear" w:color="000000" w:fill="BEECF0"/>
            <w:noWrap/>
            <w:vAlign w:val="center"/>
            <w:hideMark/>
          </w:tcPr>
          <w:p w:rsidR="00BA05A3" w:rsidRPr="00E060E5" w:rsidRDefault="00BA05A3" w:rsidP="00DA7A22">
            <w:pPr>
              <w:spacing w:line="240" w:lineRule="auto"/>
              <w:jc w:val="center"/>
              <w:rPr>
                <w:rFonts w:asciiTheme="minorHAnsi" w:eastAsia="Times New Roman" w:hAnsiTheme="minorHAnsi" w:cstheme="minorHAnsi"/>
                <w:color w:val="000000"/>
                <w:sz w:val="16"/>
                <w:szCs w:val="16"/>
              </w:rPr>
            </w:pPr>
            <w:r w:rsidRPr="00E060E5">
              <w:rPr>
                <w:rFonts w:asciiTheme="minorHAnsi" w:eastAsia="Times New Roman" w:hAnsiTheme="minorHAnsi" w:cstheme="minorHAnsi"/>
                <w:color w:val="000000"/>
                <w:sz w:val="16"/>
                <w:szCs w:val="16"/>
              </w:rPr>
              <w:t>400</w:t>
            </w:r>
          </w:p>
        </w:tc>
        <w:tc>
          <w:tcPr>
            <w:tcW w:w="608" w:type="dxa"/>
            <w:tcBorders>
              <w:top w:val="nil"/>
              <w:left w:val="nil"/>
              <w:bottom w:val="single" w:sz="4" w:space="0" w:color="auto"/>
              <w:right w:val="single" w:sz="4" w:space="0" w:color="auto"/>
            </w:tcBorders>
            <w:shd w:val="clear" w:color="000000" w:fill="BEECF0"/>
            <w:noWrap/>
            <w:vAlign w:val="center"/>
            <w:hideMark/>
          </w:tcPr>
          <w:p w:rsidR="00BA05A3" w:rsidRPr="00E060E5" w:rsidRDefault="00BA05A3" w:rsidP="00DA7A22">
            <w:pPr>
              <w:spacing w:line="240" w:lineRule="auto"/>
              <w:jc w:val="center"/>
              <w:rPr>
                <w:rFonts w:asciiTheme="minorHAnsi" w:eastAsia="Times New Roman" w:hAnsiTheme="minorHAnsi" w:cstheme="minorHAnsi"/>
                <w:color w:val="000000"/>
                <w:sz w:val="16"/>
                <w:szCs w:val="16"/>
              </w:rPr>
            </w:pPr>
            <w:r w:rsidRPr="00E060E5">
              <w:rPr>
                <w:rFonts w:asciiTheme="minorHAnsi" w:eastAsia="Times New Roman" w:hAnsiTheme="minorHAnsi" w:cstheme="minorHAnsi"/>
                <w:color w:val="000000"/>
                <w:sz w:val="16"/>
                <w:szCs w:val="16"/>
              </w:rPr>
              <w:t>493</w:t>
            </w:r>
          </w:p>
        </w:tc>
        <w:tc>
          <w:tcPr>
            <w:tcW w:w="611" w:type="dxa"/>
            <w:tcBorders>
              <w:top w:val="nil"/>
              <w:left w:val="nil"/>
              <w:bottom w:val="single" w:sz="4" w:space="0" w:color="auto"/>
              <w:right w:val="single" w:sz="4" w:space="0" w:color="auto"/>
            </w:tcBorders>
            <w:shd w:val="clear" w:color="000000" w:fill="BEECF0"/>
            <w:noWrap/>
            <w:vAlign w:val="center"/>
            <w:hideMark/>
          </w:tcPr>
          <w:p w:rsidR="00BA05A3" w:rsidRPr="00E060E5" w:rsidRDefault="00BA05A3" w:rsidP="00DA7A22">
            <w:pPr>
              <w:spacing w:line="240" w:lineRule="auto"/>
              <w:jc w:val="center"/>
              <w:rPr>
                <w:rFonts w:asciiTheme="minorHAnsi" w:eastAsia="Times New Roman" w:hAnsiTheme="minorHAnsi" w:cstheme="minorHAnsi"/>
                <w:color w:val="000000"/>
                <w:sz w:val="16"/>
                <w:szCs w:val="16"/>
              </w:rPr>
            </w:pPr>
            <w:r w:rsidRPr="00E060E5">
              <w:rPr>
                <w:rFonts w:asciiTheme="minorHAnsi" w:eastAsia="Times New Roman" w:hAnsiTheme="minorHAnsi" w:cstheme="minorHAnsi"/>
                <w:color w:val="000000"/>
                <w:sz w:val="16"/>
                <w:szCs w:val="16"/>
              </w:rPr>
              <w:t>585</w:t>
            </w:r>
          </w:p>
        </w:tc>
      </w:tr>
      <w:tr w:rsidR="00BA05A3" w:rsidRPr="00E060E5" w:rsidTr="00BA05A3">
        <w:trPr>
          <w:trHeight w:val="301"/>
        </w:trPr>
        <w:tc>
          <w:tcPr>
            <w:tcW w:w="3520" w:type="dxa"/>
            <w:tcBorders>
              <w:top w:val="nil"/>
              <w:left w:val="single" w:sz="4" w:space="0" w:color="auto"/>
              <w:bottom w:val="single" w:sz="4" w:space="0" w:color="auto"/>
              <w:right w:val="single" w:sz="4" w:space="0" w:color="auto"/>
            </w:tcBorders>
            <w:shd w:val="clear" w:color="auto" w:fill="auto"/>
            <w:noWrap/>
            <w:vAlign w:val="center"/>
            <w:hideMark/>
          </w:tcPr>
          <w:p w:rsidR="00BA05A3" w:rsidRPr="00E060E5" w:rsidRDefault="00BA05A3" w:rsidP="00DA7A22">
            <w:pPr>
              <w:spacing w:line="240" w:lineRule="auto"/>
              <w:rPr>
                <w:rFonts w:asciiTheme="minorHAnsi" w:eastAsia="Times New Roman" w:hAnsiTheme="minorHAnsi" w:cstheme="minorHAnsi"/>
                <w:color w:val="000000"/>
                <w:sz w:val="16"/>
                <w:szCs w:val="16"/>
              </w:rPr>
            </w:pPr>
            <w:r w:rsidRPr="00E060E5">
              <w:rPr>
                <w:rFonts w:asciiTheme="minorHAnsi" w:eastAsia="Times New Roman" w:hAnsiTheme="minorHAnsi" w:cstheme="minorHAnsi"/>
                <w:color w:val="000000"/>
                <w:sz w:val="16"/>
                <w:szCs w:val="16"/>
              </w:rPr>
              <w:t>gminy sąsiadujące</w:t>
            </w:r>
          </w:p>
        </w:tc>
        <w:tc>
          <w:tcPr>
            <w:tcW w:w="734" w:type="dxa"/>
            <w:tcBorders>
              <w:top w:val="nil"/>
              <w:left w:val="nil"/>
              <w:bottom w:val="single" w:sz="4" w:space="0" w:color="auto"/>
              <w:right w:val="single" w:sz="4" w:space="0" w:color="auto"/>
            </w:tcBorders>
            <w:shd w:val="clear" w:color="auto" w:fill="auto"/>
            <w:noWrap/>
            <w:vAlign w:val="center"/>
            <w:hideMark/>
          </w:tcPr>
          <w:p w:rsidR="00BA05A3" w:rsidRPr="00E060E5" w:rsidRDefault="00BA05A3" w:rsidP="00DA7A22">
            <w:pPr>
              <w:spacing w:line="240" w:lineRule="auto"/>
              <w:rPr>
                <w:rFonts w:asciiTheme="minorHAnsi" w:eastAsia="Times New Roman" w:hAnsiTheme="minorHAnsi" w:cstheme="minorHAnsi"/>
                <w:color w:val="000000"/>
                <w:sz w:val="16"/>
                <w:szCs w:val="16"/>
              </w:rPr>
            </w:pPr>
            <w:r w:rsidRPr="00E060E5">
              <w:rPr>
                <w:rFonts w:asciiTheme="minorHAnsi" w:eastAsia="Times New Roman" w:hAnsiTheme="minorHAnsi" w:cstheme="minorHAnsi"/>
                <w:color w:val="000000"/>
                <w:sz w:val="16"/>
                <w:szCs w:val="16"/>
              </w:rPr>
              <w:t>3804,13</w:t>
            </w:r>
          </w:p>
        </w:tc>
        <w:tc>
          <w:tcPr>
            <w:tcW w:w="1369" w:type="dxa"/>
            <w:tcBorders>
              <w:top w:val="nil"/>
              <w:left w:val="nil"/>
              <w:bottom w:val="single" w:sz="4" w:space="0" w:color="auto"/>
              <w:right w:val="single" w:sz="4" w:space="0" w:color="auto"/>
            </w:tcBorders>
            <w:shd w:val="clear" w:color="auto" w:fill="auto"/>
            <w:noWrap/>
            <w:vAlign w:val="center"/>
            <w:hideMark/>
          </w:tcPr>
          <w:p w:rsidR="00BA05A3" w:rsidRPr="00E060E5" w:rsidRDefault="00BA05A3" w:rsidP="00DA7A22">
            <w:pPr>
              <w:spacing w:line="240" w:lineRule="auto"/>
              <w:jc w:val="center"/>
              <w:rPr>
                <w:rFonts w:asciiTheme="minorHAnsi" w:eastAsia="Times New Roman" w:hAnsiTheme="minorHAnsi" w:cstheme="minorHAnsi"/>
                <w:color w:val="000000"/>
                <w:sz w:val="16"/>
                <w:szCs w:val="16"/>
              </w:rPr>
            </w:pPr>
            <w:r w:rsidRPr="00E060E5">
              <w:rPr>
                <w:rFonts w:asciiTheme="minorHAnsi" w:eastAsia="Times New Roman" w:hAnsiTheme="minorHAnsi" w:cstheme="minorHAnsi"/>
                <w:color w:val="000000"/>
                <w:sz w:val="16"/>
                <w:szCs w:val="16"/>
              </w:rPr>
              <w:t>5,71</w:t>
            </w:r>
          </w:p>
        </w:tc>
        <w:tc>
          <w:tcPr>
            <w:tcW w:w="608" w:type="dxa"/>
            <w:tcBorders>
              <w:top w:val="nil"/>
              <w:left w:val="nil"/>
              <w:bottom w:val="single" w:sz="4" w:space="0" w:color="auto"/>
              <w:right w:val="single" w:sz="4" w:space="0" w:color="auto"/>
            </w:tcBorders>
            <w:shd w:val="clear" w:color="auto" w:fill="auto"/>
            <w:noWrap/>
            <w:vAlign w:val="center"/>
            <w:hideMark/>
          </w:tcPr>
          <w:p w:rsidR="00BA05A3" w:rsidRPr="00E060E5" w:rsidRDefault="00BA05A3" w:rsidP="00DA7A22">
            <w:pPr>
              <w:spacing w:line="240" w:lineRule="auto"/>
              <w:jc w:val="center"/>
              <w:rPr>
                <w:rFonts w:asciiTheme="minorHAnsi" w:eastAsia="Times New Roman" w:hAnsiTheme="minorHAnsi" w:cstheme="minorHAnsi"/>
                <w:color w:val="000000"/>
                <w:sz w:val="16"/>
                <w:szCs w:val="16"/>
              </w:rPr>
            </w:pPr>
            <w:r w:rsidRPr="00E060E5">
              <w:rPr>
                <w:rFonts w:asciiTheme="minorHAnsi" w:eastAsia="Times New Roman" w:hAnsiTheme="minorHAnsi" w:cstheme="minorHAnsi"/>
                <w:color w:val="000000"/>
                <w:sz w:val="16"/>
                <w:szCs w:val="16"/>
              </w:rPr>
              <w:t>114</w:t>
            </w:r>
          </w:p>
        </w:tc>
        <w:tc>
          <w:tcPr>
            <w:tcW w:w="608" w:type="dxa"/>
            <w:tcBorders>
              <w:top w:val="nil"/>
              <w:left w:val="nil"/>
              <w:bottom w:val="single" w:sz="4" w:space="0" w:color="auto"/>
              <w:right w:val="single" w:sz="4" w:space="0" w:color="auto"/>
            </w:tcBorders>
            <w:shd w:val="clear" w:color="auto" w:fill="auto"/>
            <w:noWrap/>
            <w:vAlign w:val="center"/>
            <w:hideMark/>
          </w:tcPr>
          <w:p w:rsidR="00BA05A3" w:rsidRPr="00E060E5" w:rsidRDefault="00BA05A3" w:rsidP="00DA7A22">
            <w:pPr>
              <w:spacing w:line="240" w:lineRule="auto"/>
              <w:jc w:val="center"/>
              <w:rPr>
                <w:rFonts w:asciiTheme="minorHAnsi" w:eastAsia="Times New Roman" w:hAnsiTheme="minorHAnsi" w:cstheme="minorHAnsi"/>
                <w:color w:val="000000"/>
                <w:sz w:val="16"/>
                <w:szCs w:val="16"/>
              </w:rPr>
            </w:pPr>
            <w:r w:rsidRPr="00E060E5">
              <w:rPr>
                <w:rFonts w:asciiTheme="minorHAnsi" w:eastAsia="Times New Roman" w:hAnsiTheme="minorHAnsi" w:cstheme="minorHAnsi"/>
                <w:color w:val="000000"/>
                <w:sz w:val="16"/>
                <w:szCs w:val="16"/>
              </w:rPr>
              <w:t>200</w:t>
            </w:r>
          </w:p>
        </w:tc>
        <w:tc>
          <w:tcPr>
            <w:tcW w:w="608" w:type="dxa"/>
            <w:tcBorders>
              <w:top w:val="nil"/>
              <w:left w:val="nil"/>
              <w:bottom w:val="single" w:sz="4" w:space="0" w:color="auto"/>
              <w:right w:val="single" w:sz="4" w:space="0" w:color="auto"/>
            </w:tcBorders>
            <w:shd w:val="clear" w:color="auto" w:fill="auto"/>
            <w:noWrap/>
            <w:vAlign w:val="center"/>
            <w:hideMark/>
          </w:tcPr>
          <w:p w:rsidR="00BA05A3" w:rsidRPr="00E060E5" w:rsidRDefault="00BA05A3" w:rsidP="00DA7A22">
            <w:pPr>
              <w:spacing w:line="240" w:lineRule="auto"/>
              <w:jc w:val="center"/>
              <w:rPr>
                <w:rFonts w:asciiTheme="minorHAnsi" w:eastAsia="Times New Roman" w:hAnsiTheme="minorHAnsi" w:cstheme="minorHAnsi"/>
                <w:color w:val="000000"/>
                <w:sz w:val="16"/>
                <w:szCs w:val="16"/>
              </w:rPr>
            </w:pPr>
            <w:r w:rsidRPr="00E060E5">
              <w:rPr>
                <w:rFonts w:asciiTheme="minorHAnsi" w:eastAsia="Times New Roman" w:hAnsiTheme="minorHAnsi" w:cstheme="minorHAnsi"/>
                <w:color w:val="000000"/>
                <w:sz w:val="16"/>
                <w:szCs w:val="16"/>
              </w:rPr>
              <w:t>285</w:t>
            </w:r>
          </w:p>
        </w:tc>
        <w:tc>
          <w:tcPr>
            <w:tcW w:w="608" w:type="dxa"/>
            <w:tcBorders>
              <w:top w:val="nil"/>
              <w:left w:val="nil"/>
              <w:bottom w:val="single" w:sz="4" w:space="0" w:color="auto"/>
              <w:right w:val="single" w:sz="4" w:space="0" w:color="auto"/>
            </w:tcBorders>
            <w:shd w:val="clear" w:color="auto" w:fill="auto"/>
            <w:noWrap/>
            <w:vAlign w:val="center"/>
            <w:hideMark/>
          </w:tcPr>
          <w:p w:rsidR="00BA05A3" w:rsidRPr="00E060E5" w:rsidRDefault="00BA05A3" w:rsidP="00DA7A22">
            <w:pPr>
              <w:spacing w:line="240" w:lineRule="auto"/>
              <w:jc w:val="center"/>
              <w:rPr>
                <w:rFonts w:asciiTheme="minorHAnsi" w:eastAsia="Times New Roman" w:hAnsiTheme="minorHAnsi" w:cstheme="minorHAnsi"/>
                <w:color w:val="000000"/>
                <w:sz w:val="16"/>
                <w:szCs w:val="16"/>
              </w:rPr>
            </w:pPr>
            <w:r w:rsidRPr="00E060E5">
              <w:rPr>
                <w:rFonts w:asciiTheme="minorHAnsi" w:eastAsia="Times New Roman" w:hAnsiTheme="minorHAnsi" w:cstheme="minorHAnsi"/>
                <w:color w:val="000000"/>
                <w:sz w:val="16"/>
                <w:szCs w:val="16"/>
              </w:rPr>
              <w:t>371</w:t>
            </w:r>
          </w:p>
        </w:tc>
        <w:tc>
          <w:tcPr>
            <w:tcW w:w="608" w:type="dxa"/>
            <w:tcBorders>
              <w:top w:val="nil"/>
              <w:left w:val="nil"/>
              <w:bottom w:val="single" w:sz="4" w:space="0" w:color="auto"/>
              <w:right w:val="single" w:sz="4" w:space="0" w:color="auto"/>
            </w:tcBorders>
            <w:shd w:val="clear" w:color="auto" w:fill="auto"/>
            <w:noWrap/>
            <w:vAlign w:val="center"/>
            <w:hideMark/>
          </w:tcPr>
          <w:p w:rsidR="00BA05A3" w:rsidRPr="00E060E5" w:rsidRDefault="00BA05A3" w:rsidP="00DA7A22">
            <w:pPr>
              <w:spacing w:line="240" w:lineRule="auto"/>
              <w:jc w:val="center"/>
              <w:rPr>
                <w:rFonts w:asciiTheme="minorHAnsi" w:eastAsia="Times New Roman" w:hAnsiTheme="minorHAnsi" w:cstheme="minorHAnsi"/>
                <w:color w:val="000000"/>
                <w:sz w:val="16"/>
                <w:szCs w:val="16"/>
              </w:rPr>
            </w:pPr>
            <w:r w:rsidRPr="00E060E5">
              <w:rPr>
                <w:rFonts w:asciiTheme="minorHAnsi" w:eastAsia="Times New Roman" w:hAnsiTheme="minorHAnsi" w:cstheme="minorHAnsi"/>
                <w:color w:val="000000"/>
                <w:sz w:val="16"/>
                <w:szCs w:val="16"/>
              </w:rPr>
              <w:t>456</w:t>
            </w:r>
          </w:p>
        </w:tc>
        <w:tc>
          <w:tcPr>
            <w:tcW w:w="611" w:type="dxa"/>
            <w:tcBorders>
              <w:top w:val="nil"/>
              <w:left w:val="nil"/>
              <w:bottom w:val="single" w:sz="4" w:space="0" w:color="auto"/>
              <w:right w:val="single" w:sz="4" w:space="0" w:color="auto"/>
            </w:tcBorders>
            <w:shd w:val="clear" w:color="auto" w:fill="auto"/>
            <w:noWrap/>
            <w:vAlign w:val="center"/>
            <w:hideMark/>
          </w:tcPr>
          <w:p w:rsidR="00BA05A3" w:rsidRPr="00E060E5" w:rsidRDefault="00BA05A3" w:rsidP="00DA7A22">
            <w:pPr>
              <w:spacing w:line="240" w:lineRule="auto"/>
              <w:jc w:val="center"/>
              <w:rPr>
                <w:rFonts w:asciiTheme="minorHAnsi" w:eastAsia="Times New Roman" w:hAnsiTheme="minorHAnsi" w:cstheme="minorHAnsi"/>
                <w:color w:val="000000"/>
                <w:sz w:val="16"/>
                <w:szCs w:val="16"/>
              </w:rPr>
            </w:pPr>
            <w:r w:rsidRPr="00E060E5">
              <w:rPr>
                <w:rFonts w:asciiTheme="minorHAnsi" w:eastAsia="Times New Roman" w:hAnsiTheme="minorHAnsi" w:cstheme="minorHAnsi"/>
                <w:color w:val="000000"/>
                <w:sz w:val="16"/>
                <w:szCs w:val="16"/>
              </w:rPr>
              <w:t>542</w:t>
            </w:r>
          </w:p>
        </w:tc>
      </w:tr>
      <w:tr w:rsidR="00BA05A3" w:rsidRPr="00E060E5" w:rsidTr="00BA05A3">
        <w:trPr>
          <w:trHeight w:val="301"/>
        </w:trPr>
        <w:tc>
          <w:tcPr>
            <w:tcW w:w="3520" w:type="dxa"/>
            <w:tcBorders>
              <w:top w:val="nil"/>
              <w:left w:val="single" w:sz="4" w:space="0" w:color="auto"/>
              <w:bottom w:val="single" w:sz="4" w:space="0" w:color="auto"/>
              <w:right w:val="single" w:sz="4" w:space="0" w:color="auto"/>
            </w:tcBorders>
            <w:shd w:val="clear" w:color="000000" w:fill="BEECF0"/>
            <w:noWrap/>
            <w:vAlign w:val="center"/>
            <w:hideMark/>
          </w:tcPr>
          <w:p w:rsidR="00BA05A3" w:rsidRPr="00E060E5" w:rsidRDefault="00BA05A3" w:rsidP="00DA7A22">
            <w:pPr>
              <w:spacing w:line="240" w:lineRule="auto"/>
              <w:rPr>
                <w:rFonts w:asciiTheme="minorHAnsi" w:eastAsia="Times New Roman" w:hAnsiTheme="minorHAnsi" w:cstheme="minorHAnsi"/>
                <w:color w:val="000000"/>
                <w:sz w:val="16"/>
                <w:szCs w:val="16"/>
              </w:rPr>
            </w:pPr>
            <w:r w:rsidRPr="00E060E5">
              <w:rPr>
                <w:rFonts w:asciiTheme="minorHAnsi" w:eastAsia="Times New Roman" w:hAnsiTheme="minorHAnsi" w:cstheme="minorHAnsi"/>
                <w:color w:val="000000"/>
                <w:sz w:val="16"/>
                <w:szCs w:val="16"/>
              </w:rPr>
              <w:t>województwo podlaskie</w:t>
            </w:r>
          </w:p>
        </w:tc>
        <w:tc>
          <w:tcPr>
            <w:tcW w:w="734" w:type="dxa"/>
            <w:tcBorders>
              <w:top w:val="nil"/>
              <w:left w:val="nil"/>
              <w:bottom w:val="single" w:sz="4" w:space="0" w:color="auto"/>
              <w:right w:val="single" w:sz="4" w:space="0" w:color="auto"/>
            </w:tcBorders>
            <w:shd w:val="clear" w:color="000000" w:fill="BEECF0"/>
            <w:noWrap/>
            <w:vAlign w:val="center"/>
            <w:hideMark/>
          </w:tcPr>
          <w:p w:rsidR="00BA05A3" w:rsidRPr="00E060E5" w:rsidRDefault="00BA05A3" w:rsidP="00DA7A22">
            <w:pPr>
              <w:spacing w:line="240" w:lineRule="auto"/>
              <w:rPr>
                <w:rFonts w:asciiTheme="minorHAnsi" w:eastAsia="Times New Roman" w:hAnsiTheme="minorHAnsi" w:cstheme="minorHAnsi"/>
                <w:color w:val="000000"/>
                <w:sz w:val="16"/>
                <w:szCs w:val="16"/>
              </w:rPr>
            </w:pPr>
            <w:r w:rsidRPr="00E060E5">
              <w:rPr>
                <w:rFonts w:asciiTheme="minorHAnsi" w:eastAsia="Times New Roman" w:hAnsiTheme="minorHAnsi" w:cstheme="minorHAnsi"/>
                <w:color w:val="000000"/>
                <w:sz w:val="16"/>
                <w:szCs w:val="16"/>
              </w:rPr>
              <w:t>3501,00</w:t>
            </w:r>
          </w:p>
        </w:tc>
        <w:tc>
          <w:tcPr>
            <w:tcW w:w="1369" w:type="dxa"/>
            <w:tcBorders>
              <w:top w:val="nil"/>
              <w:left w:val="nil"/>
              <w:bottom w:val="single" w:sz="4" w:space="0" w:color="auto"/>
              <w:right w:val="single" w:sz="4" w:space="0" w:color="auto"/>
            </w:tcBorders>
            <w:shd w:val="clear" w:color="000000" w:fill="BEECF0"/>
            <w:noWrap/>
            <w:vAlign w:val="center"/>
            <w:hideMark/>
          </w:tcPr>
          <w:p w:rsidR="00BA05A3" w:rsidRPr="00E060E5" w:rsidRDefault="00BA05A3" w:rsidP="00DA7A22">
            <w:pPr>
              <w:spacing w:line="240" w:lineRule="auto"/>
              <w:jc w:val="center"/>
              <w:rPr>
                <w:rFonts w:asciiTheme="minorHAnsi" w:eastAsia="Times New Roman" w:hAnsiTheme="minorHAnsi" w:cstheme="minorHAnsi"/>
                <w:color w:val="000000"/>
                <w:sz w:val="16"/>
                <w:szCs w:val="16"/>
              </w:rPr>
            </w:pPr>
            <w:r w:rsidRPr="00E060E5">
              <w:rPr>
                <w:rFonts w:asciiTheme="minorHAnsi" w:eastAsia="Times New Roman" w:hAnsiTheme="minorHAnsi" w:cstheme="minorHAnsi"/>
                <w:color w:val="000000"/>
                <w:sz w:val="16"/>
                <w:szCs w:val="16"/>
              </w:rPr>
              <w:t>5,25</w:t>
            </w:r>
          </w:p>
        </w:tc>
        <w:tc>
          <w:tcPr>
            <w:tcW w:w="608" w:type="dxa"/>
            <w:tcBorders>
              <w:top w:val="nil"/>
              <w:left w:val="nil"/>
              <w:bottom w:val="single" w:sz="4" w:space="0" w:color="auto"/>
              <w:right w:val="single" w:sz="4" w:space="0" w:color="auto"/>
            </w:tcBorders>
            <w:shd w:val="clear" w:color="000000" w:fill="BEECF0"/>
            <w:noWrap/>
            <w:vAlign w:val="center"/>
            <w:hideMark/>
          </w:tcPr>
          <w:p w:rsidR="00BA05A3" w:rsidRPr="00E060E5" w:rsidRDefault="00BA05A3" w:rsidP="00DA7A22">
            <w:pPr>
              <w:spacing w:line="240" w:lineRule="auto"/>
              <w:jc w:val="center"/>
              <w:rPr>
                <w:rFonts w:asciiTheme="minorHAnsi" w:eastAsia="Times New Roman" w:hAnsiTheme="minorHAnsi" w:cstheme="minorHAnsi"/>
                <w:color w:val="000000"/>
                <w:sz w:val="16"/>
                <w:szCs w:val="16"/>
              </w:rPr>
            </w:pPr>
            <w:r w:rsidRPr="00E060E5">
              <w:rPr>
                <w:rFonts w:asciiTheme="minorHAnsi" w:eastAsia="Times New Roman" w:hAnsiTheme="minorHAnsi" w:cstheme="minorHAnsi"/>
                <w:color w:val="000000"/>
                <w:sz w:val="16"/>
                <w:szCs w:val="16"/>
              </w:rPr>
              <w:t>105</w:t>
            </w:r>
          </w:p>
        </w:tc>
        <w:tc>
          <w:tcPr>
            <w:tcW w:w="608" w:type="dxa"/>
            <w:tcBorders>
              <w:top w:val="nil"/>
              <w:left w:val="nil"/>
              <w:bottom w:val="single" w:sz="4" w:space="0" w:color="auto"/>
              <w:right w:val="single" w:sz="4" w:space="0" w:color="auto"/>
            </w:tcBorders>
            <w:shd w:val="clear" w:color="000000" w:fill="BEECF0"/>
            <w:noWrap/>
            <w:vAlign w:val="center"/>
            <w:hideMark/>
          </w:tcPr>
          <w:p w:rsidR="00BA05A3" w:rsidRPr="00E060E5" w:rsidRDefault="00BA05A3" w:rsidP="00DA7A22">
            <w:pPr>
              <w:spacing w:line="240" w:lineRule="auto"/>
              <w:jc w:val="center"/>
              <w:rPr>
                <w:rFonts w:asciiTheme="minorHAnsi" w:eastAsia="Times New Roman" w:hAnsiTheme="minorHAnsi" w:cstheme="minorHAnsi"/>
                <w:color w:val="000000"/>
                <w:sz w:val="16"/>
                <w:szCs w:val="16"/>
              </w:rPr>
            </w:pPr>
            <w:r w:rsidRPr="00E060E5">
              <w:rPr>
                <w:rFonts w:asciiTheme="minorHAnsi" w:eastAsia="Times New Roman" w:hAnsiTheme="minorHAnsi" w:cstheme="minorHAnsi"/>
                <w:color w:val="000000"/>
                <w:sz w:val="16"/>
                <w:szCs w:val="16"/>
              </w:rPr>
              <w:t>184</w:t>
            </w:r>
          </w:p>
        </w:tc>
        <w:tc>
          <w:tcPr>
            <w:tcW w:w="608" w:type="dxa"/>
            <w:tcBorders>
              <w:top w:val="nil"/>
              <w:left w:val="nil"/>
              <w:bottom w:val="single" w:sz="4" w:space="0" w:color="auto"/>
              <w:right w:val="single" w:sz="4" w:space="0" w:color="auto"/>
            </w:tcBorders>
            <w:shd w:val="clear" w:color="000000" w:fill="BEECF0"/>
            <w:noWrap/>
            <w:vAlign w:val="center"/>
            <w:hideMark/>
          </w:tcPr>
          <w:p w:rsidR="00BA05A3" w:rsidRPr="00E060E5" w:rsidRDefault="00BA05A3" w:rsidP="00DA7A22">
            <w:pPr>
              <w:spacing w:line="240" w:lineRule="auto"/>
              <w:jc w:val="center"/>
              <w:rPr>
                <w:rFonts w:asciiTheme="minorHAnsi" w:eastAsia="Times New Roman" w:hAnsiTheme="minorHAnsi" w:cstheme="minorHAnsi"/>
                <w:color w:val="000000"/>
                <w:sz w:val="16"/>
                <w:szCs w:val="16"/>
              </w:rPr>
            </w:pPr>
            <w:r w:rsidRPr="00E060E5">
              <w:rPr>
                <w:rFonts w:asciiTheme="minorHAnsi" w:eastAsia="Times New Roman" w:hAnsiTheme="minorHAnsi" w:cstheme="minorHAnsi"/>
                <w:color w:val="000000"/>
                <w:sz w:val="16"/>
                <w:szCs w:val="16"/>
              </w:rPr>
              <w:t>263</w:t>
            </w:r>
          </w:p>
        </w:tc>
        <w:tc>
          <w:tcPr>
            <w:tcW w:w="608" w:type="dxa"/>
            <w:tcBorders>
              <w:top w:val="nil"/>
              <w:left w:val="nil"/>
              <w:bottom w:val="single" w:sz="4" w:space="0" w:color="auto"/>
              <w:right w:val="single" w:sz="4" w:space="0" w:color="auto"/>
            </w:tcBorders>
            <w:shd w:val="clear" w:color="000000" w:fill="BEECF0"/>
            <w:noWrap/>
            <w:vAlign w:val="center"/>
            <w:hideMark/>
          </w:tcPr>
          <w:p w:rsidR="00BA05A3" w:rsidRPr="00E060E5" w:rsidRDefault="00BA05A3" w:rsidP="00DA7A22">
            <w:pPr>
              <w:spacing w:line="240" w:lineRule="auto"/>
              <w:jc w:val="center"/>
              <w:rPr>
                <w:rFonts w:asciiTheme="minorHAnsi" w:eastAsia="Times New Roman" w:hAnsiTheme="minorHAnsi" w:cstheme="minorHAnsi"/>
                <w:color w:val="000000"/>
                <w:sz w:val="16"/>
                <w:szCs w:val="16"/>
              </w:rPr>
            </w:pPr>
            <w:r w:rsidRPr="00E060E5">
              <w:rPr>
                <w:rFonts w:asciiTheme="minorHAnsi" w:eastAsia="Times New Roman" w:hAnsiTheme="minorHAnsi" w:cstheme="minorHAnsi"/>
                <w:color w:val="000000"/>
                <w:sz w:val="16"/>
                <w:szCs w:val="16"/>
              </w:rPr>
              <w:t>341</w:t>
            </w:r>
          </w:p>
        </w:tc>
        <w:tc>
          <w:tcPr>
            <w:tcW w:w="608" w:type="dxa"/>
            <w:tcBorders>
              <w:top w:val="nil"/>
              <w:left w:val="nil"/>
              <w:bottom w:val="single" w:sz="4" w:space="0" w:color="auto"/>
              <w:right w:val="single" w:sz="4" w:space="0" w:color="auto"/>
            </w:tcBorders>
            <w:shd w:val="clear" w:color="000000" w:fill="BEECF0"/>
            <w:noWrap/>
            <w:vAlign w:val="center"/>
            <w:hideMark/>
          </w:tcPr>
          <w:p w:rsidR="00BA05A3" w:rsidRPr="00E060E5" w:rsidRDefault="00BA05A3" w:rsidP="00DA7A22">
            <w:pPr>
              <w:spacing w:line="240" w:lineRule="auto"/>
              <w:jc w:val="center"/>
              <w:rPr>
                <w:rFonts w:asciiTheme="minorHAnsi" w:eastAsia="Times New Roman" w:hAnsiTheme="minorHAnsi" w:cstheme="minorHAnsi"/>
                <w:color w:val="000000"/>
                <w:sz w:val="16"/>
                <w:szCs w:val="16"/>
              </w:rPr>
            </w:pPr>
            <w:r w:rsidRPr="00E060E5">
              <w:rPr>
                <w:rFonts w:asciiTheme="minorHAnsi" w:eastAsia="Times New Roman" w:hAnsiTheme="minorHAnsi" w:cstheme="minorHAnsi"/>
                <w:color w:val="000000"/>
                <w:sz w:val="16"/>
                <w:szCs w:val="16"/>
              </w:rPr>
              <w:t>420</w:t>
            </w:r>
          </w:p>
        </w:tc>
        <w:tc>
          <w:tcPr>
            <w:tcW w:w="611" w:type="dxa"/>
            <w:tcBorders>
              <w:top w:val="nil"/>
              <w:left w:val="nil"/>
              <w:bottom w:val="single" w:sz="4" w:space="0" w:color="auto"/>
              <w:right w:val="single" w:sz="4" w:space="0" w:color="auto"/>
            </w:tcBorders>
            <w:shd w:val="clear" w:color="000000" w:fill="BEECF0"/>
            <w:noWrap/>
            <w:vAlign w:val="center"/>
            <w:hideMark/>
          </w:tcPr>
          <w:p w:rsidR="00BA05A3" w:rsidRPr="00E060E5" w:rsidRDefault="00BA05A3" w:rsidP="00DA7A22">
            <w:pPr>
              <w:spacing w:line="240" w:lineRule="auto"/>
              <w:jc w:val="center"/>
              <w:rPr>
                <w:rFonts w:asciiTheme="minorHAnsi" w:eastAsia="Times New Roman" w:hAnsiTheme="minorHAnsi" w:cstheme="minorHAnsi"/>
                <w:color w:val="000000"/>
                <w:sz w:val="16"/>
                <w:szCs w:val="16"/>
              </w:rPr>
            </w:pPr>
            <w:r w:rsidRPr="00E060E5">
              <w:rPr>
                <w:rFonts w:asciiTheme="minorHAnsi" w:eastAsia="Times New Roman" w:hAnsiTheme="minorHAnsi" w:cstheme="minorHAnsi"/>
                <w:color w:val="000000"/>
                <w:sz w:val="16"/>
                <w:szCs w:val="16"/>
              </w:rPr>
              <w:t>499</w:t>
            </w:r>
          </w:p>
        </w:tc>
      </w:tr>
      <w:tr w:rsidR="00BA05A3" w:rsidRPr="00E060E5" w:rsidTr="00BA05A3">
        <w:trPr>
          <w:trHeight w:val="301"/>
        </w:trPr>
        <w:tc>
          <w:tcPr>
            <w:tcW w:w="3520" w:type="dxa"/>
            <w:tcBorders>
              <w:top w:val="nil"/>
              <w:left w:val="single" w:sz="4" w:space="0" w:color="auto"/>
              <w:bottom w:val="single" w:sz="4" w:space="0" w:color="auto"/>
              <w:right w:val="single" w:sz="4" w:space="0" w:color="auto"/>
            </w:tcBorders>
            <w:shd w:val="clear" w:color="auto" w:fill="auto"/>
            <w:noWrap/>
            <w:vAlign w:val="center"/>
            <w:hideMark/>
          </w:tcPr>
          <w:p w:rsidR="00BA05A3" w:rsidRPr="00E060E5" w:rsidRDefault="00BA05A3" w:rsidP="00DA7A22">
            <w:pPr>
              <w:spacing w:line="240" w:lineRule="auto"/>
              <w:rPr>
                <w:rFonts w:asciiTheme="minorHAnsi" w:eastAsia="Times New Roman" w:hAnsiTheme="minorHAnsi" w:cstheme="minorHAnsi"/>
                <w:color w:val="000000"/>
                <w:sz w:val="16"/>
                <w:szCs w:val="16"/>
              </w:rPr>
            </w:pPr>
            <w:r w:rsidRPr="00E060E5">
              <w:rPr>
                <w:rFonts w:asciiTheme="minorHAnsi" w:eastAsia="Times New Roman" w:hAnsiTheme="minorHAnsi" w:cstheme="minorHAnsi"/>
                <w:color w:val="000000"/>
                <w:sz w:val="16"/>
                <w:szCs w:val="16"/>
              </w:rPr>
              <w:t>Gdańsk</w:t>
            </w:r>
          </w:p>
        </w:tc>
        <w:tc>
          <w:tcPr>
            <w:tcW w:w="734" w:type="dxa"/>
            <w:tcBorders>
              <w:top w:val="nil"/>
              <w:left w:val="nil"/>
              <w:bottom w:val="single" w:sz="4" w:space="0" w:color="auto"/>
              <w:right w:val="single" w:sz="4" w:space="0" w:color="auto"/>
            </w:tcBorders>
            <w:shd w:val="clear" w:color="auto" w:fill="auto"/>
            <w:noWrap/>
            <w:vAlign w:val="center"/>
            <w:hideMark/>
          </w:tcPr>
          <w:p w:rsidR="00BA05A3" w:rsidRPr="00E060E5" w:rsidRDefault="00BA05A3" w:rsidP="00DA7A22">
            <w:pPr>
              <w:spacing w:line="240" w:lineRule="auto"/>
              <w:rPr>
                <w:rFonts w:asciiTheme="minorHAnsi" w:eastAsia="Times New Roman" w:hAnsiTheme="minorHAnsi" w:cstheme="minorHAnsi"/>
                <w:color w:val="000000"/>
                <w:sz w:val="16"/>
                <w:szCs w:val="16"/>
              </w:rPr>
            </w:pPr>
            <w:r w:rsidRPr="00E060E5">
              <w:rPr>
                <w:rFonts w:asciiTheme="minorHAnsi" w:eastAsia="Times New Roman" w:hAnsiTheme="minorHAnsi" w:cstheme="minorHAnsi"/>
                <w:color w:val="000000"/>
                <w:sz w:val="16"/>
                <w:szCs w:val="16"/>
              </w:rPr>
              <w:t>5038,00</w:t>
            </w:r>
          </w:p>
        </w:tc>
        <w:tc>
          <w:tcPr>
            <w:tcW w:w="1369" w:type="dxa"/>
            <w:tcBorders>
              <w:top w:val="nil"/>
              <w:left w:val="nil"/>
              <w:bottom w:val="single" w:sz="4" w:space="0" w:color="auto"/>
              <w:right w:val="single" w:sz="4" w:space="0" w:color="auto"/>
            </w:tcBorders>
            <w:shd w:val="clear" w:color="auto" w:fill="auto"/>
            <w:noWrap/>
            <w:vAlign w:val="center"/>
            <w:hideMark/>
          </w:tcPr>
          <w:p w:rsidR="00BA05A3" w:rsidRPr="00E060E5" w:rsidRDefault="00BA05A3" w:rsidP="00DA7A22">
            <w:pPr>
              <w:spacing w:line="240" w:lineRule="auto"/>
              <w:jc w:val="center"/>
              <w:rPr>
                <w:rFonts w:asciiTheme="minorHAnsi" w:eastAsia="Times New Roman" w:hAnsiTheme="minorHAnsi" w:cstheme="minorHAnsi"/>
                <w:color w:val="000000"/>
                <w:sz w:val="16"/>
                <w:szCs w:val="16"/>
              </w:rPr>
            </w:pPr>
            <w:r w:rsidRPr="00E060E5">
              <w:rPr>
                <w:rFonts w:asciiTheme="minorHAnsi" w:eastAsia="Times New Roman" w:hAnsiTheme="minorHAnsi" w:cstheme="minorHAnsi"/>
                <w:color w:val="000000"/>
                <w:sz w:val="16"/>
                <w:szCs w:val="16"/>
              </w:rPr>
              <w:t>7,56</w:t>
            </w:r>
          </w:p>
        </w:tc>
        <w:tc>
          <w:tcPr>
            <w:tcW w:w="608" w:type="dxa"/>
            <w:tcBorders>
              <w:top w:val="nil"/>
              <w:left w:val="nil"/>
              <w:bottom w:val="single" w:sz="4" w:space="0" w:color="auto"/>
              <w:right w:val="single" w:sz="4" w:space="0" w:color="auto"/>
            </w:tcBorders>
            <w:shd w:val="clear" w:color="auto" w:fill="auto"/>
            <w:noWrap/>
            <w:vAlign w:val="center"/>
            <w:hideMark/>
          </w:tcPr>
          <w:p w:rsidR="00BA05A3" w:rsidRPr="00E060E5" w:rsidRDefault="00BA05A3" w:rsidP="00DA7A22">
            <w:pPr>
              <w:spacing w:line="240" w:lineRule="auto"/>
              <w:jc w:val="center"/>
              <w:rPr>
                <w:rFonts w:asciiTheme="minorHAnsi" w:eastAsia="Times New Roman" w:hAnsiTheme="minorHAnsi" w:cstheme="minorHAnsi"/>
                <w:color w:val="000000"/>
                <w:sz w:val="16"/>
                <w:szCs w:val="16"/>
              </w:rPr>
            </w:pPr>
            <w:r w:rsidRPr="00E060E5">
              <w:rPr>
                <w:rFonts w:asciiTheme="minorHAnsi" w:eastAsia="Times New Roman" w:hAnsiTheme="minorHAnsi" w:cstheme="minorHAnsi"/>
                <w:color w:val="000000"/>
                <w:sz w:val="16"/>
                <w:szCs w:val="16"/>
              </w:rPr>
              <w:t>151</w:t>
            </w:r>
          </w:p>
        </w:tc>
        <w:tc>
          <w:tcPr>
            <w:tcW w:w="608" w:type="dxa"/>
            <w:tcBorders>
              <w:top w:val="nil"/>
              <w:left w:val="nil"/>
              <w:bottom w:val="single" w:sz="4" w:space="0" w:color="auto"/>
              <w:right w:val="single" w:sz="4" w:space="0" w:color="auto"/>
            </w:tcBorders>
            <w:shd w:val="clear" w:color="auto" w:fill="auto"/>
            <w:noWrap/>
            <w:vAlign w:val="center"/>
            <w:hideMark/>
          </w:tcPr>
          <w:p w:rsidR="00BA05A3" w:rsidRPr="00E060E5" w:rsidRDefault="00BA05A3" w:rsidP="00DA7A22">
            <w:pPr>
              <w:spacing w:line="240" w:lineRule="auto"/>
              <w:jc w:val="center"/>
              <w:rPr>
                <w:rFonts w:asciiTheme="minorHAnsi" w:eastAsia="Times New Roman" w:hAnsiTheme="minorHAnsi" w:cstheme="minorHAnsi"/>
                <w:color w:val="000000"/>
                <w:sz w:val="16"/>
                <w:szCs w:val="16"/>
              </w:rPr>
            </w:pPr>
            <w:r w:rsidRPr="00E060E5">
              <w:rPr>
                <w:rFonts w:asciiTheme="minorHAnsi" w:eastAsia="Times New Roman" w:hAnsiTheme="minorHAnsi" w:cstheme="minorHAnsi"/>
                <w:color w:val="000000"/>
                <w:sz w:val="16"/>
                <w:szCs w:val="16"/>
              </w:rPr>
              <w:t>264</w:t>
            </w:r>
          </w:p>
        </w:tc>
        <w:tc>
          <w:tcPr>
            <w:tcW w:w="608" w:type="dxa"/>
            <w:tcBorders>
              <w:top w:val="nil"/>
              <w:left w:val="nil"/>
              <w:bottom w:val="single" w:sz="4" w:space="0" w:color="auto"/>
              <w:right w:val="single" w:sz="4" w:space="0" w:color="auto"/>
            </w:tcBorders>
            <w:shd w:val="clear" w:color="auto" w:fill="auto"/>
            <w:noWrap/>
            <w:vAlign w:val="center"/>
            <w:hideMark/>
          </w:tcPr>
          <w:p w:rsidR="00BA05A3" w:rsidRPr="00E060E5" w:rsidRDefault="00BA05A3" w:rsidP="00DA7A22">
            <w:pPr>
              <w:spacing w:line="240" w:lineRule="auto"/>
              <w:jc w:val="center"/>
              <w:rPr>
                <w:rFonts w:asciiTheme="minorHAnsi" w:eastAsia="Times New Roman" w:hAnsiTheme="minorHAnsi" w:cstheme="minorHAnsi"/>
                <w:color w:val="000000"/>
                <w:sz w:val="16"/>
                <w:szCs w:val="16"/>
              </w:rPr>
            </w:pPr>
            <w:r w:rsidRPr="00E060E5">
              <w:rPr>
                <w:rFonts w:asciiTheme="minorHAnsi" w:eastAsia="Times New Roman" w:hAnsiTheme="minorHAnsi" w:cstheme="minorHAnsi"/>
                <w:color w:val="000000"/>
                <w:sz w:val="16"/>
                <w:szCs w:val="16"/>
              </w:rPr>
              <w:t>378</w:t>
            </w:r>
          </w:p>
        </w:tc>
        <w:tc>
          <w:tcPr>
            <w:tcW w:w="608" w:type="dxa"/>
            <w:tcBorders>
              <w:top w:val="nil"/>
              <w:left w:val="nil"/>
              <w:bottom w:val="single" w:sz="4" w:space="0" w:color="auto"/>
              <w:right w:val="single" w:sz="4" w:space="0" w:color="auto"/>
            </w:tcBorders>
            <w:shd w:val="clear" w:color="auto" w:fill="auto"/>
            <w:noWrap/>
            <w:vAlign w:val="center"/>
            <w:hideMark/>
          </w:tcPr>
          <w:p w:rsidR="00BA05A3" w:rsidRPr="00E060E5" w:rsidRDefault="00BA05A3" w:rsidP="00DA7A22">
            <w:pPr>
              <w:spacing w:line="240" w:lineRule="auto"/>
              <w:jc w:val="center"/>
              <w:rPr>
                <w:rFonts w:asciiTheme="minorHAnsi" w:eastAsia="Times New Roman" w:hAnsiTheme="minorHAnsi" w:cstheme="minorHAnsi"/>
                <w:color w:val="000000"/>
                <w:sz w:val="16"/>
                <w:szCs w:val="16"/>
              </w:rPr>
            </w:pPr>
            <w:r w:rsidRPr="00E060E5">
              <w:rPr>
                <w:rFonts w:asciiTheme="minorHAnsi" w:eastAsia="Times New Roman" w:hAnsiTheme="minorHAnsi" w:cstheme="minorHAnsi"/>
                <w:color w:val="000000"/>
                <w:sz w:val="16"/>
                <w:szCs w:val="16"/>
              </w:rPr>
              <w:t>491</w:t>
            </w:r>
          </w:p>
        </w:tc>
        <w:tc>
          <w:tcPr>
            <w:tcW w:w="608" w:type="dxa"/>
            <w:tcBorders>
              <w:top w:val="nil"/>
              <w:left w:val="nil"/>
              <w:bottom w:val="single" w:sz="4" w:space="0" w:color="auto"/>
              <w:right w:val="single" w:sz="4" w:space="0" w:color="auto"/>
            </w:tcBorders>
            <w:shd w:val="clear" w:color="auto" w:fill="auto"/>
            <w:noWrap/>
            <w:vAlign w:val="center"/>
            <w:hideMark/>
          </w:tcPr>
          <w:p w:rsidR="00BA05A3" w:rsidRPr="00E060E5" w:rsidRDefault="00BA05A3" w:rsidP="00DA7A22">
            <w:pPr>
              <w:spacing w:line="240" w:lineRule="auto"/>
              <w:jc w:val="center"/>
              <w:rPr>
                <w:rFonts w:asciiTheme="minorHAnsi" w:eastAsia="Times New Roman" w:hAnsiTheme="minorHAnsi" w:cstheme="minorHAnsi"/>
                <w:color w:val="000000"/>
                <w:sz w:val="16"/>
                <w:szCs w:val="16"/>
              </w:rPr>
            </w:pPr>
            <w:r w:rsidRPr="00E060E5">
              <w:rPr>
                <w:rFonts w:asciiTheme="minorHAnsi" w:eastAsia="Times New Roman" w:hAnsiTheme="minorHAnsi" w:cstheme="minorHAnsi"/>
                <w:color w:val="000000"/>
                <w:sz w:val="16"/>
                <w:szCs w:val="16"/>
              </w:rPr>
              <w:t>605</w:t>
            </w:r>
          </w:p>
        </w:tc>
        <w:tc>
          <w:tcPr>
            <w:tcW w:w="611" w:type="dxa"/>
            <w:tcBorders>
              <w:top w:val="nil"/>
              <w:left w:val="nil"/>
              <w:bottom w:val="single" w:sz="4" w:space="0" w:color="auto"/>
              <w:right w:val="single" w:sz="4" w:space="0" w:color="auto"/>
            </w:tcBorders>
            <w:shd w:val="clear" w:color="auto" w:fill="auto"/>
            <w:noWrap/>
            <w:vAlign w:val="center"/>
            <w:hideMark/>
          </w:tcPr>
          <w:p w:rsidR="00BA05A3" w:rsidRPr="00E060E5" w:rsidRDefault="00BA05A3" w:rsidP="00DA7A22">
            <w:pPr>
              <w:spacing w:line="240" w:lineRule="auto"/>
              <w:jc w:val="center"/>
              <w:rPr>
                <w:rFonts w:asciiTheme="minorHAnsi" w:eastAsia="Times New Roman" w:hAnsiTheme="minorHAnsi" w:cstheme="minorHAnsi"/>
                <w:color w:val="000000"/>
                <w:sz w:val="16"/>
                <w:szCs w:val="16"/>
              </w:rPr>
            </w:pPr>
            <w:r w:rsidRPr="00E060E5">
              <w:rPr>
                <w:rFonts w:asciiTheme="minorHAnsi" w:eastAsia="Times New Roman" w:hAnsiTheme="minorHAnsi" w:cstheme="minorHAnsi"/>
                <w:color w:val="000000"/>
                <w:sz w:val="16"/>
                <w:szCs w:val="16"/>
              </w:rPr>
              <w:t>718</w:t>
            </w:r>
          </w:p>
        </w:tc>
      </w:tr>
      <w:tr w:rsidR="00BA05A3" w:rsidRPr="00E060E5" w:rsidTr="00BA05A3">
        <w:trPr>
          <w:trHeight w:val="301"/>
        </w:trPr>
        <w:tc>
          <w:tcPr>
            <w:tcW w:w="3520" w:type="dxa"/>
            <w:tcBorders>
              <w:top w:val="nil"/>
              <w:left w:val="single" w:sz="4" w:space="0" w:color="auto"/>
              <w:bottom w:val="single" w:sz="4" w:space="0" w:color="auto"/>
              <w:right w:val="single" w:sz="4" w:space="0" w:color="auto"/>
            </w:tcBorders>
            <w:shd w:val="clear" w:color="000000" w:fill="BEECF0"/>
            <w:noWrap/>
            <w:vAlign w:val="center"/>
            <w:hideMark/>
          </w:tcPr>
          <w:p w:rsidR="00BA05A3" w:rsidRPr="00E060E5" w:rsidRDefault="00BA05A3" w:rsidP="00DA7A22">
            <w:pPr>
              <w:spacing w:line="240" w:lineRule="auto"/>
              <w:rPr>
                <w:rFonts w:asciiTheme="minorHAnsi" w:eastAsia="Times New Roman" w:hAnsiTheme="minorHAnsi" w:cstheme="minorHAnsi"/>
                <w:color w:val="000000"/>
                <w:sz w:val="16"/>
                <w:szCs w:val="16"/>
              </w:rPr>
            </w:pPr>
            <w:r w:rsidRPr="00E060E5">
              <w:rPr>
                <w:rFonts w:asciiTheme="minorHAnsi" w:eastAsia="Times New Roman" w:hAnsiTheme="minorHAnsi" w:cstheme="minorHAnsi"/>
                <w:color w:val="000000"/>
                <w:sz w:val="16"/>
                <w:szCs w:val="16"/>
              </w:rPr>
              <w:t>gminy sąsiadujące</w:t>
            </w:r>
          </w:p>
        </w:tc>
        <w:tc>
          <w:tcPr>
            <w:tcW w:w="734" w:type="dxa"/>
            <w:tcBorders>
              <w:top w:val="nil"/>
              <w:left w:val="nil"/>
              <w:bottom w:val="single" w:sz="4" w:space="0" w:color="auto"/>
              <w:right w:val="single" w:sz="4" w:space="0" w:color="auto"/>
            </w:tcBorders>
            <w:shd w:val="clear" w:color="000000" w:fill="BEECF0"/>
            <w:noWrap/>
            <w:vAlign w:val="center"/>
            <w:hideMark/>
          </w:tcPr>
          <w:p w:rsidR="00BA05A3" w:rsidRPr="00E060E5" w:rsidRDefault="00BA05A3" w:rsidP="00DA7A22">
            <w:pPr>
              <w:spacing w:line="240" w:lineRule="auto"/>
              <w:rPr>
                <w:rFonts w:asciiTheme="minorHAnsi" w:eastAsia="Times New Roman" w:hAnsiTheme="minorHAnsi" w:cstheme="minorHAnsi"/>
                <w:color w:val="000000"/>
                <w:sz w:val="16"/>
                <w:szCs w:val="16"/>
              </w:rPr>
            </w:pPr>
            <w:r w:rsidRPr="00E060E5">
              <w:rPr>
                <w:rFonts w:asciiTheme="minorHAnsi" w:eastAsia="Times New Roman" w:hAnsiTheme="minorHAnsi" w:cstheme="minorHAnsi"/>
                <w:color w:val="000000"/>
                <w:sz w:val="16"/>
                <w:szCs w:val="16"/>
              </w:rPr>
              <w:t>4747,75</w:t>
            </w:r>
          </w:p>
        </w:tc>
        <w:tc>
          <w:tcPr>
            <w:tcW w:w="1369" w:type="dxa"/>
            <w:tcBorders>
              <w:top w:val="nil"/>
              <w:left w:val="nil"/>
              <w:bottom w:val="single" w:sz="4" w:space="0" w:color="auto"/>
              <w:right w:val="single" w:sz="4" w:space="0" w:color="auto"/>
            </w:tcBorders>
            <w:shd w:val="clear" w:color="000000" w:fill="BEECF0"/>
            <w:noWrap/>
            <w:vAlign w:val="center"/>
            <w:hideMark/>
          </w:tcPr>
          <w:p w:rsidR="00BA05A3" w:rsidRPr="00E060E5" w:rsidRDefault="00BA05A3" w:rsidP="00DA7A22">
            <w:pPr>
              <w:spacing w:line="240" w:lineRule="auto"/>
              <w:jc w:val="center"/>
              <w:rPr>
                <w:rFonts w:asciiTheme="minorHAnsi" w:eastAsia="Times New Roman" w:hAnsiTheme="minorHAnsi" w:cstheme="minorHAnsi"/>
                <w:color w:val="000000"/>
                <w:sz w:val="16"/>
                <w:szCs w:val="16"/>
              </w:rPr>
            </w:pPr>
            <w:r w:rsidRPr="00E060E5">
              <w:rPr>
                <w:rFonts w:asciiTheme="minorHAnsi" w:eastAsia="Times New Roman" w:hAnsiTheme="minorHAnsi" w:cstheme="minorHAnsi"/>
                <w:color w:val="000000"/>
                <w:sz w:val="16"/>
                <w:szCs w:val="16"/>
              </w:rPr>
              <w:t>7,12</w:t>
            </w:r>
          </w:p>
        </w:tc>
        <w:tc>
          <w:tcPr>
            <w:tcW w:w="608" w:type="dxa"/>
            <w:tcBorders>
              <w:top w:val="nil"/>
              <w:left w:val="nil"/>
              <w:bottom w:val="single" w:sz="4" w:space="0" w:color="auto"/>
              <w:right w:val="single" w:sz="4" w:space="0" w:color="auto"/>
            </w:tcBorders>
            <w:shd w:val="clear" w:color="000000" w:fill="BEECF0"/>
            <w:noWrap/>
            <w:vAlign w:val="center"/>
            <w:hideMark/>
          </w:tcPr>
          <w:p w:rsidR="00BA05A3" w:rsidRPr="00E060E5" w:rsidRDefault="00BA05A3" w:rsidP="00DA7A22">
            <w:pPr>
              <w:spacing w:line="240" w:lineRule="auto"/>
              <w:jc w:val="center"/>
              <w:rPr>
                <w:rFonts w:asciiTheme="minorHAnsi" w:eastAsia="Times New Roman" w:hAnsiTheme="minorHAnsi" w:cstheme="minorHAnsi"/>
                <w:color w:val="000000"/>
                <w:sz w:val="16"/>
                <w:szCs w:val="16"/>
              </w:rPr>
            </w:pPr>
            <w:r w:rsidRPr="00E060E5">
              <w:rPr>
                <w:rFonts w:asciiTheme="minorHAnsi" w:eastAsia="Times New Roman" w:hAnsiTheme="minorHAnsi" w:cstheme="minorHAnsi"/>
                <w:color w:val="000000"/>
                <w:sz w:val="16"/>
                <w:szCs w:val="16"/>
              </w:rPr>
              <w:t>142</w:t>
            </w:r>
          </w:p>
        </w:tc>
        <w:tc>
          <w:tcPr>
            <w:tcW w:w="608" w:type="dxa"/>
            <w:tcBorders>
              <w:top w:val="nil"/>
              <w:left w:val="nil"/>
              <w:bottom w:val="single" w:sz="4" w:space="0" w:color="auto"/>
              <w:right w:val="single" w:sz="4" w:space="0" w:color="auto"/>
            </w:tcBorders>
            <w:shd w:val="clear" w:color="000000" w:fill="BEECF0"/>
            <w:noWrap/>
            <w:vAlign w:val="center"/>
            <w:hideMark/>
          </w:tcPr>
          <w:p w:rsidR="00BA05A3" w:rsidRPr="00E060E5" w:rsidRDefault="00BA05A3" w:rsidP="00DA7A22">
            <w:pPr>
              <w:spacing w:line="240" w:lineRule="auto"/>
              <w:jc w:val="center"/>
              <w:rPr>
                <w:rFonts w:asciiTheme="minorHAnsi" w:eastAsia="Times New Roman" w:hAnsiTheme="minorHAnsi" w:cstheme="minorHAnsi"/>
                <w:color w:val="000000"/>
                <w:sz w:val="16"/>
                <w:szCs w:val="16"/>
              </w:rPr>
            </w:pPr>
            <w:r w:rsidRPr="00E060E5">
              <w:rPr>
                <w:rFonts w:asciiTheme="minorHAnsi" w:eastAsia="Times New Roman" w:hAnsiTheme="minorHAnsi" w:cstheme="minorHAnsi"/>
                <w:color w:val="000000"/>
                <w:sz w:val="16"/>
                <w:szCs w:val="16"/>
              </w:rPr>
              <w:t>249</w:t>
            </w:r>
          </w:p>
        </w:tc>
        <w:tc>
          <w:tcPr>
            <w:tcW w:w="608" w:type="dxa"/>
            <w:tcBorders>
              <w:top w:val="nil"/>
              <w:left w:val="nil"/>
              <w:bottom w:val="single" w:sz="4" w:space="0" w:color="auto"/>
              <w:right w:val="single" w:sz="4" w:space="0" w:color="auto"/>
            </w:tcBorders>
            <w:shd w:val="clear" w:color="000000" w:fill="BEECF0"/>
            <w:noWrap/>
            <w:vAlign w:val="center"/>
            <w:hideMark/>
          </w:tcPr>
          <w:p w:rsidR="00BA05A3" w:rsidRPr="00E060E5" w:rsidRDefault="00BA05A3" w:rsidP="00DA7A22">
            <w:pPr>
              <w:spacing w:line="240" w:lineRule="auto"/>
              <w:jc w:val="center"/>
              <w:rPr>
                <w:rFonts w:asciiTheme="minorHAnsi" w:eastAsia="Times New Roman" w:hAnsiTheme="minorHAnsi" w:cstheme="minorHAnsi"/>
                <w:color w:val="000000"/>
                <w:sz w:val="16"/>
                <w:szCs w:val="16"/>
              </w:rPr>
            </w:pPr>
            <w:r w:rsidRPr="00E060E5">
              <w:rPr>
                <w:rFonts w:asciiTheme="minorHAnsi" w:eastAsia="Times New Roman" w:hAnsiTheme="minorHAnsi" w:cstheme="minorHAnsi"/>
                <w:color w:val="000000"/>
                <w:sz w:val="16"/>
                <w:szCs w:val="16"/>
              </w:rPr>
              <w:t>356</w:t>
            </w:r>
          </w:p>
        </w:tc>
        <w:tc>
          <w:tcPr>
            <w:tcW w:w="608" w:type="dxa"/>
            <w:tcBorders>
              <w:top w:val="nil"/>
              <w:left w:val="nil"/>
              <w:bottom w:val="single" w:sz="4" w:space="0" w:color="auto"/>
              <w:right w:val="single" w:sz="4" w:space="0" w:color="auto"/>
            </w:tcBorders>
            <w:shd w:val="clear" w:color="000000" w:fill="BEECF0"/>
            <w:noWrap/>
            <w:vAlign w:val="center"/>
            <w:hideMark/>
          </w:tcPr>
          <w:p w:rsidR="00BA05A3" w:rsidRPr="00E060E5" w:rsidRDefault="00BA05A3" w:rsidP="00DA7A22">
            <w:pPr>
              <w:spacing w:line="240" w:lineRule="auto"/>
              <w:jc w:val="center"/>
              <w:rPr>
                <w:rFonts w:asciiTheme="minorHAnsi" w:eastAsia="Times New Roman" w:hAnsiTheme="minorHAnsi" w:cstheme="minorHAnsi"/>
                <w:color w:val="000000"/>
                <w:sz w:val="16"/>
                <w:szCs w:val="16"/>
              </w:rPr>
            </w:pPr>
            <w:r w:rsidRPr="00E060E5">
              <w:rPr>
                <w:rFonts w:asciiTheme="minorHAnsi" w:eastAsia="Times New Roman" w:hAnsiTheme="minorHAnsi" w:cstheme="minorHAnsi"/>
                <w:color w:val="000000"/>
                <w:sz w:val="16"/>
                <w:szCs w:val="16"/>
              </w:rPr>
              <w:t>463</w:t>
            </w:r>
          </w:p>
        </w:tc>
        <w:tc>
          <w:tcPr>
            <w:tcW w:w="608" w:type="dxa"/>
            <w:tcBorders>
              <w:top w:val="nil"/>
              <w:left w:val="nil"/>
              <w:bottom w:val="single" w:sz="4" w:space="0" w:color="auto"/>
              <w:right w:val="single" w:sz="4" w:space="0" w:color="auto"/>
            </w:tcBorders>
            <w:shd w:val="clear" w:color="000000" w:fill="BEECF0"/>
            <w:noWrap/>
            <w:vAlign w:val="center"/>
            <w:hideMark/>
          </w:tcPr>
          <w:p w:rsidR="00BA05A3" w:rsidRPr="00E060E5" w:rsidRDefault="00BA05A3" w:rsidP="00DA7A22">
            <w:pPr>
              <w:spacing w:line="240" w:lineRule="auto"/>
              <w:jc w:val="center"/>
              <w:rPr>
                <w:rFonts w:asciiTheme="minorHAnsi" w:eastAsia="Times New Roman" w:hAnsiTheme="minorHAnsi" w:cstheme="minorHAnsi"/>
                <w:color w:val="000000"/>
                <w:sz w:val="16"/>
                <w:szCs w:val="16"/>
              </w:rPr>
            </w:pPr>
            <w:r w:rsidRPr="00E060E5">
              <w:rPr>
                <w:rFonts w:asciiTheme="minorHAnsi" w:eastAsia="Times New Roman" w:hAnsiTheme="minorHAnsi" w:cstheme="minorHAnsi"/>
                <w:color w:val="000000"/>
                <w:sz w:val="16"/>
                <w:szCs w:val="16"/>
              </w:rPr>
              <w:t>570</w:t>
            </w:r>
          </w:p>
        </w:tc>
        <w:tc>
          <w:tcPr>
            <w:tcW w:w="611" w:type="dxa"/>
            <w:tcBorders>
              <w:top w:val="nil"/>
              <w:left w:val="nil"/>
              <w:bottom w:val="single" w:sz="4" w:space="0" w:color="auto"/>
              <w:right w:val="single" w:sz="4" w:space="0" w:color="auto"/>
            </w:tcBorders>
            <w:shd w:val="clear" w:color="000000" w:fill="BEECF0"/>
            <w:noWrap/>
            <w:vAlign w:val="center"/>
            <w:hideMark/>
          </w:tcPr>
          <w:p w:rsidR="00BA05A3" w:rsidRPr="00E060E5" w:rsidRDefault="00BA05A3" w:rsidP="00DA7A22">
            <w:pPr>
              <w:spacing w:line="240" w:lineRule="auto"/>
              <w:jc w:val="center"/>
              <w:rPr>
                <w:rFonts w:asciiTheme="minorHAnsi" w:eastAsia="Times New Roman" w:hAnsiTheme="minorHAnsi" w:cstheme="minorHAnsi"/>
                <w:color w:val="000000"/>
                <w:sz w:val="16"/>
                <w:szCs w:val="16"/>
              </w:rPr>
            </w:pPr>
            <w:r w:rsidRPr="00E060E5">
              <w:rPr>
                <w:rFonts w:asciiTheme="minorHAnsi" w:eastAsia="Times New Roman" w:hAnsiTheme="minorHAnsi" w:cstheme="minorHAnsi"/>
                <w:color w:val="000000"/>
                <w:sz w:val="16"/>
                <w:szCs w:val="16"/>
              </w:rPr>
              <w:t>677</w:t>
            </w:r>
          </w:p>
        </w:tc>
      </w:tr>
      <w:tr w:rsidR="00BA05A3" w:rsidRPr="00E060E5" w:rsidTr="00BA05A3">
        <w:trPr>
          <w:trHeight w:val="301"/>
        </w:trPr>
        <w:tc>
          <w:tcPr>
            <w:tcW w:w="3520" w:type="dxa"/>
            <w:tcBorders>
              <w:top w:val="nil"/>
              <w:left w:val="single" w:sz="4" w:space="0" w:color="auto"/>
              <w:bottom w:val="single" w:sz="4" w:space="0" w:color="auto"/>
              <w:right w:val="single" w:sz="4" w:space="0" w:color="auto"/>
            </w:tcBorders>
            <w:shd w:val="clear" w:color="auto" w:fill="auto"/>
            <w:noWrap/>
            <w:vAlign w:val="center"/>
            <w:hideMark/>
          </w:tcPr>
          <w:p w:rsidR="00BA05A3" w:rsidRPr="00E060E5" w:rsidRDefault="00BA05A3" w:rsidP="00DA7A22">
            <w:pPr>
              <w:spacing w:line="240" w:lineRule="auto"/>
              <w:rPr>
                <w:rFonts w:asciiTheme="minorHAnsi" w:eastAsia="Times New Roman" w:hAnsiTheme="minorHAnsi" w:cstheme="minorHAnsi"/>
                <w:color w:val="000000"/>
                <w:sz w:val="16"/>
                <w:szCs w:val="16"/>
              </w:rPr>
            </w:pPr>
            <w:r w:rsidRPr="00E060E5">
              <w:rPr>
                <w:rFonts w:asciiTheme="minorHAnsi" w:eastAsia="Times New Roman" w:hAnsiTheme="minorHAnsi" w:cstheme="minorHAnsi"/>
                <w:color w:val="000000"/>
                <w:sz w:val="16"/>
                <w:szCs w:val="16"/>
              </w:rPr>
              <w:t>województwo pomorskie</w:t>
            </w:r>
          </w:p>
        </w:tc>
        <w:tc>
          <w:tcPr>
            <w:tcW w:w="734" w:type="dxa"/>
            <w:tcBorders>
              <w:top w:val="nil"/>
              <w:left w:val="nil"/>
              <w:bottom w:val="single" w:sz="4" w:space="0" w:color="auto"/>
              <w:right w:val="single" w:sz="4" w:space="0" w:color="auto"/>
            </w:tcBorders>
            <w:shd w:val="clear" w:color="auto" w:fill="auto"/>
            <w:noWrap/>
            <w:vAlign w:val="center"/>
            <w:hideMark/>
          </w:tcPr>
          <w:p w:rsidR="00BA05A3" w:rsidRPr="00E060E5" w:rsidRDefault="00BA05A3" w:rsidP="00DA7A22">
            <w:pPr>
              <w:spacing w:line="240" w:lineRule="auto"/>
              <w:rPr>
                <w:rFonts w:asciiTheme="minorHAnsi" w:eastAsia="Times New Roman" w:hAnsiTheme="minorHAnsi" w:cstheme="minorHAnsi"/>
                <w:color w:val="000000"/>
                <w:sz w:val="16"/>
                <w:szCs w:val="16"/>
              </w:rPr>
            </w:pPr>
            <w:r w:rsidRPr="00E060E5">
              <w:rPr>
                <w:rFonts w:asciiTheme="minorHAnsi" w:eastAsia="Times New Roman" w:hAnsiTheme="minorHAnsi" w:cstheme="minorHAnsi"/>
                <w:color w:val="000000"/>
                <w:sz w:val="16"/>
                <w:szCs w:val="16"/>
              </w:rPr>
              <w:t>4457,50</w:t>
            </w:r>
          </w:p>
        </w:tc>
        <w:tc>
          <w:tcPr>
            <w:tcW w:w="1369" w:type="dxa"/>
            <w:tcBorders>
              <w:top w:val="nil"/>
              <w:left w:val="nil"/>
              <w:bottom w:val="single" w:sz="4" w:space="0" w:color="auto"/>
              <w:right w:val="single" w:sz="4" w:space="0" w:color="auto"/>
            </w:tcBorders>
            <w:shd w:val="clear" w:color="auto" w:fill="auto"/>
            <w:noWrap/>
            <w:vAlign w:val="center"/>
            <w:hideMark/>
          </w:tcPr>
          <w:p w:rsidR="00BA05A3" w:rsidRPr="00E060E5" w:rsidRDefault="00BA05A3" w:rsidP="00DA7A22">
            <w:pPr>
              <w:spacing w:line="240" w:lineRule="auto"/>
              <w:jc w:val="center"/>
              <w:rPr>
                <w:rFonts w:asciiTheme="minorHAnsi" w:eastAsia="Times New Roman" w:hAnsiTheme="minorHAnsi" w:cstheme="minorHAnsi"/>
                <w:color w:val="000000"/>
                <w:sz w:val="16"/>
                <w:szCs w:val="16"/>
              </w:rPr>
            </w:pPr>
            <w:r w:rsidRPr="00E060E5">
              <w:rPr>
                <w:rFonts w:asciiTheme="minorHAnsi" w:eastAsia="Times New Roman" w:hAnsiTheme="minorHAnsi" w:cstheme="minorHAnsi"/>
                <w:color w:val="000000"/>
                <w:sz w:val="16"/>
                <w:szCs w:val="16"/>
              </w:rPr>
              <w:t>6,69</w:t>
            </w:r>
          </w:p>
        </w:tc>
        <w:tc>
          <w:tcPr>
            <w:tcW w:w="608" w:type="dxa"/>
            <w:tcBorders>
              <w:top w:val="nil"/>
              <w:left w:val="nil"/>
              <w:bottom w:val="single" w:sz="4" w:space="0" w:color="auto"/>
              <w:right w:val="single" w:sz="4" w:space="0" w:color="auto"/>
            </w:tcBorders>
            <w:shd w:val="clear" w:color="auto" w:fill="auto"/>
            <w:noWrap/>
            <w:vAlign w:val="center"/>
            <w:hideMark/>
          </w:tcPr>
          <w:p w:rsidR="00BA05A3" w:rsidRPr="00E060E5" w:rsidRDefault="00BA05A3" w:rsidP="00DA7A22">
            <w:pPr>
              <w:spacing w:line="240" w:lineRule="auto"/>
              <w:jc w:val="center"/>
              <w:rPr>
                <w:rFonts w:asciiTheme="minorHAnsi" w:eastAsia="Times New Roman" w:hAnsiTheme="minorHAnsi" w:cstheme="minorHAnsi"/>
                <w:color w:val="000000"/>
                <w:sz w:val="16"/>
                <w:szCs w:val="16"/>
              </w:rPr>
            </w:pPr>
            <w:r w:rsidRPr="00E060E5">
              <w:rPr>
                <w:rFonts w:asciiTheme="minorHAnsi" w:eastAsia="Times New Roman" w:hAnsiTheme="minorHAnsi" w:cstheme="minorHAnsi"/>
                <w:color w:val="000000"/>
                <w:sz w:val="16"/>
                <w:szCs w:val="16"/>
              </w:rPr>
              <w:t>134</w:t>
            </w:r>
          </w:p>
        </w:tc>
        <w:tc>
          <w:tcPr>
            <w:tcW w:w="608" w:type="dxa"/>
            <w:tcBorders>
              <w:top w:val="nil"/>
              <w:left w:val="nil"/>
              <w:bottom w:val="single" w:sz="4" w:space="0" w:color="auto"/>
              <w:right w:val="single" w:sz="4" w:space="0" w:color="auto"/>
            </w:tcBorders>
            <w:shd w:val="clear" w:color="auto" w:fill="auto"/>
            <w:noWrap/>
            <w:vAlign w:val="center"/>
            <w:hideMark/>
          </w:tcPr>
          <w:p w:rsidR="00BA05A3" w:rsidRPr="00E060E5" w:rsidRDefault="00BA05A3" w:rsidP="00DA7A22">
            <w:pPr>
              <w:spacing w:line="240" w:lineRule="auto"/>
              <w:jc w:val="center"/>
              <w:rPr>
                <w:rFonts w:asciiTheme="minorHAnsi" w:eastAsia="Times New Roman" w:hAnsiTheme="minorHAnsi" w:cstheme="minorHAnsi"/>
                <w:color w:val="000000"/>
                <w:sz w:val="16"/>
                <w:szCs w:val="16"/>
              </w:rPr>
            </w:pPr>
            <w:r w:rsidRPr="00E060E5">
              <w:rPr>
                <w:rFonts w:asciiTheme="minorHAnsi" w:eastAsia="Times New Roman" w:hAnsiTheme="minorHAnsi" w:cstheme="minorHAnsi"/>
                <w:color w:val="000000"/>
                <w:sz w:val="16"/>
                <w:szCs w:val="16"/>
              </w:rPr>
              <w:t>234</w:t>
            </w:r>
          </w:p>
        </w:tc>
        <w:tc>
          <w:tcPr>
            <w:tcW w:w="608" w:type="dxa"/>
            <w:tcBorders>
              <w:top w:val="nil"/>
              <w:left w:val="nil"/>
              <w:bottom w:val="single" w:sz="4" w:space="0" w:color="auto"/>
              <w:right w:val="single" w:sz="4" w:space="0" w:color="auto"/>
            </w:tcBorders>
            <w:shd w:val="clear" w:color="auto" w:fill="auto"/>
            <w:noWrap/>
            <w:vAlign w:val="center"/>
            <w:hideMark/>
          </w:tcPr>
          <w:p w:rsidR="00BA05A3" w:rsidRPr="00E060E5" w:rsidRDefault="00BA05A3" w:rsidP="00DA7A22">
            <w:pPr>
              <w:spacing w:line="240" w:lineRule="auto"/>
              <w:jc w:val="center"/>
              <w:rPr>
                <w:rFonts w:asciiTheme="minorHAnsi" w:eastAsia="Times New Roman" w:hAnsiTheme="minorHAnsi" w:cstheme="minorHAnsi"/>
                <w:color w:val="000000"/>
                <w:sz w:val="16"/>
                <w:szCs w:val="16"/>
              </w:rPr>
            </w:pPr>
            <w:r w:rsidRPr="00E060E5">
              <w:rPr>
                <w:rFonts w:asciiTheme="minorHAnsi" w:eastAsia="Times New Roman" w:hAnsiTheme="minorHAnsi" w:cstheme="minorHAnsi"/>
                <w:color w:val="000000"/>
                <w:sz w:val="16"/>
                <w:szCs w:val="16"/>
              </w:rPr>
              <w:t>334</w:t>
            </w:r>
          </w:p>
        </w:tc>
        <w:tc>
          <w:tcPr>
            <w:tcW w:w="608" w:type="dxa"/>
            <w:tcBorders>
              <w:top w:val="nil"/>
              <w:left w:val="nil"/>
              <w:bottom w:val="single" w:sz="4" w:space="0" w:color="auto"/>
              <w:right w:val="single" w:sz="4" w:space="0" w:color="auto"/>
            </w:tcBorders>
            <w:shd w:val="clear" w:color="auto" w:fill="auto"/>
            <w:noWrap/>
            <w:vAlign w:val="center"/>
            <w:hideMark/>
          </w:tcPr>
          <w:p w:rsidR="00BA05A3" w:rsidRPr="00E060E5" w:rsidRDefault="00BA05A3" w:rsidP="00DA7A22">
            <w:pPr>
              <w:spacing w:line="240" w:lineRule="auto"/>
              <w:jc w:val="center"/>
              <w:rPr>
                <w:rFonts w:asciiTheme="minorHAnsi" w:eastAsia="Times New Roman" w:hAnsiTheme="minorHAnsi" w:cstheme="minorHAnsi"/>
                <w:color w:val="000000"/>
                <w:sz w:val="16"/>
                <w:szCs w:val="16"/>
              </w:rPr>
            </w:pPr>
            <w:r w:rsidRPr="00E060E5">
              <w:rPr>
                <w:rFonts w:asciiTheme="minorHAnsi" w:eastAsia="Times New Roman" w:hAnsiTheme="minorHAnsi" w:cstheme="minorHAnsi"/>
                <w:color w:val="000000"/>
                <w:sz w:val="16"/>
                <w:szCs w:val="16"/>
              </w:rPr>
              <w:t>435</w:t>
            </w:r>
          </w:p>
        </w:tc>
        <w:tc>
          <w:tcPr>
            <w:tcW w:w="608" w:type="dxa"/>
            <w:tcBorders>
              <w:top w:val="nil"/>
              <w:left w:val="nil"/>
              <w:bottom w:val="single" w:sz="4" w:space="0" w:color="auto"/>
              <w:right w:val="single" w:sz="4" w:space="0" w:color="auto"/>
            </w:tcBorders>
            <w:shd w:val="clear" w:color="auto" w:fill="auto"/>
            <w:noWrap/>
            <w:vAlign w:val="center"/>
            <w:hideMark/>
          </w:tcPr>
          <w:p w:rsidR="00BA05A3" w:rsidRPr="00E060E5" w:rsidRDefault="00BA05A3" w:rsidP="00DA7A22">
            <w:pPr>
              <w:spacing w:line="240" w:lineRule="auto"/>
              <w:jc w:val="center"/>
              <w:rPr>
                <w:rFonts w:asciiTheme="minorHAnsi" w:eastAsia="Times New Roman" w:hAnsiTheme="minorHAnsi" w:cstheme="minorHAnsi"/>
                <w:color w:val="000000"/>
                <w:sz w:val="16"/>
                <w:szCs w:val="16"/>
              </w:rPr>
            </w:pPr>
            <w:r w:rsidRPr="00E060E5">
              <w:rPr>
                <w:rFonts w:asciiTheme="minorHAnsi" w:eastAsia="Times New Roman" w:hAnsiTheme="minorHAnsi" w:cstheme="minorHAnsi"/>
                <w:color w:val="000000"/>
                <w:sz w:val="16"/>
                <w:szCs w:val="16"/>
              </w:rPr>
              <w:t>535</w:t>
            </w:r>
          </w:p>
        </w:tc>
        <w:tc>
          <w:tcPr>
            <w:tcW w:w="611" w:type="dxa"/>
            <w:tcBorders>
              <w:top w:val="nil"/>
              <w:left w:val="nil"/>
              <w:bottom w:val="single" w:sz="4" w:space="0" w:color="auto"/>
              <w:right w:val="single" w:sz="4" w:space="0" w:color="auto"/>
            </w:tcBorders>
            <w:shd w:val="clear" w:color="auto" w:fill="auto"/>
            <w:noWrap/>
            <w:vAlign w:val="center"/>
            <w:hideMark/>
          </w:tcPr>
          <w:p w:rsidR="00BA05A3" w:rsidRPr="00E060E5" w:rsidRDefault="00BA05A3" w:rsidP="00DA7A22">
            <w:pPr>
              <w:spacing w:line="240" w:lineRule="auto"/>
              <w:jc w:val="center"/>
              <w:rPr>
                <w:rFonts w:asciiTheme="minorHAnsi" w:eastAsia="Times New Roman" w:hAnsiTheme="minorHAnsi" w:cstheme="minorHAnsi"/>
                <w:color w:val="000000"/>
                <w:sz w:val="16"/>
                <w:szCs w:val="16"/>
              </w:rPr>
            </w:pPr>
            <w:r w:rsidRPr="00E060E5">
              <w:rPr>
                <w:rFonts w:asciiTheme="minorHAnsi" w:eastAsia="Times New Roman" w:hAnsiTheme="minorHAnsi" w:cstheme="minorHAnsi"/>
                <w:color w:val="000000"/>
                <w:sz w:val="16"/>
                <w:szCs w:val="16"/>
              </w:rPr>
              <w:t>635</w:t>
            </w:r>
          </w:p>
        </w:tc>
      </w:tr>
      <w:tr w:rsidR="00BA05A3" w:rsidRPr="00E060E5" w:rsidTr="00BA05A3">
        <w:trPr>
          <w:trHeight w:val="301"/>
        </w:trPr>
        <w:tc>
          <w:tcPr>
            <w:tcW w:w="3520" w:type="dxa"/>
            <w:tcBorders>
              <w:top w:val="nil"/>
              <w:left w:val="single" w:sz="4" w:space="0" w:color="auto"/>
              <w:bottom w:val="single" w:sz="4" w:space="0" w:color="auto"/>
              <w:right w:val="single" w:sz="4" w:space="0" w:color="auto"/>
            </w:tcBorders>
            <w:shd w:val="clear" w:color="000000" w:fill="BEECF0"/>
            <w:noWrap/>
            <w:vAlign w:val="center"/>
            <w:hideMark/>
          </w:tcPr>
          <w:p w:rsidR="00BA05A3" w:rsidRPr="00E060E5" w:rsidRDefault="00BA05A3" w:rsidP="00DA7A22">
            <w:pPr>
              <w:spacing w:line="240" w:lineRule="auto"/>
              <w:rPr>
                <w:rFonts w:asciiTheme="minorHAnsi" w:eastAsia="Times New Roman" w:hAnsiTheme="minorHAnsi" w:cstheme="minorHAnsi"/>
                <w:color w:val="000000"/>
                <w:sz w:val="16"/>
                <w:szCs w:val="16"/>
              </w:rPr>
            </w:pPr>
            <w:r w:rsidRPr="00E060E5">
              <w:rPr>
                <w:rFonts w:asciiTheme="minorHAnsi" w:eastAsia="Times New Roman" w:hAnsiTheme="minorHAnsi" w:cstheme="minorHAnsi"/>
                <w:color w:val="000000"/>
                <w:sz w:val="16"/>
                <w:szCs w:val="16"/>
              </w:rPr>
              <w:t>Katowice</w:t>
            </w:r>
          </w:p>
        </w:tc>
        <w:tc>
          <w:tcPr>
            <w:tcW w:w="734" w:type="dxa"/>
            <w:tcBorders>
              <w:top w:val="nil"/>
              <w:left w:val="nil"/>
              <w:bottom w:val="single" w:sz="4" w:space="0" w:color="auto"/>
              <w:right w:val="single" w:sz="4" w:space="0" w:color="auto"/>
            </w:tcBorders>
            <w:shd w:val="clear" w:color="000000" w:fill="BEECF0"/>
            <w:noWrap/>
            <w:vAlign w:val="center"/>
            <w:hideMark/>
          </w:tcPr>
          <w:p w:rsidR="00BA05A3" w:rsidRPr="00E060E5" w:rsidRDefault="00BA05A3" w:rsidP="00DA7A22">
            <w:pPr>
              <w:spacing w:line="240" w:lineRule="auto"/>
              <w:rPr>
                <w:rFonts w:asciiTheme="minorHAnsi" w:eastAsia="Times New Roman" w:hAnsiTheme="minorHAnsi" w:cstheme="minorHAnsi"/>
                <w:color w:val="000000"/>
                <w:sz w:val="16"/>
                <w:szCs w:val="16"/>
              </w:rPr>
            </w:pPr>
            <w:r w:rsidRPr="00E060E5">
              <w:rPr>
                <w:rFonts w:asciiTheme="minorHAnsi" w:eastAsia="Times New Roman" w:hAnsiTheme="minorHAnsi" w:cstheme="minorHAnsi"/>
                <w:color w:val="000000"/>
                <w:sz w:val="16"/>
                <w:szCs w:val="16"/>
              </w:rPr>
              <w:t>4339,50</w:t>
            </w:r>
          </w:p>
        </w:tc>
        <w:tc>
          <w:tcPr>
            <w:tcW w:w="1369" w:type="dxa"/>
            <w:tcBorders>
              <w:top w:val="nil"/>
              <w:left w:val="nil"/>
              <w:bottom w:val="single" w:sz="4" w:space="0" w:color="auto"/>
              <w:right w:val="single" w:sz="4" w:space="0" w:color="auto"/>
            </w:tcBorders>
            <w:shd w:val="clear" w:color="000000" w:fill="BEECF0"/>
            <w:noWrap/>
            <w:vAlign w:val="center"/>
            <w:hideMark/>
          </w:tcPr>
          <w:p w:rsidR="00BA05A3" w:rsidRPr="00E060E5" w:rsidRDefault="00BA05A3" w:rsidP="00DA7A22">
            <w:pPr>
              <w:spacing w:line="240" w:lineRule="auto"/>
              <w:jc w:val="center"/>
              <w:rPr>
                <w:rFonts w:asciiTheme="minorHAnsi" w:eastAsia="Times New Roman" w:hAnsiTheme="minorHAnsi" w:cstheme="minorHAnsi"/>
                <w:color w:val="000000"/>
                <w:sz w:val="16"/>
                <w:szCs w:val="16"/>
              </w:rPr>
            </w:pPr>
            <w:r w:rsidRPr="00E060E5">
              <w:rPr>
                <w:rFonts w:asciiTheme="minorHAnsi" w:eastAsia="Times New Roman" w:hAnsiTheme="minorHAnsi" w:cstheme="minorHAnsi"/>
                <w:color w:val="000000"/>
                <w:sz w:val="16"/>
                <w:szCs w:val="16"/>
              </w:rPr>
              <w:t>6,51</w:t>
            </w:r>
          </w:p>
        </w:tc>
        <w:tc>
          <w:tcPr>
            <w:tcW w:w="608" w:type="dxa"/>
            <w:tcBorders>
              <w:top w:val="nil"/>
              <w:left w:val="nil"/>
              <w:bottom w:val="single" w:sz="4" w:space="0" w:color="auto"/>
              <w:right w:val="single" w:sz="4" w:space="0" w:color="auto"/>
            </w:tcBorders>
            <w:shd w:val="clear" w:color="000000" w:fill="BEECF0"/>
            <w:noWrap/>
            <w:vAlign w:val="center"/>
            <w:hideMark/>
          </w:tcPr>
          <w:p w:rsidR="00BA05A3" w:rsidRPr="00E060E5" w:rsidRDefault="00BA05A3" w:rsidP="00DA7A22">
            <w:pPr>
              <w:spacing w:line="240" w:lineRule="auto"/>
              <w:jc w:val="center"/>
              <w:rPr>
                <w:rFonts w:asciiTheme="minorHAnsi" w:eastAsia="Times New Roman" w:hAnsiTheme="minorHAnsi" w:cstheme="minorHAnsi"/>
                <w:color w:val="000000"/>
                <w:sz w:val="16"/>
                <w:szCs w:val="16"/>
              </w:rPr>
            </w:pPr>
            <w:r w:rsidRPr="00E060E5">
              <w:rPr>
                <w:rFonts w:asciiTheme="minorHAnsi" w:eastAsia="Times New Roman" w:hAnsiTheme="minorHAnsi" w:cstheme="minorHAnsi"/>
                <w:color w:val="000000"/>
                <w:sz w:val="16"/>
                <w:szCs w:val="16"/>
              </w:rPr>
              <w:t>130</w:t>
            </w:r>
          </w:p>
        </w:tc>
        <w:tc>
          <w:tcPr>
            <w:tcW w:w="608" w:type="dxa"/>
            <w:tcBorders>
              <w:top w:val="nil"/>
              <w:left w:val="nil"/>
              <w:bottom w:val="single" w:sz="4" w:space="0" w:color="auto"/>
              <w:right w:val="single" w:sz="4" w:space="0" w:color="auto"/>
            </w:tcBorders>
            <w:shd w:val="clear" w:color="000000" w:fill="BEECF0"/>
            <w:noWrap/>
            <w:vAlign w:val="center"/>
            <w:hideMark/>
          </w:tcPr>
          <w:p w:rsidR="00BA05A3" w:rsidRPr="00E060E5" w:rsidRDefault="00BA05A3" w:rsidP="00DA7A22">
            <w:pPr>
              <w:spacing w:line="240" w:lineRule="auto"/>
              <w:jc w:val="center"/>
              <w:rPr>
                <w:rFonts w:asciiTheme="minorHAnsi" w:eastAsia="Times New Roman" w:hAnsiTheme="minorHAnsi" w:cstheme="minorHAnsi"/>
                <w:color w:val="000000"/>
                <w:sz w:val="16"/>
                <w:szCs w:val="16"/>
              </w:rPr>
            </w:pPr>
            <w:r w:rsidRPr="00E060E5">
              <w:rPr>
                <w:rFonts w:asciiTheme="minorHAnsi" w:eastAsia="Times New Roman" w:hAnsiTheme="minorHAnsi" w:cstheme="minorHAnsi"/>
                <w:color w:val="000000"/>
                <w:sz w:val="16"/>
                <w:szCs w:val="16"/>
              </w:rPr>
              <w:t>228</w:t>
            </w:r>
          </w:p>
        </w:tc>
        <w:tc>
          <w:tcPr>
            <w:tcW w:w="608" w:type="dxa"/>
            <w:tcBorders>
              <w:top w:val="nil"/>
              <w:left w:val="nil"/>
              <w:bottom w:val="single" w:sz="4" w:space="0" w:color="auto"/>
              <w:right w:val="single" w:sz="4" w:space="0" w:color="auto"/>
            </w:tcBorders>
            <w:shd w:val="clear" w:color="000000" w:fill="BEECF0"/>
            <w:noWrap/>
            <w:vAlign w:val="center"/>
            <w:hideMark/>
          </w:tcPr>
          <w:p w:rsidR="00BA05A3" w:rsidRPr="00E060E5" w:rsidRDefault="00BA05A3" w:rsidP="00DA7A22">
            <w:pPr>
              <w:spacing w:line="240" w:lineRule="auto"/>
              <w:jc w:val="center"/>
              <w:rPr>
                <w:rFonts w:asciiTheme="minorHAnsi" w:eastAsia="Times New Roman" w:hAnsiTheme="minorHAnsi" w:cstheme="minorHAnsi"/>
                <w:color w:val="000000"/>
                <w:sz w:val="16"/>
                <w:szCs w:val="16"/>
              </w:rPr>
            </w:pPr>
            <w:r w:rsidRPr="00E060E5">
              <w:rPr>
                <w:rFonts w:asciiTheme="minorHAnsi" w:eastAsia="Times New Roman" w:hAnsiTheme="minorHAnsi" w:cstheme="minorHAnsi"/>
                <w:color w:val="000000"/>
                <w:sz w:val="16"/>
                <w:szCs w:val="16"/>
              </w:rPr>
              <w:t>325</w:t>
            </w:r>
          </w:p>
        </w:tc>
        <w:tc>
          <w:tcPr>
            <w:tcW w:w="608" w:type="dxa"/>
            <w:tcBorders>
              <w:top w:val="nil"/>
              <w:left w:val="nil"/>
              <w:bottom w:val="single" w:sz="4" w:space="0" w:color="auto"/>
              <w:right w:val="single" w:sz="4" w:space="0" w:color="auto"/>
            </w:tcBorders>
            <w:shd w:val="clear" w:color="000000" w:fill="BEECF0"/>
            <w:noWrap/>
            <w:vAlign w:val="center"/>
            <w:hideMark/>
          </w:tcPr>
          <w:p w:rsidR="00BA05A3" w:rsidRPr="00E060E5" w:rsidRDefault="00BA05A3" w:rsidP="00DA7A22">
            <w:pPr>
              <w:spacing w:line="240" w:lineRule="auto"/>
              <w:jc w:val="center"/>
              <w:rPr>
                <w:rFonts w:asciiTheme="minorHAnsi" w:eastAsia="Times New Roman" w:hAnsiTheme="minorHAnsi" w:cstheme="minorHAnsi"/>
                <w:color w:val="000000"/>
                <w:sz w:val="16"/>
                <w:szCs w:val="16"/>
              </w:rPr>
            </w:pPr>
            <w:r w:rsidRPr="00E060E5">
              <w:rPr>
                <w:rFonts w:asciiTheme="minorHAnsi" w:eastAsia="Times New Roman" w:hAnsiTheme="minorHAnsi" w:cstheme="minorHAnsi"/>
                <w:color w:val="000000"/>
                <w:sz w:val="16"/>
                <w:szCs w:val="16"/>
              </w:rPr>
              <w:t>423</w:t>
            </w:r>
          </w:p>
        </w:tc>
        <w:tc>
          <w:tcPr>
            <w:tcW w:w="608" w:type="dxa"/>
            <w:tcBorders>
              <w:top w:val="nil"/>
              <w:left w:val="nil"/>
              <w:bottom w:val="single" w:sz="4" w:space="0" w:color="auto"/>
              <w:right w:val="single" w:sz="4" w:space="0" w:color="auto"/>
            </w:tcBorders>
            <w:shd w:val="clear" w:color="000000" w:fill="BEECF0"/>
            <w:noWrap/>
            <w:vAlign w:val="center"/>
            <w:hideMark/>
          </w:tcPr>
          <w:p w:rsidR="00BA05A3" w:rsidRPr="00E060E5" w:rsidRDefault="00BA05A3" w:rsidP="00DA7A22">
            <w:pPr>
              <w:spacing w:line="240" w:lineRule="auto"/>
              <w:jc w:val="center"/>
              <w:rPr>
                <w:rFonts w:asciiTheme="minorHAnsi" w:eastAsia="Times New Roman" w:hAnsiTheme="minorHAnsi" w:cstheme="minorHAnsi"/>
                <w:color w:val="000000"/>
                <w:sz w:val="16"/>
                <w:szCs w:val="16"/>
              </w:rPr>
            </w:pPr>
            <w:r w:rsidRPr="00E060E5">
              <w:rPr>
                <w:rFonts w:asciiTheme="minorHAnsi" w:eastAsia="Times New Roman" w:hAnsiTheme="minorHAnsi" w:cstheme="minorHAnsi"/>
                <w:color w:val="000000"/>
                <w:sz w:val="16"/>
                <w:szCs w:val="16"/>
              </w:rPr>
              <w:t>521</w:t>
            </w:r>
          </w:p>
        </w:tc>
        <w:tc>
          <w:tcPr>
            <w:tcW w:w="611" w:type="dxa"/>
            <w:tcBorders>
              <w:top w:val="nil"/>
              <w:left w:val="nil"/>
              <w:bottom w:val="single" w:sz="4" w:space="0" w:color="auto"/>
              <w:right w:val="single" w:sz="4" w:space="0" w:color="auto"/>
            </w:tcBorders>
            <w:shd w:val="clear" w:color="000000" w:fill="BEECF0"/>
            <w:noWrap/>
            <w:vAlign w:val="center"/>
            <w:hideMark/>
          </w:tcPr>
          <w:p w:rsidR="00BA05A3" w:rsidRPr="00E060E5" w:rsidRDefault="00BA05A3" w:rsidP="00DA7A22">
            <w:pPr>
              <w:spacing w:line="240" w:lineRule="auto"/>
              <w:jc w:val="center"/>
              <w:rPr>
                <w:rFonts w:asciiTheme="minorHAnsi" w:eastAsia="Times New Roman" w:hAnsiTheme="minorHAnsi" w:cstheme="minorHAnsi"/>
                <w:color w:val="000000"/>
                <w:sz w:val="16"/>
                <w:szCs w:val="16"/>
              </w:rPr>
            </w:pPr>
            <w:r w:rsidRPr="00E060E5">
              <w:rPr>
                <w:rFonts w:asciiTheme="minorHAnsi" w:eastAsia="Times New Roman" w:hAnsiTheme="minorHAnsi" w:cstheme="minorHAnsi"/>
                <w:color w:val="000000"/>
                <w:sz w:val="16"/>
                <w:szCs w:val="16"/>
              </w:rPr>
              <w:t>618</w:t>
            </w:r>
          </w:p>
        </w:tc>
      </w:tr>
      <w:tr w:rsidR="00BA05A3" w:rsidRPr="00E060E5" w:rsidTr="00BA05A3">
        <w:trPr>
          <w:trHeight w:val="301"/>
        </w:trPr>
        <w:tc>
          <w:tcPr>
            <w:tcW w:w="3520" w:type="dxa"/>
            <w:tcBorders>
              <w:top w:val="nil"/>
              <w:left w:val="single" w:sz="4" w:space="0" w:color="auto"/>
              <w:bottom w:val="single" w:sz="4" w:space="0" w:color="auto"/>
              <w:right w:val="single" w:sz="4" w:space="0" w:color="auto"/>
            </w:tcBorders>
            <w:shd w:val="clear" w:color="auto" w:fill="auto"/>
            <w:noWrap/>
            <w:vAlign w:val="center"/>
            <w:hideMark/>
          </w:tcPr>
          <w:p w:rsidR="00BA05A3" w:rsidRPr="00E060E5" w:rsidRDefault="00BA05A3" w:rsidP="00DA7A22">
            <w:pPr>
              <w:spacing w:line="240" w:lineRule="auto"/>
              <w:rPr>
                <w:rFonts w:asciiTheme="minorHAnsi" w:eastAsia="Times New Roman" w:hAnsiTheme="minorHAnsi" w:cstheme="minorHAnsi"/>
                <w:color w:val="000000"/>
                <w:sz w:val="16"/>
                <w:szCs w:val="16"/>
              </w:rPr>
            </w:pPr>
            <w:r w:rsidRPr="00E060E5">
              <w:rPr>
                <w:rFonts w:asciiTheme="minorHAnsi" w:eastAsia="Times New Roman" w:hAnsiTheme="minorHAnsi" w:cstheme="minorHAnsi"/>
                <w:color w:val="000000"/>
                <w:sz w:val="16"/>
                <w:szCs w:val="16"/>
              </w:rPr>
              <w:t>gminy sąsiadujące</w:t>
            </w:r>
          </w:p>
        </w:tc>
        <w:tc>
          <w:tcPr>
            <w:tcW w:w="734" w:type="dxa"/>
            <w:tcBorders>
              <w:top w:val="nil"/>
              <w:left w:val="nil"/>
              <w:bottom w:val="single" w:sz="4" w:space="0" w:color="auto"/>
              <w:right w:val="single" w:sz="4" w:space="0" w:color="auto"/>
            </w:tcBorders>
            <w:shd w:val="clear" w:color="auto" w:fill="auto"/>
            <w:noWrap/>
            <w:vAlign w:val="center"/>
            <w:hideMark/>
          </w:tcPr>
          <w:p w:rsidR="00BA05A3" w:rsidRPr="00E060E5" w:rsidRDefault="00BA05A3" w:rsidP="00DA7A22">
            <w:pPr>
              <w:spacing w:line="240" w:lineRule="auto"/>
              <w:rPr>
                <w:rFonts w:asciiTheme="minorHAnsi" w:eastAsia="Times New Roman" w:hAnsiTheme="minorHAnsi" w:cstheme="minorHAnsi"/>
                <w:color w:val="000000"/>
                <w:sz w:val="16"/>
                <w:szCs w:val="16"/>
              </w:rPr>
            </w:pPr>
            <w:r w:rsidRPr="00E060E5">
              <w:rPr>
                <w:rFonts w:asciiTheme="minorHAnsi" w:eastAsia="Times New Roman" w:hAnsiTheme="minorHAnsi" w:cstheme="minorHAnsi"/>
                <w:color w:val="000000"/>
                <w:sz w:val="16"/>
                <w:szCs w:val="16"/>
              </w:rPr>
              <w:t>3936,88</w:t>
            </w:r>
          </w:p>
        </w:tc>
        <w:tc>
          <w:tcPr>
            <w:tcW w:w="1369" w:type="dxa"/>
            <w:tcBorders>
              <w:top w:val="nil"/>
              <w:left w:val="nil"/>
              <w:bottom w:val="single" w:sz="4" w:space="0" w:color="auto"/>
              <w:right w:val="single" w:sz="4" w:space="0" w:color="auto"/>
            </w:tcBorders>
            <w:shd w:val="clear" w:color="auto" w:fill="auto"/>
            <w:noWrap/>
            <w:vAlign w:val="center"/>
            <w:hideMark/>
          </w:tcPr>
          <w:p w:rsidR="00BA05A3" w:rsidRPr="00E060E5" w:rsidRDefault="00BA05A3" w:rsidP="00DA7A22">
            <w:pPr>
              <w:spacing w:line="240" w:lineRule="auto"/>
              <w:jc w:val="center"/>
              <w:rPr>
                <w:rFonts w:asciiTheme="minorHAnsi" w:eastAsia="Times New Roman" w:hAnsiTheme="minorHAnsi" w:cstheme="minorHAnsi"/>
                <w:color w:val="000000"/>
                <w:sz w:val="16"/>
                <w:szCs w:val="16"/>
              </w:rPr>
            </w:pPr>
            <w:r w:rsidRPr="00E060E5">
              <w:rPr>
                <w:rFonts w:asciiTheme="minorHAnsi" w:eastAsia="Times New Roman" w:hAnsiTheme="minorHAnsi" w:cstheme="minorHAnsi"/>
                <w:color w:val="000000"/>
                <w:sz w:val="16"/>
                <w:szCs w:val="16"/>
              </w:rPr>
              <w:t>5,91</w:t>
            </w:r>
          </w:p>
        </w:tc>
        <w:tc>
          <w:tcPr>
            <w:tcW w:w="608" w:type="dxa"/>
            <w:tcBorders>
              <w:top w:val="nil"/>
              <w:left w:val="nil"/>
              <w:bottom w:val="single" w:sz="4" w:space="0" w:color="auto"/>
              <w:right w:val="single" w:sz="4" w:space="0" w:color="auto"/>
            </w:tcBorders>
            <w:shd w:val="clear" w:color="auto" w:fill="auto"/>
            <w:noWrap/>
            <w:vAlign w:val="center"/>
            <w:hideMark/>
          </w:tcPr>
          <w:p w:rsidR="00BA05A3" w:rsidRPr="00E060E5" w:rsidRDefault="00BA05A3" w:rsidP="00DA7A22">
            <w:pPr>
              <w:spacing w:line="240" w:lineRule="auto"/>
              <w:jc w:val="center"/>
              <w:rPr>
                <w:rFonts w:asciiTheme="minorHAnsi" w:eastAsia="Times New Roman" w:hAnsiTheme="minorHAnsi" w:cstheme="minorHAnsi"/>
                <w:color w:val="000000"/>
                <w:sz w:val="16"/>
                <w:szCs w:val="16"/>
              </w:rPr>
            </w:pPr>
            <w:r w:rsidRPr="00E060E5">
              <w:rPr>
                <w:rFonts w:asciiTheme="minorHAnsi" w:eastAsia="Times New Roman" w:hAnsiTheme="minorHAnsi" w:cstheme="minorHAnsi"/>
                <w:color w:val="000000"/>
                <w:sz w:val="16"/>
                <w:szCs w:val="16"/>
              </w:rPr>
              <w:t>118</w:t>
            </w:r>
          </w:p>
        </w:tc>
        <w:tc>
          <w:tcPr>
            <w:tcW w:w="608" w:type="dxa"/>
            <w:tcBorders>
              <w:top w:val="nil"/>
              <w:left w:val="nil"/>
              <w:bottom w:val="single" w:sz="4" w:space="0" w:color="auto"/>
              <w:right w:val="single" w:sz="4" w:space="0" w:color="auto"/>
            </w:tcBorders>
            <w:shd w:val="clear" w:color="auto" w:fill="auto"/>
            <w:noWrap/>
            <w:vAlign w:val="center"/>
            <w:hideMark/>
          </w:tcPr>
          <w:p w:rsidR="00BA05A3" w:rsidRPr="00E060E5" w:rsidRDefault="00BA05A3" w:rsidP="00DA7A22">
            <w:pPr>
              <w:spacing w:line="240" w:lineRule="auto"/>
              <w:jc w:val="center"/>
              <w:rPr>
                <w:rFonts w:asciiTheme="minorHAnsi" w:eastAsia="Times New Roman" w:hAnsiTheme="minorHAnsi" w:cstheme="minorHAnsi"/>
                <w:color w:val="000000"/>
                <w:sz w:val="16"/>
                <w:szCs w:val="16"/>
              </w:rPr>
            </w:pPr>
            <w:r w:rsidRPr="00E060E5">
              <w:rPr>
                <w:rFonts w:asciiTheme="minorHAnsi" w:eastAsia="Times New Roman" w:hAnsiTheme="minorHAnsi" w:cstheme="minorHAnsi"/>
                <w:color w:val="000000"/>
                <w:sz w:val="16"/>
                <w:szCs w:val="16"/>
              </w:rPr>
              <w:t>207</w:t>
            </w:r>
          </w:p>
        </w:tc>
        <w:tc>
          <w:tcPr>
            <w:tcW w:w="608" w:type="dxa"/>
            <w:tcBorders>
              <w:top w:val="nil"/>
              <w:left w:val="nil"/>
              <w:bottom w:val="single" w:sz="4" w:space="0" w:color="auto"/>
              <w:right w:val="single" w:sz="4" w:space="0" w:color="auto"/>
            </w:tcBorders>
            <w:shd w:val="clear" w:color="auto" w:fill="auto"/>
            <w:noWrap/>
            <w:vAlign w:val="center"/>
            <w:hideMark/>
          </w:tcPr>
          <w:p w:rsidR="00BA05A3" w:rsidRPr="00E060E5" w:rsidRDefault="00BA05A3" w:rsidP="00DA7A22">
            <w:pPr>
              <w:spacing w:line="240" w:lineRule="auto"/>
              <w:jc w:val="center"/>
              <w:rPr>
                <w:rFonts w:asciiTheme="minorHAnsi" w:eastAsia="Times New Roman" w:hAnsiTheme="minorHAnsi" w:cstheme="minorHAnsi"/>
                <w:color w:val="000000"/>
                <w:sz w:val="16"/>
                <w:szCs w:val="16"/>
              </w:rPr>
            </w:pPr>
            <w:r w:rsidRPr="00E060E5">
              <w:rPr>
                <w:rFonts w:asciiTheme="minorHAnsi" w:eastAsia="Times New Roman" w:hAnsiTheme="minorHAnsi" w:cstheme="minorHAnsi"/>
                <w:color w:val="000000"/>
                <w:sz w:val="16"/>
                <w:szCs w:val="16"/>
              </w:rPr>
              <w:t>295</w:t>
            </w:r>
          </w:p>
        </w:tc>
        <w:tc>
          <w:tcPr>
            <w:tcW w:w="608" w:type="dxa"/>
            <w:tcBorders>
              <w:top w:val="nil"/>
              <w:left w:val="nil"/>
              <w:bottom w:val="single" w:sz="4" w:space="0" w:color="auto"/>
              <w:right w:val="single" w:sz="4" w:space="0" w:color="auto"/>
            </w:tcBorders>
            <w:shd w:val="clear" w:color="auto" w:fill="auto"/>
            <w:noWrap/>
            <w:vAlign w:val="center"/>
            <w:hideMark/>
          </w:tcPr>
          <w:p w:rsidR="00BA05A3" w:rsidRPr="00E060E5" w:rsidRDefault="00BA05A3" w:rsidP="00DA7A22">
            <w:pPr>
              <w:spacing w:line="240" w:lineRule="auto"/>
              <w:jc w:val="center"/>
              <w:rPr>
                <w:rFonts w:asciiTheme="minorHAnsi" w:eastAsia="Times New Roman" w:hAnsiTheme="minorHAnsi" w:cstheme="minorHAnsi"/>
                <w:color w:val="000000"/>
                <w:sz w:val="16"/>
                <w:szCs w:val="16"/>
              </w:rPr>
            </w:pPr>
            <w:r w:rsidRPr="00E060E5">
              <w:rPr>
                <w:rFonts w:asciiTheme="minorHAnsi" w:eastAsia="Times New Roman" w:hAnsiTheme="minorHAnsi" w:cstheme="minorHAnsi"/>
                <w:color w:val="000000"/>
                <w:sz w:val="16"/>
                <w:szCs w:val="16"/>
              </w:rPr>
              <w:t>384</w:t>
            </w:r>
          </w:p>
        </w:tc>
        <w:tc>
          <w:tcPr>
            <w:tcW w:w="608" w:type="dxa"/>
            <w:tcBorders>
              <w:top w:val="nil"/>
              <w:left w:val="nil"/>
              <w:bottom w:val="single" w:sz="4" w:space="0" w:color="auto"/>
              <w:right w:val="single" w:sz="4" w:space="0" w:color="auto"/>
            </w:tcBorders>
            <w:shd w:val="clear" w:color="auto" w:fill="auto"/>
            <w:noWrap/>
            <w:vAlign w:val="center"/>
            <w:hideMark/>
          </w:tcPr>
          <w:p w:rsidR="00BA05A3" w:rsidRPr="00E060E5" w:rsidRDefault="00BA05A3" w:rsidP="00DA7A22">
            <w:pPr>
              <w:spacing w:line="240" w:lineRule="auto"/>
              <w:jc w:val="center"/>
              <w:rPr>
                <w:rFonts w:asciiTheme="minorHAnsi" w:eastAsia="Times New Roman" w:hAnsiTheme="minorHAnsi" w:cstheme="minorHAnsi"/>
                <w:color w:val="000000"/>
                <w:sz w:val="16"/>
                <w:szCs w:val="16"/>
              </w:rPr>
            </w:pPr>
            <w:r w:rsidRPr="00E060E5">
              <w:rPr>
                <w:rFonts w:asciiTheme="minorHAnsi" w:eastAsia="Times New Roman" w:hAnsiTheme="minorHAnsi" w:cstheme="minorHAnsi"/>
                <w:color w:val="000000"/>
                <w:sz w:val="16"/>
                <w:szCs w:val="16"/>
              </w:rPr>
              <w:t>472</w:t>
            </w:r>
          </w:p>
        </w:tc>
        <w:tc>
          <w:tcPr>
            <w:tcW w:w="611" w:type="dxa"/>
            <w:tcBorders>
              <w:top w:val="nil"/>
              <w:left w:val="nil"/>
              <w:bottom w:val="single" w:sz="4" w:space="0" w:color="auto"/>
              <w:right w:val="single" w:sz="4" w:space="0" w:color="auto"/>
            </w:tcBorders>
            <w:shd w:val="clear" w:color="auto" w:fill="auto"/>
            <w:noWrap/>
            <w:vAlign w:val="center"/>
            <w:hideMark/>
          </w:tcPr>
          <w:p w:rsidR="00BA05A3" w:rsidRPr="00E060E5" w:rsidRDefault="00BA05A3" w:rsidP="00DA7A22">
            <w:pPr>
              <w:spacing w:line="240" w:lineRule="auto"/>
              <w:jc w:val="center"/>
              <w:rPr>
                <w:rFonts w:asciiTheme="minorHAnsi" w:eastAsia="Times New Roman" w:hAnsiTheme="minorHAnsi" w:cstheme="minorHAnsi"/>
                <w:color w:val="000000"/>
                <w:sz w:val="16"/>
                <w:szCs w:val="16"/>
              </w:rPr>
            </w:pPr>
            <w:r w:rsidRPr="00E060E5">
              <w:rPr>
                <w:rFonts w:asciiTheme="minorHAnsi" w:eastAsia="Times New Roman" w:hAnsiTheme="minorHAnsi" w:cstheme="minorHAnsi"/>
                <w:color w:val="000000"/>
                <w:sz w:val="16"/>
                <w:szCs w:val="16"/>
              </w:rPr>
              <w:t>561</w:t>
            </w:r>
          </w:p>
        </w:tc>
      </w:tr>
      <w:tr w:rsidR="00BA05A3" w:rsidRPr="00E060E5" w:rsidTr="00BA05A3">
        <w:trPr>
          <w:trHeight w:val="301"/>
        </w:trPr>
        <w:tc>
          <w:tcPr>
            <w:tcW w:w="3520" w:type="dxa"/>
            <w:tcBorders>
              <w:top w:val="nil"/>
              <w:left w:val="single" w:sz="4" w:space="0" w:color="auto"/>
              <w:bottom w:val="single" w:sz="4" w:space="0" w:color="auto"/>
              <w:right w:val="single" w:sz="4" w:space="0" w:color="auto"/>
            </w:tcBorders>
            <w:shd w:val="clear" w:color="000000" w:fill="BEECF0"/>
            <w:noWrap/>
            <w:vAlign w:val="center"/>
            <w:hideMark/>
          </w:tcPr>
          <w:p w:rsidR="00BA05A3" w:rsidRPr="00E060E5" w:rsidRDefault="00BA05A3" w:rsidP="00DA7A22">
            <w:pPr>
              <w:spacing w:line="240" w:lineRule="auto"/>
              <w:rPr>
                <w:rFonts w:asciiTheme="minorHAnsi" w:eastAsia="Times New Roman" w:hAnsiTheme="minorHAnsi" w:cstheme="minorHAnsi"/>
                <w:color w:val="000000"/>
                <w:sz w:val="16"/>
                <w:szCs w:val="16"/>
              </w:rPr>
            </w:pPr>
            <w:r w:rsidRPr="00E060E5">
              <w:rPr>
                <w:rFonts w:asciiTheme="minorHAnsi" w:eastAsia="Times New Roman" w:hAnsiTheme="minorHAnsi" w:cstheme="minorHAnsi"/>
                <w:color w:val="000000"/>
                <w:sz w:val="16"/>
                <w:szCs w:val="16"/>
              </w:rPr>
              <w:t>województwo śląskie</w:t>
            </w:r>
          </w:p>
        </w:tc>
        <w:tc>
          <w:tcPr>
            <w:tcW w:w="734" w:type="dxa"/>
            <w:tcBorders>
              <w:top w:val="nil"/>
              <w:left w:val="nil"/>
              <w:bottom w:val="single" w:sz="4" w:space="0" w:color="auto"/>
              <w:right w:val="single" w:sz="4" w:space="0" w:color="auto"/>
            </w:tcBorders>
            <w:shd w:val="clear" w:color="000000" w:fill="BEECF0"/>
            <w:noWrap/>
            <w:vAlign w:val="center"/>
            <w:hideMark/>
          </w:tcPr>
          <w:p w:rsidR="00BA05A3" w:rsidRPr="00E060E5" w:rsidRDefault="00BA05A3" w:rsidP="00DA7A22">
            <w:pPr>
              <w:spacing w:line="240" w:lineRule="auto"/>
              <w:rPr>
                <w:rFonts w:asciiTheme="minorHAnsi" w:eastAsia="Times New Roman" w:hAnsiTheme="minorHAnsi" w:cstheme="minorHAnsi"/>
                <w:color w:val="000000"/>
                <w:sz w:val="16"/>
                <w:szCs w:val="16"/>
              </w:rPr>
            </w:pPr>
            <w:r w:rsidRPr="00E060E5">
              <w:rPr>
                <w:rFonts w:asciiTheme="minorHAnsi" w:eastAsia="Times New Roman" w:hAnsiTheme="minorHAnsi" w:cstheme="minorHAnsi"/>
                <w:color w:val="000000"/>
                <w:sz w:val="16"/>
                <w:szCs w:val="16"/>
              </w:rPr>
              <w:t>3534,25</w:t>
            </w:r>
          </w:p>
        </w:tc>
        <w:tc>
          <w:tcPr>
            <w:tcW w:w="1369" w:type="dxa"/>
            <w:tcBorders>
              <w:top w:val="nil"/>
              <w:left w:val="nil"/>
              <w:bottom w:val="single" w:sz="4" w:space="0" w:color="auto"/>
              <w:right w:val="single" w:sz="4" w:space="0" w:color="auto"/>
            </w:tcBorders>
            <w:shd w:val="clear" w:color="000000" w:fill="BEECF0"/>
            <w:noWrap/>
            <w:vAlign w:val="center"/>
            <w:hideMark/>
          </w:tcPr>
          <w:p w:rsidR="00BA05A3" w:rsidRPr="00E060E5" w:rsidRDefault="00BA05A3" w:rsidP="00DA7A22">
            <w:pPr>
              <w:spacing w:line="240" w:lineRule="auto"/>
              <w:jc w:val="center"/>
              <w:rPr>
                <w:rFonts w:asciiTheme="minorHAnsi" w:eastAsia="Times New Roman" w:hAnsiTheme="minorHAnsi" w:cstheme="minorHAnsi"/>
                <w:color w:val="000000"/>
                <w:sz w:val="16"/>
                <w:szCs w:val="16"/>
              </w:rPr>
            </w:pPr>
            <w:r w:rsidRPr="00E060E5">
              <w:rPr>
                <w:rFonts w:asciiTheme="minorHAnsi" w:eastAsia="Times New Roman" w:hAnsiTheme="minorHAnsi" w:cstheme="minorHAnsi"/>
                <w:color w:val="000000"/>
                <w:sz w:val="16"/>
                <w:szCs w:val="16"/>
              </w:rPr>
              <w:t>5,30</w:t>
            </w:r>
          </w:p>
        </w:tc>
        <w:tc>
          <w:tcPr>
            <w:tcW w:w="608" w:type="dxa"/>
            <w:tcBorders>
              <w:top w:val="nil"/>
              <w:left w:val="nil"/>
              <w:bottom w:val="single" w:sz="4" w:space="0" w:color="auto"/>
              <w:right w:val="single" w:sz="4" w:space="0" w:color="auto"/>
            </w:tcBorders>
            <w:shd w:val="clear" w:color="000000" w:fill="BEECF0"/>
            <w:noWrap/>
            <w:vAlign w:val="center"/>
            <w:hideMark/>
          </w:tcPr>
          <w:p w:rsidR="00BA05A3" w:rsidRPr="00E060E5" w:rsidRDefault="00BA05A3" w:rsidP="00DA7A22">
            <w:pPr>
              <w:spacing w:line="240" w:lineRule="auto"/>
              <w:jc w:val="center"/>
              <w:rPr>
                <w:rFonts w:asciiTheme="minorHAnsi" w:eastAsia="Times New Roman" w:hAnsiTheme="minorHAnsi" w:cstheme="minorHAnsi"/>
                <w:color w:val="000000"/>
                <w:sz w:val="16"/>
                <w:szCs w:val="16"/>
              </w:rPr>
            </w:pPr>
            <w:r w:rsidRPr="00E060E5">
              <w:rPr>
                <w:rFonts w:asciiTheme="minorHAnsi" w:eastAsia="Times New Roman" w:hAnsiTheme="minorHAnsi" w:cstheme="minorHAnsi"/>
                <w:color w:val="000000"/>
                <w:sz w:val="16"/>
                <w:szCs w:val="16"/>
              </w:rPr>
              <w:t>106</w:t>
            </w:r>
          </w:p>
        </w:tc>
        <w:tc>
          <w:tcPr>
            <w:tcW w:w="608" w:type="dxa"/>
            <w:tcBorders>
              <w:top w:val="nil"/>
              <w:left w:val="nil"/>
              <w:bottom w:val="single" w:sz="4" w:space="0" w:color="auto"/>
              <w:right w:val="single" w:sz="4" w:space="0" w:color="auto"/>
            </w:tcBorders>
            <w:shd w:val="clear" w:color="000000" w:fill="BEECF0"/>
            <w:noWrap/>
            <w:vAlign w:val="center"/>
            <w:hideMark/>
          </w:tcPr>
          <w:p w:rsidR="00BA05A3" w:rsidRPr="00E060E5" w:rsidRDefault="00BA05A3" w:rsidP="00DA7A22">
            <w:pPr>
              <w:spacing w:line="240" w:lineRule="auto"/>
              <w:jc w:val="center"/>
              <w:rPr>
                <w:rFonts w:asciiTheme="minorHAnsi" w:eastAsia="Times New Roman" w:hAnsiTheme="minorHAnsi" w:cstheme="minorHAnsi"/>
                <w:color w:val="000000"/>
                <w:sz w:val="16"/>
                <w:szCs w:val="16"/>
              </w:rPr>
            </w:pPr>
            <w:r w:rsidRPr="00E060E5">
              <w:rPr>
                <w:rFonts w:asciiTheme="minorHAnsi" w:eastAsia="Times New Roman" w:hAnsiTheme="minorHAnsi" w:cstheme="minorHAnsi"/>
                <w:color w:val="000000"/>
                <w:sz w:val="16"/>
                <w:szCs w:val="16"/>
              </w:rPr>
              <w:t>186</w:t>
            </w:r>
          </w:p>
        </w:tc>
        <w:tc>
          <w:tcPr>
            <w:tcW w:w="608" w:type="dxa"/>
            <w:tcBorders>
              <w:top w:val="nil"/>
              <w:left w:val="nil"/>
              <w:bottom w:val="single" w:sz="4" w:space="0" w:color="auto"/>
              <w:right w:val="single" w:sz="4" w:space="0" w:color="auto"/>
            </w:tcBorders>
            <w:shd w:val="clear" w:color="000000" w:fill="BEECF0"/>
            <w:noWrap/>
            <w:vAlign w:val="center"/>
            <w:hideMark/>
          </w:tcPr>
          <w:p w:rsidR="00BA05A3" w:rsidRPr="00E060E5" w:rsidRDefault="00BA05A3" w:rsidP="00DA7A22">
            <w:pPr>
              <w:spacing w:line="240" w:lineRule="auto"/>
              <w:jc w:val="center"/>
              <w:rPr>
                <w:rFonts w:asciiTheme="minorHAnsi" w:eastAsia="Times New Roman" w:hAnsiTheme="minorHAnsi" w:cstheme="minorHAnsi"/>
                <w:color w:val="000000"/>
                <w:sz w:val="16"/>
                <w:szCs w:val="16"/>
              </w:rPr>
            </w:pPr>
            <w:r w:rsidRPr="00E060E5">
              <w:rPr>
                <w:rFonts w:asciiTheme="minorHAnsi" w:eastAsia="Times New Roman" w:hAnsiTheme="minorHAnsi" w:cstheme="minorHAnsi"/>
                <w:color w:val="000000"/>
                <w:sz w:val="16"/>
                <w:szCs w:val="16"/>
              </w:rPr>
              <w:t>265</w:t>
            </w:r>
          </w:p>
        </w:tc>
        <w:tc>
          <w:tcPr>
            <w:tcW w:w="608" w:type="dxa"/>
            <w:tcBorders>
              <w:top w:val="nil"/>
              <w:left w:val="nil"/>
              <w:bottom w:val="single" w:sz="4" w:space="0" w:color="auto"/>
              <w:right w:val="single" w:sz="4" w:space="0" w:color="auto"/>
            </w:tcBorders>
            <w:shd w:val="clear" w:color="000000" w:fill="BEECF0"/>
            <w:noWrap/>
            <w:vAlign w:val="center"/>
            <w:hideMark/>
          </w:tcPr>
          <w:p w:rsidR="00BA05A3" w:rsidRPr="00E060E5" w:rsidRDefault="00BA05A3" w:rsidP="00DA7A22">
            <w:pPr>
              <w:spacing w:line="240" w:lineRule="auto"/>
              <w:jc w:val="center"/>
              <w:rPr>
                <w:rFonts w:asciiTheme="minorHAnsi" w:eastAsia="Times New Roman" w:hAnsiTheme="minorHAnsi" w:cstheme="minorHAnsi"/>
                <w:color w:val="000000"/>
                <w:sz w:val="16"/>
                <w:szCs w:val="16"/>
              </w:rPr>
            </w:pPr>
            <w:r w:rsidRPr="00E060E5">
              <w:rPr>
                <w:rFonts w:asciiTheme="minorHAnsi" w:eastAsia="Times New Roman" w:hAnsiTheme="minorHAnsi" w:cstheme="minorHAnsi"/>
                <w:color w:val="000000"/>
                <w:sz w:val="16"/>
                <w:szCs w:val="16"/>
              </w:rPr>
              <w:t>345</w:t>
            </w:r>
          </w:p>
        </w:tc>
        <w:tc>
          <w:tcPr>
            <w:tcW w:w="608" w:type="dxa"/>
            <w:tcBorders>
              <w:top w:val="nil"/>
              <w:left w:val="nil"/>
              <w:bottom w:val="single" w:sz="4" w:space="0" w:color="auto"/>
              <w:right w:val="single" w:sz="4" w:space="0" w:color="auto"/>
            </w:tcBorders>
            <w:shd w:val="clear" w:color="000000" w:fill="BEECF0"/>
            <w:noWrap/>
            <w:vAlign w:val="center"/>
            <w:hideMark/>
          </w:tcPr>
          <w:p w:rsidR="00BA05A3" w:rsidRPr="00E060E5" w:rsidRDefault="00BA05A3" w:rsidP="00DA7A22">
            <w:pPr>
              <w:spacing w:line="240" w:lineRule="auto"/>
              <w:jc w:val="center"/>
              <w:rPr>
                <w:rFonts w:asciiTheme="minorHAnsi" w:eastAsia="Times New Roman" w:hAnsiTheme="minorHAnsi" w:cstheme="minorHAnsi"/>
                <w:color w:val="000000"/>
                <w:sz w:val="16"/>
                <w:szCs w:val="16"/>
              </w:rPr>
            </w:pPr>
            <w:r w:rsidRPr="00E060E5">
              <w:rPr>
                <w:rFonts w:asciiTheme="minorHAnsi" w:eastAsia="Times New Roman" w:hAnsiTheme="minorHAnsi" w:cstheme="minorHAnsi"/>
                <w:color w:val="000000"/>
                <w:sz w:val="16"/>
                <w:szCs w:val="16"/>
              </w:rPr>
              <w:t>424</w:t>
            </w:r>
          </w:p>
        </w:tc>
        <w:tc>
          <w:tcPr>
            <w:tcW w:w="611" w:type="dxa"/>
            <w:tcBorders>
              <w:top w:val="nil"/>
              <w:left w:val="nil"/>
              <w:bottom w:val="single" w:sz="4" w:space="0" w:color="auto"/>
              <w:right w:val="single" w:sz="4" w:space="0" w:color="auto"/>
            </w:tcBorders>
            <w:shd w:val="clear" w:color="000000" w:fill="BEECF0"/>
            <w:noWrap/>
            <w:vAlign w:val="center"/>
            <w:hideMark/>
          </w:tcPr>
          <w:p w:rsidR="00BA05A3" w:rsidRPr="00E060E5" w:rsidRDefault="00BA05A3" w:rsidP="00DA7A22">
            <w:pPr>
              <w:spacing w:line="240" w:lineRule="auto"/>
              <w:jc w:val="center"/>
              <w:rPr>
                <w:rFonts w:asciiTheme="minorHAnsi" w:eastAsia="Times New Roman" w:hAnsiTheme="minorHAnsi" w:cstheme="minorHAnsi"/>
                <w:color w:val="000000"/>
                <w:sz w:val="16"/>
                <w:szCs w:val="16"/>
              </w:rPr>
            </w:pPr>
            <w:r w:rsidRPr="00E060E5">
              <w:rPr>
                <w:rFonts w:asciiTheme="minorHAnsi" w:eastAsia="Times New Roman" w:hAnsiTheme="minorHAnsi" w:cstheme="minorHAnsi"/>
                <w:color w:val="000000"/>
                <w:sz w:val="16"/>
                <w:szCs w:val="16"/>
              </w:rPr>
              <w:t>504</w:t>
            </w:r>
          </w:p>
        </w:tc>
      </w:tr>
      <w:tr w:rsidR="00BA05A3" w:rsidRPr="00E060E5" w:rsidTr="00BA05A3">
        <w:trPr>
          <w:trHeight w:val="301"/>
        </w:trPr>
        <w:tc>
          <w:tcPr>
            <w:tcW w:w="3520" w:type="dxa"/>
            <w:tcBorders>
              <w:top w:val="nil"/>
              <w:left w:val="single" w:sz="4" w:space="0" w:color="auto"/>
              <w:bottom w:val="single" w:sz="4" w:space="0" w:color="auto"/>
              <w:right w:val="single" w:sz="4" w:space="0" w:color="auto"/>
            </w:tcBorders>
            <w:shd w:val="clear" w:color="auto" w:fill="auto"/>
            <w:noWrap/>
            <w:vAlign w:val="center"/>
            <w:hideMark/>
          </w:tcPr>
          <w:p w:rsidR="00BA05A3" w:rsidRPr="00E060E5" w:rsidRDefault="00BA05A3" w:rsidP="00DA7A22">
            <w:pPr>
              <w:spacing w:line="240" w:lineRule="auto"/>
              <w:rPr>
                <w:rFonts w:asciiTheme="minorHAnsi" w:eastAsia="Times New Roman" w:hAnsiTheme="minorHAnsi" w:cstheme="minorHAnsi"/>
                <w:color w:val="000000"/>
                <w:sz w:val="16"/>
                <w:szCs w:val="16"/>
              </w:rPr>
            </w:pPr>
            <w:r w:rsidRPr="00E060E5">
              <w:rPr>
                <w:rFonts w:asciiTheme="minorHAnsi" w:eastAsia="Times New Roman" w:hAnsiTheme="minorHAnsi" w:cstheme="minorHAnsi"/>
                <w:color w:val="000000"/>
                <w:sz w:val="16"/>
                <w:szCs w:val="16"/>
              </w:rPr>
              <w:t>Kielce</w:t>
            </w:r>
          </w:p>
        </w:tc>
        <w:tc>
          <w:tcPr>
            <w:tcW w:w="734" w:type="dxa"/>
            <w:tcBorders>
              <w:top w:val="nil"/>
              <w:left w:val="nil"/>
              <w:bottom w:val="single" w:sz="4" w:space="0" w:color="auto"/>
              <w:right w:val="single" w:sz="4" w:space="0" w:color="auto"/>
            </w:tcBorders>
            <w:shd w:val="clear" w:color="auto" w:fill="auto"/>
            <w:noWrap/>
            <w:vAlign w:val="center"/>
            <w:hideMark/>
          </w:tcPr>
          <w:p w:rsidR="00BA05A3" w:rsidRPr="00E060E5" w:rsidRDefault="00BA05A3" w:rsidP="00DA7A22">
            <w:pPr>
              <w:spacing w:line="240" w:lineRule="auto"/>
              <w:rPr>
                <w:rFonts w:asciiTheme="minorHAnsi" w:eastAsia="Times New Roman" w:hAnsiTheme="minorHAnsi" w:cstheme="minorHAnsi"/>
                <w:color w:val="000000"/>
                <w:sz w:val="16"/>
                <w:szCs w:val="16"/>
              </w:rPr>
            </w:pPr>
            <w:r w:rsidRPr="00E060E5">
              <w:rPr>
                <w:rFonts w:asciiTheme="minorHAnsi" w:eastAsia="Times New Roman" w:hAnsiTheme="minorHAnsi" w:cstheme="minorHAnsi"/>
                <w:color w:val="000000"/>
                <w:sz w:val="16"/>
                <w:szCs w:val="16"/>
              </w:rPr>
              <w:t>4438,70</w:t>
            </w:r>
          </w:p>
        </w:tc>
        <w:tc>
          <w:tcPr>
            <w:tcW w:w="1369" w:type="dxa"/>
            <w:tcBorders>
              <w:top w:val="nil"/>
              <w:left w:val="nil"/>
              <w:bottom w:val="single" w:sz="4" w:space="0" w:color="auto"/>
              <w:right w:val="single" w:sz="4" w:space="0" w:color="auto"/>
            </w:tcBorders>
            <w:shd w:val="clear" w:color="auto" w:fill="auto"/>
            <w:noWrap/>
            <w:vAlign w:val="center"/>
            <w:hideMark/>
          </w:tcPr>
          <w:p w:rsidR="00BA05A3" w:rsidRPr="00E060E5" w:rsidRDefault="00BA05A3" w:rsidP="00DA7A22">
            <w:pPr>
              <w:spacing w:line="240" w:lineRule="auto"/>
              <w:jc w:val="center"/>
              <w:rPr>
                <w:rFonts w:asciiTheme="minorHAnsi" w:eastAsia="Times New Roman" w:hAnsiTheme="minorHAnsi" w:cstheme="minorHAnsi"/>
                <w:color w:val="000000"/>
                <w:sz w:val="16"/>
                <w:szCs w:val="16"/>
              </w:rPr>
            </w:pPr>
            <w:r w:rsidRPr="00E060E5">
              <w:rPr>
                <w:rFonts w:asciiTheme="minorHAnsi" w:eastAsia="Times New Roman" w:hAnsiTheme="minorHAnsi" w:cstheme="minorHAnsi"/>
                <w:color w:val="000000"/>
                <w:sz w:val="16"/>
                <w:szCs w:val="16"/>
              </w:rPr>
              <w:t>6,66</w:t>
            </w:r>
          </w:p>
        </w:tc>
        <w:tc>
          <w:tcPr>
            <w:tcW w:w="608" w:type="dxa"/>
            <w:tcBorders>
              <w:top w:val="nil"/>
              <w:left w:val="nil"/>
              <w:bottom w:val="single" w:sz="4" w:space="0" w:color="auto"/>
              <w:right w:val="single" w:sz="4" w:space="0" w:color="auto"/>
            </w:tcBorders>
            <w:shd w:val="clear" w:color="auto" w:fill="auto"/>
            <w:noWrap/>
            <w:vAlign w:val="center"/>
            <w:hideMark/>
          </w:tcPr>
          <w:p w:rsidR="00BA05A3" w:rsidRPr="00E060E5" w:rsidRDefault="00BA05A3" w:rsidP="00DA7A22">
            <w:pPr>
              <w:spacing w:line="240" w:lineRule="auto"/>
              <w:jc w:val="center"/>
              <w:rPr>
                <w:rFonts w:asciiTheme="minorHAnsi" w:eastAsia="Times New Roman" w:hAnsiTheme="minorHAnsi" w:cstheme="minorHAnsi"/>
                <w:color w:val="000000"/>
                <w:sz w:val="16"/>
                <w:szCs w:val="16"/>
              </w:rPr>
            </w:pPr>
            <w:r w:rsidRPr="00E060E5">
              <w:rPr>
                <w:rFonts w:asciiTheme="minorHAnsi" w:eastAsia="Times New Roman" w:hAnsiTheme="minorHAnsi" w:cstheme="minorHAnsi"/>
                <w:color w:val="000000"/>
                <w:sz w:val="16"/>
                <w:szCs w:val="16"/>
              </w:rPr>
              <w:t>133</w:t>
            </w:r>
          </w:p>
        </w:tc>
        <w:tc>
          <w:tcPr>
            <w:tcW w:w="608" w:type="dxa"/>
            <w:tcBorders>
              <w:top w:val="nil"/>
              <w:left w:val="nil"/>
              <w:bottom w:val="single" w:sz="4" w:space="0" w:color="auto"/>
              <w:right w:val="single" w:sz="4" w:space="0" w:color="auto"/>
            </w:tcBorders>
            <w:shd w:val="clear" w:color="auto" w:fill="auto"/>
            <w:noWrap/>
            <w:vAlign w:val="center"/>
            <w:hideMark/>
          </w:tcPr>
          <w:p w:rsidR="00BA05A3" w:rsidRPr="00E060E5" w:rsidRDefault="00BA05A3" w:rsidP="00DA7A22">
            <w:pPr>
              <w:spacing w:line="240" w:lineRule="auto"/>
              <w:jc w:val="center"/>
              <w:rPr>
                <w:rFonts w:asciiTheme="minorHAnsi" w:eastAsia="Times New Roman" w:hAnsiTheme="minorHAnsi" w:cstheme="minorHAnsi"/>
                <w:color w:val="000000"/>
                <w:sz w:val="16"/>
                <w:szCs w:val="16"/>
              </w:rPr>
            </w:pPr>
            <w:r w:rsidRPr="00E060E5">
              <w:rPr>
                <w:rFonts w:asciiTheme="minorHAnsi" w:eastAsia="Times New Roman" w:hAnsiTheme="minorHAnsi" w:cstheme="minorHAnsi"/>
                <w:color w:val="000000"/>
                <w:sz w:val="16"/>
                <w:szCs w:val="16"/>
              </w:rPr>
              <w:t>233</w:t>
            </w:r>
          </w:p>
        </w:tc>
        <w:tc>
          <w:tcPr>
            <w:tcW w:w="608" w:type="dxa"/>
            <w:tcBorders>
              <w:top w:val="nil"/>
              <w:left w:val="nil"/>
              <w:bottom w:val="single" w:sz="4" w:space="0" w:color="auto"/>
              <w:right w:val="single" w:sz="4" w:space="0" w:color="auto"/>
            </w:tcBorders>
            <w:shd w:val="clear" w:color="auto" w:fill="auto"/>
            <w:noWrap/>
            <w:vAlign w:val="center"/>
            <w:hideMark/>
          </w:tcPr>
          <w:p w:rsidR="00BA05A3" w:rsidRPr="00E060E5" w:rsidRDefault="00BA05A3" w:rsidP="00DA7A22">
            <w:pPr>
              <w:spacing w:line="240" w:lineRule="auto"/>
              <w:jc w:val="center"/>
              <w:rPr>
                <w:rFonts w:asciiTheme="minorHAnsi" w:eastAsia="Times New Roman" w:hAnsiTheme="minorHAnsi" w:cstheme="minorHAnsi"/>
                <w:color w:val="000000"/>
                <w:sz w:val="16"/>
                <w:szCs w:val="16"/>
              </w:rPr>
            </w:pPr>
            <w:r w:rsidRPr="00E060E5">
              <w:rPr>
                <w:rFonts w:asciiTheme="minorHAnsi" w:eastAsia="Times New Roman" w:hAnsiTheme="minorHAnsi" w:cstheme="minorHAnsi"/>
                <w:color w:val="000000"/>
                <w:sz w:val="16"/>
                <w:szCs w:val="16"/>
              </w:rPr>
              <w:t>333</w:t>
            </w:r>
          </w:p>
        </w:tc>
        <w:tc>
          <w:tcPr>
            <w:tcW w:w="608" w:type="dxa"/>
            <w:tcBorders>
              <w:top w:val="nil"/>
              <w:left w:val="nil"/>
              <w:bottom w:val="single" w:sz="4" w:space="0" w:color="auto"/>
              <w:right w:val="single" w:sz="4" w:space="0" w:color="auto"/>
            </w:tcBorders>
            <w:shd w:val="clear" w:color="auto" w:fill="auto"/>
            <w:noWrap/>
            <w:vAlign w:val="center"/>
            <w:hideMark/>
          </w:tcPr>
          <w:p w:rsidR="00BA05A3" w:rsidRPr="00E060E5" w:rsidRDefault="00BA05A3" w:rsidP="00DA7A22">
            <w:pPr>
              <w:spacing w:line="240" w:lineRule="auto"/>
              <w:jc w:val="center"/>
              <w:rPr>
                <w:rFonts w:asciiTheme="minorHAnsi" w:eastAsia="Times New Roman" w:hAnsiTheme="minorHAnsi" w:cstheme="minorHAnsi"/>
                <w:color w:val="000000"/>
                <w:sz w:val="16"/>
                <w:szCs w:val="16"/>
              </w:rPr>
            </w:pPr>
            <w:r w:rsidRPr="00E060E5">
              <w:rPr>
                <w:rFonts w:asciiTheme="minorHAnsi" w:eastAsia="Times New Roman" w:hAnsiTheme="minorHAnsi" w:cstheme="minorHAnsi"/>
                <w:color w:val="000000"/>
                <w:sz w:val="16"/>
                <w:szCs w:val="16"/>
              </w:rPr>
              <w:t>433</w:t>
            </w:r>
          </w:p>
        </w:tc>
        <w:tc>
          <w:tcPr>
            <w:tcW w:w="608" w:type="dxa"/>
            <w:tcBorders>
              <w:top w:val="nil"/>
              <w:left w:val="nil"/>
              <w:bottom w:val="single" w:sz="4" w:space="0" w:color="auto"/>
              <w:right w:val="single" w:sz="4" w:space="0" w:color="auto"/>
            </w:tcBorders>
            <w:shd w:val="clear" w:color="auto" w:fill="auto"/>
            <w:noWrap/>
            <w:vAlign w:val="center"/>
            <w:hideMark/>
          </w:tcPr>
          <w:p w:rsidR="00BA05A3" w:rsidRPr="00E060E5" w:rsidRDefault="00BA05A3" w:rsidP="00DA7A22">
            <w:pPr>
              <w:spacing w:line="240" w:lineRule="auto"/>
              <w:jc w:val="center"/>
              <w:rPr>
                <w:rFonts w:asciiTheme="minorHAnsi" w:eastAsia="Times New Roman" w:hAnsiTheme="minorHAnsi" w:cstheme="minorHAnsi"/>
                <w:color w:val="000000"/>
                <w:sz w:val="16"/>
                <w:szCs w:val="16"/>
              </w:rPr>
            </w:pPr>
            <w:r w:rsidRPr="00E060E5">
              <w:rPr>
                <w:rFonts w:asciiTheme="minorHAnsi" w:eastAsia="Times New Roman" w:hAnsiTheme="minorHAnsi" w:cstheme="minorHAnsi"/>
                <w:color w:val="000000"/>
                <w:sz w:val="16"/>
                <w:szCs w:val="16"/>
              </w:rPr>
              <w:t>533</w:t>
            </w:r>
          </w:p>
        </w:tc>
        <w:tc>
          <w:tcPr>
            <w:tcW w:w="611" w:type="dxa"/>
            <w:tcBorders>
              <w:top w:val="nil"/>
              <w:left w:val="nil"/>
              <w:bottom w:val="single" w:sz="4" w:space="0" w:color="auto"/>
              <w:right w:val="single" w:sz="4" w:space="0" w:color="auto"/>
            </w:tcBorders>
            <w:shd w:val="clear" w:color="auto" w:fill="auto"/>
            <w:noWrap/>
            <w:vAlign w:val="center"/>
            <w:hideMark/>
          </w:tcPr>
          <w:p w:rsidR="00BA05A3" w:rsidRPr="00E060E5" w:rsidRDefault="00BA05A3" w:rsidP="00DA7A22">
            <w:pPr>
              <w:spacing w:line="240" w:lineRule="auto"/>
              <w:jc w:val="center"/>
              <w:rPr>
                <w:rFonts w:asciiTheme="minorHAnsi" w:eastAsia="Times New Roman" w:hAnsiTheme="minorHAnsi" w:cstheme="minorHAnsi"/>
                <w:color w:val="000000"/>
                <w:sz w:val="16"/>
                <w:szCs w:val="16"/>
              </w:rPr>
            </w:pPr>
            <w:r w:rsidRPr="00E060E5">
              <w:rPr>
                <w:rFonts w:asciiTheme="minorHAnsi" w:eastAsia="Times New Roman" w:hAnsiTheme="minorHAnsi" w:cstheme="minorHAnsi"/>
                <w:color w:val="000000"/>
                <w:sz w:val="16"/>
                <w:szCs w:val="16"/>
              </w:rPr>
              <w:t>633</w:t>
            </w:r>
          </w:p>
        </w:tc>
      </w:tr>
      <w:tr w:rsidR="00BA05A3" w:rsidRPr="00E060E5" w:rsidTr="00BA05A3">
        <w:trPr>
          <w:trHeight w:val="301"/>
        </w:trPr>
        <w:tc>
          <w:tcPr>
            <w:tcW w:w="3520" w:type="dxa"/>
            <w:tcBorders>
              <w:top w:val="nil"/>
              <w:left w:val="single" w:sz="4" w:space="0" w:color="auto"/>
              <w:bottom w:val="single" w:sz="4" w:space="0" w:color="auto"/>
              <w:right w:val="single" w:sz="4" w:space="0" w:color="auto"/>
            </w:tcBorders>
            <w:shd w:val="clear" w:color="000000" w:fill="BEECF0"/>
            <w:noWrap/>
            <w:vAlign w:val="center"/>
            <w:hideMark/>
          </w:tcPr>
          <w:p w:rsidR="00BA05A3" w:rsidRPr="00E060E5" w:rsidRDefault="00BA05A3" w:rsidP="00DA7A22">
            <w:pPr>
              <w:spacing w:line="240" w:lineRule="auto"/>
              <w:rPr>
                <w:rFonts w:asciiTheme="minorHAnsi" w:eastAsia="Times New Roman" w:hAnsiTheme="minorHAnsi" w:cstheme="minorHAnsi"/>
                <w:color w:val="000000"/>
                <w:sz w:val="16"/>
                <w:szCs w:val="16"/>
              </w:rPr>
            </w:pPr>
            <w:r w:rsidRPr="00E060E5">
              <w:rPr>
                <w:rFonts w:asciiTheme="minorHAnsi" w:eastAsia="Times New Roman" w:hAnsiTheme="minorHAnsi" w:cstheme="minorHAnsi"/>
                <w:color w:val="000000"/>
                <w:sz w:val="16"/>
                <w:szCs w:val="16"/>
              </w:rPr>
              <w:t>gminy sąsiadujące</w:t>
            </w:r>
          </w:p>
        </w:tc>
        <w:tc>
          <w:tcPr>
            <w:tcW w:w="734" w:type="dxa"/>
            <w:tcBorders>
              <w:top w:val="nil"/>
              <w:left w:val="nil"/>
              <w:bottom w:val="single" w:sz="4" w:space="0" w:color="auto"/>
              <w:right w:val="single" w:sz="4" w:space="0" w:color="auto"/>
            </w:tcBorders>
            <w:shd w:val="clear" w:color="000000" w:fill="BEECF0"/>
            <w:noWrap/>
            <w:vAlign w:val="center"/>
            <w:hideMark/>
          </w:tcPr>
          <w:p w:rsidR="00BA05A3" w:rsidRPr="00E060E5" w:rsidRDefault="00BA05A3" w:rsidP="00DA7A22">
            <w:pPr>
              <w:spacing w:line="240" w:lineRule="auto"/>
              <w:rPr>
                <w:rFonts w:asciiTheme="minorHAnsi" w:eastAsia="Times New Roman" w:hAnsiTheme="minorHAnsi" w:cstheme="minorHAnsi"/>
                <w:color w:val="000000"/>
                <w:sz w:val="16"/>
                <w:szCs w:val="16"/>
              </w:rPr>
            </w:pPr>
            <w:r w:rsidRPr="00E060E5">
              <w:rPr>
                <w:rFonts w:asciiTheme="minorHAnsi" w:eastAsia="Times New Roman" w:hAnsiTheme="minorHAnsi" w:cstheme="minorHAnsi"/>
                <w:color w:val="000000"/>
                <w:sz w:val="16"/>
                <w:szCs w:val="16"/>
              </w:rPr>
              <w:t>3870,30</w:t>
            </w:r>
          </w:p>
        </w:tc>
        <w:tc>
          <w:tcPr>
            <w:tcW w:w="1369" w:type="dxa"/>
            <w:tcBorders>
              <w:top w:val="nil"/>
              <w:left w:val="nil"/>
              <w:bottom w:val="single" w:sz="4" w:space="0" w:color="auto"/>
              <w:right w:val="single" w:sz="4" w:space="0" w:color="auto"/>
            </w:tcBorders>
            <w:shd w:val="clear" w:color="000000" w:fill="BEECF0"/>
            <w:noWrap/>
            <w:vAlign w:val="center"/>
            <w:hideMark/>
          </w:tcPr>
          <w:p w:rsidR="00BA05A3" w:rsidRPr="00E060E5" w:rsidRDefault="00BA05A3" w:rsidP="00DA7A22">
            <w:pPr>
              <w:spacing w:line="240" w:lineRule="auto"/>
              <w:jc w:val="center"/>
              <w:rPr>
                <w:rFonts w:asciiTheme="minorHAnsi" w:eastAsia="Times New Roman" w:hAnsiTheme="minorHAnsi" w:cstheme="minorHAnsi"/>
                <w:color w:val="000000"/>
                <w:sz w:val="16"/>
                <w:szCs w:val="16"/>
              </w:rPr>
            </w:pPr>
            <w:r w:rsidRPr="00E060E5">
              <w:rPr>
                <w:rFonts w:asciiTheme="minorHAnsi" w:eastAsia="Times New Roman" w:hAnsiTheme="minorHAnsi" w:cstheme="minorHAnsi"/>
                <w:color w:val="000000"/>
                <w:sz w:val="16"/>
                <w:szCs w:val="16"/>
              </w:rPr>
              <w:t>5,81</w:t>
            </w:r>
          </w:p>
        </w:tc>
        <w:tc>
          <w:tcPr>
            <w:tcW w:w="608" w:type="dxa"/>
            <w:tcBorders>
              <w:top w:val="nil"/>
              <w:left w:val="nil"/>
              <w:bottom w:val="single" w:sz="4" w:space="0" w:color="auto"/>
              <w:right w:val="single" w:sz="4" w:space="0" w:color="auto"/>
            </w:tcBorders>
            <w:shd w:val="clear" w:color="000000" w:fill="BEECF0"/>
            <w:noWrap/>
            <w:vAlign w:val="center"/>
            <w:hideMark/>
          </w:tcPr>
          <w:p w:rsidR="00BA05A3" w:rsidRPr="00E060E5" w:rsidRDefault="00BA05A3" w:rsidP="00DA7A22">
            <w:pPr>
              <w:spacing w:line="240" w:lineRule="auto"/>
              <w:jc w:val="center"/>
              <w:rPr>
                <w:rFonts w:asciiTheme="minorHAnsi" w:eastAsia="Times New Roman" w:hAnsiTheme="minorHAnsi" w:cstheme="minorHAnsi"/>
                <w:color w:val="000000"/>
                <w:sz w:val="16"/>
                <w:szCs w:val="16"/>
              </w:rPr>
            </w:pPr>
            <w:r w:rsidRPr="00E060E5">
              <w:rPr>
                <w:rFonts w:asciiTheme="minorHAnsi" w:eastAsia="Times New Roman" w:hAnsiTheme="minorHAnsi" w:cstheme="minorHAnsi"/>
                <w:color w:val="000000"/>
                <w:sz w:val="16"/>
                <w:szCs w:val="16"/>
              </w:rPr>
              <w:t>116</w:t>
            </w:r>
          </w:p>
        </w:tc>
        <w:tc>
          <w:tcPr>
            <w:tcW w:w="608" w:type="dxa"/>
            <w:tcBorders>
              <w:top w:val="nil"/>
              <w:left w:val="nil"/>
              <w:bottom w:val="single" w:sz="4" w:space="0" w:color="auto"/>
              <w:right w:val="single" w:sz="4" w:space="0" w:color="auto"/>
            </w:tcBorders>
            <w:shd w:val="clear" w:color="000000" w:fill="BEECF0"/>
            <w:noWrap/>
            <w:vAlign w:val="center"/>
            <w:hideMark/>
          </w:tcPr>
          <w:p w:rsidR="00BA05A3" w:rsidRPr="00E060E5" w:rsidRDefault="00BA05A3" w:rsidP="00DA7A22">
            <w:pPr>
              <w:spacing w:line="240" w:lineRule="auto"/>
              <w:jc w:val="center"/>
              <w:rPr>
                <w:rFonts w:asciiTheme="minorHAnsi" w:eastAsia="Times New Roman" w:hAnsiTheme="minorHAnsi" w:cstheme="minorHAnsi"/>
                <w:color w:val="000000"/>
                <w:sz w:val="16"/>
                <w:szCs w:val="16"/>
              </w:rPr>
            </w:pPr>
            <w:r w:rsidRPr="00E060E5">
              <w:rPr>
                <w:rFonts w:asciiTheme="minorHAnsi" w:eastAsia="Times New Roman" w:hAnsiTheme="minorHAnsi" w:cstheme="minorHAnsi"/>
                <w:color w:val="000000"/>
                <w:sz w:val="16"/>
                <w:szCs w:val="16"/>
              </w:rPr>
              <w:t>203</w:t>
            </w:r>
          </w:p>
        </w:tc>
        <w:tc>
          <w:tcPr>
            <w:tcW w:w="608" w:type="dxa"/>
            <w:tcBorders>
              <w:top w:val="nil"/>
              <w:left w:val="nil"/>
              <w:bottom w:val="single" w:sz="4" w:space="0" w:color="auto"/>
              <w:right w:val="single" w:sz="4" w:space="0" w:color="auto"/>
            </w:tcBorders>
            <w:shd w:val="clear" w:color="000000" w:fill="BEECF0"/>
            <w:noWrap/>
            <w:vAlign w:val="center"/>
            <w:hideMark/>
          </w:tcPr>
          <w:p w:rsidR="00BA05A3" w:rsidRPr="00E060E5" w:rsidRDefault="00BA05A3" w:rsidP="00DA7A22">
            <w:pPr>
              <w:spacing w:line="240" w:lineRule="auto"/>
              <w:jc w:val="center"/>
              <w:rPr>
                <w:rFonts w:asciiTheme="minorHAnsi" w:eastAsia="Times New Roman" w:hAnsiTheme="minorHAnsi" w:cstheme="minorHAnsi"/>
                <w:color w:val="000000"/>
                <w:sz w:val="16"/>
                <w:szCs w:val="16"/>
              </w:rPr>
            </w:pPr>
            <w:r w:rsidRPr="00E060E5">
              <w:rPr>
                <w:rFonts w:asciiTheme="minorHAnsi" w:eastAsia="Times New Roman" w:hAnsiTheme="minorHAnsi" w:cstheme="minorHAnsi"/>
                <w:color w:val="000000"/>
                <w:sz w:val="16"/>
                <w:szCs w:val="16"/>
              </w:rPr>
              <w:t>290</w:t>
            </w:r>
          </w:p>
        </w:tc>
        <w:tc>
          <w:tcPr>
            <w:tcW w:w="608" w:type="dxa"/>
            <w:tcBorders>
              <w:top w:val="nil"/>
              <w:left w:val="nil"/>
              <w:bottom w:val="single" w:sz="4" w:space="0" w:color="auto"/>
              <w:right w:val="single" w:sz="4" w:space="0" w:color="auto"/>
            </w:tcBorders>
            <w:shd w:val="clear" w:color="000000" w:fill="BEECF0"/>
            <w:noWrap/>
            <w:vAlign w:val="center"/>
            <w:hideMark/>
          </w:tcPr>
          <w:p w:rsidR="00BA05A3" w:rsidRPr="00E060E5" w:rsidRDefault="00BA05A3" w:rsidP="00DA7A22">
            <w:pPr>
              <w:spacing w:line="240" w:lineRule="auto"/>
              <w:jc w:val="center"/>
              <w:rPr>
                <w:rFonts w:asciiTheme="minorHAnsi" w:eastAsia="Times New Roman" w:hAnsiTheme="minorHAnsi" w:cstheme="minorHAnsi"/>
                <w:color w:val="000000"/>
                <w:sz w:val="16"/>
                <w:szCs w:val="16"/>
              </w:rPr>
            </w:pPr>
            <w:r w:rsidRPr="00E060E5">
              <w:rPr>
                <w:rFonts w:asciiTheme="minorHAnsi" w:eastAsia="Times New Roman" w:hAnsiTheme="minorHAnsi" w:cstheme="minorHAnsi"/>
                <w:color w:val="000000"/>
                <w:sz w:val="16"/>
                <w:szCs w:val="16"/>
              </w:rPr>
              <w:t>377</w:t>
            </w:r>
          </w:p>
        </w:tc>
        <w:tc>
          <w:tcPr>
            <w:tcW w:w="608" w:type="dxa"/>
            <w:tcBorders>
              <w:top w:val="nil"/>
              <w:left w:val="nil"/>
              <w:bottom w:val="single" w:sz="4" w:space="0" w:color="auto"/>
              <w:right w:val="single" w:sz="4" w:space="0" w:color="auto"/>
            </w:tcBorders>
            <w:shd w:val="clear" w:color="000000" w:fill="BEECF0"/>
            <w:noWrap/>
            <w:vAlign w:val="center"/>
            <w:hideMark/>
          </w:tcPr>
          <w:p w:rsidR="00BA05A3" w:rsidRPr="00E060E5" w:rsidRDefault="00BA05A3" w:rsidP="00DA7A22">
            <w:pPr>
              <w:spacing w:line="240" w:lineRule="auto"/>
              <w:jc w:val="center"/>
              <w:rPr>
                <w:rFonts w:asciiTheme="minorHAnsi" w:eastAsia="Times New Roman" w:hAnsiTheme="minorHAnsi" w:cstheme="minorHAnsi"/>
                <w:color w:val="000000"/>
                <w:sz w:val="16"/>
                <w:szCs w:val="16"/>
              </w:rPr>
            </w:pPr>
            <w:r w:rsidRPr="00E060E5">
              <w:rPr>
                <w:rFonts w:asciiTheme="minorHAnsi" w:eastAsia="Times New Roman" w:hAnsiTheme="minorHAnsi" w:cstheme="minorHAnsi"/>
                <w:color w:val="000000"/>
                <w:sz w:val="16"/>
                <w:szCs w:val="16"/>
              </w:rPr>
              <w:t>464</w:t>
            </w:r>
          </w:p>
        </w:tc>
        <w:tc>
          <w:tcPr>
            <w:tcW w:w="611" w:type="dxa"/>
            <w:tcBorders>
              <w:top w:val="nil"/>
              <w:left w:val="nil"/>
              <w:bottom w:val="single" w:sz="4" w:space="0" w:color="auto"/>
              <w:right w:val="single" w:sz="4" w:space="0" w:color="auto"/>
            </w:tcBorders>
            <w:shd w:val="clear" w:color="000000" w:fill="BEECF0"/>
            <w:noWrap/>
            <w:vAlign w:val="center"/>
            <w:hideMark/>
          </w:tcPr>
          <w:p w:rsidR="00BA05A3" w:rsidRPr="00E060E5" w:rsidRDefault="00BA05A3" w:rsidP="00DA7A22">
            <w:pPr>
              <w:spacing w:line="240" w:lineRule="auto"/>
              <w:jc w:val="center"/>
              <w:rPr>
                <w:rFonts w:asciiTheme="minorHAnsi" w:eastAsia="Times New Roman" w:hAnsiTheme="minorHAnsi" w:cstheme="minorHAnsi"/>
                <w:color w:val="000000"/>
                <w:sz w:val="16"/>
                <w:szCs w:val="16"/>
              </w:rPr>
            </w:pPr>
            <w:r w:rsidRPr="00E060E5">
              <w:rPr>
                <w:rFonts w:asciiTheme="minorHAnsi" w:eastAsia="Times New Roman" w:hAnsiTheme="minorHAnsi" w:cstheme="minorHAnsi"/>
                <w:color w:val="000000"/>
                <w:sz w:val="16"/>
                <w:szCs w:val="16"/>
              </w:rPr>
              <w:t>552</w:t>
            </w:r>
          </w:p>
        </w:tc>
      </w:tr>
      <w:tr w:rsidR="00BA05A3" w:rsidRPr="00E060E5" w:rsidTr="00BA05A3">
        <w:trPr>
          <w:trHeight w:val="301"/>
        </w:trPr>
        <w:tc>
          <w:tcPr>
            <w:tcW w:w="3520" w:type="dxa"/>
            <w:tcBorders>
              <w:top w:val="nil"/>
              <w:left w:val="single" w:sz="4" w:space="0" w:color="auto"/>
              <w:bottom w:val="single" w:sz="4" w:space="0" w:color="auto"/>
              <w:right w:val="single" w:sz="4" w:space="0" w:color="auto"/>
            </w:tcBorders>
            <w:shd w:val="clear" w:color="auto" w:fill="auto"/>
            <w:noWrap/>
            <w:vAlign w:val="center"/>
            <w:hideMark/>
          </w:tcPr>
          <w:p w:rsidR="00BA05A3" w:rsidRPr="00E060E5" w:rsidRDefault="00BA05A3" w:rsidP="00DA7A22">
            <w:pPr>
              <w:spacing w:line="240" w:lineRule="auto"/>
              <w:rPr>
                <w:rFonts w:asciiTheme="minorHAnsi" w:eastAsia="Times New Roman" w:hAnsiTheme="minorHAnsi" w:cstheme="minorHAnsi"/>
                <w:color w:val="000000"/>
                <w:sz w:val="16"/>
                <w:szCs w:val="16"/>
              </w:rPr>
            </w:pPr>
            <w:r w:rsidRPr="00E060E5">
              <w:rPr>
                <w:rFonts w:asciiTheme="minorHAnsi" w:eastAsia="Times New Roman" w:hAnsiTheme="minorHAnsi" w:cstheme="minorHAnsi"/>
                <w:color w:val="000000"/>
                <w:sz w:val="16"/>
                <w:szCs w:val="16"/>
              </w:rPr>
              <w:t>województwo świętokrzyskie</w:t>
            </w:r>
          </w:p>
        </w:tc>
        <w:tc>
          <w:tcPr>
            <w:tcW w:w="734" w:type="dxa"/>
            <w:tcBorders>
              <w:top w:val="nil"/>
              <w:left w:val="nil"/>
              <w:bottom w:val="single" w:sz="4" w:space="0" w:color="auto"/>
              <w:right w:val="single" w:sz="4" w:space="0" w:color="auto"/>
            </w:tcBorders>
            <w:shd w:val="clear" w:color="auto" w:fill="auto"/>
            <w:noWrap/>
            <w:vAlign w:val="center"/>
            <w:hideMark/>
          </w:tcPr>
          <w:p w:rsidR="00BA05A3" w:rsidRPr="00E060E5" w:rsidRDefault="00BA05A3" w:rsidP="00DA7A22">
            <w:pPr>
              <w:spacing w:line="240" w:lineRule="auto"/>
              <w:rPr>
                <w:rFonts w:asciiTheme="minorHAnsi" w:eastAsia="Times New Roman" w:hAnsiTheme="minorHAnsi" w:cstheme="minorHAnsi"/>
                <w:color w:val="000000"/>
                <w:sz w:val="16"/>
                <w:szCs w:val="16"/>
              </w:rPr>
            </w:pPr>
            <w:r w:rsidRPr="00E060E5">
              <w:rPr>
                <w:rFonts w:asciiTheme="minorHAnsi" w:eastAsia="Times New Roman" w:hAnsiTheme="minorHAnsi" w:cstheme="minorHAnsi"/>
                <w:color w:val="000000"/>
                <w:sz w:val="16"/>
                <w:szCs w:val="16"/>
              </w:rPr>
              <w:t>3301,91</w:t>
            </w:r>
          </w:p>
        </w:tc>
        <w:tc>
          <w:tcPr>
            <w:tcW w:w="1369" w:type="dxa"/>
            <w:tcBorders>
              <w:top w:val="nil"/>
              <w:left w:val="nil"/>
              <w:bottom w:val="single" w:sz="4" w:space="0" w:color="auto"/>
              <w:right w:val="single" w:sz="4" w:space="0" w:color="auto"/>
            </w:tcBorders>
            <w:shd w:val="clear" w:color="auto" w:fill="auto"/>
            <w:noWrap/>
            <w:vAlign w:val="center"/>
            <w:hideMark/>
          </w:tcPr>
          <w:p w:rsidR="00BA05A3" w:rsidRPr="00E060E5" w:rsidRDefault="00BA05A3" w:rsidP="00DA7A22">
            <w:pPr>
              <w:spacing w:line="240" w:lineRule="auto"/>
              <w:jc w:val="center"/>
              <w:rPr>
                <w:rFonts w:asciiTheme="minorHAnsi" w:eastAsia="Times New Roman" w:hAnsiTheme="minorHAnsi" w:cstheme="minorHAnsi"/>
                <w:color w:val="000000"/>
                <w:sz w:val="16"/>
                <w:szCs w:val="16"/>
              </w:rPr>
            </w:pPr>
            <w:r w:rsidRPr="00E060E5">
              <w:rPr>
                <w:rFonts w:asciiTheme="minorHAnsi" w:eastAsia="Times New Roman" w:hAnsiTheme="minorHAnsi" w:cstheme="minorHAnsi"/>
                <w:color w:val="000000"/>
                <w:sz w:val="16"/>
                <w:szCs w:val="16"/>
              </w:rPr>
              <w:t>4,95</w:t>
            </w:r>
          </w:p>
        </w:tc>
        <w:tc>
          <w:tcPr>
            <w:tcW w:w="608" w:type="dxa"/>
            <w:tcBorders>
              <w:top w:val="nil"/>
              <w:left w:val="nil"/>
              <w:bottom w:val="single" w:sz="4" w:space="0" w:color="auto"/>
              <w:right w:val="single" w:sz="4" w:space="0" w:color="auto"/>
            </w:tcBorders>
            <w:shd w:val="clear" w:color="auto" w:fill="auto"/>
            <w:noWrap/>
            <w:vAlign w:val="center"/>
            <w:hideMark/>
          </w:tcPr>
          <w:p w:rsidR="00BA05A3" w:rsidRPr="00E060E5" w:rsidRDefault="00BA05A3" w:rsidP="00DA7A22">
            <w:pPr>
              <w:spacing w:line="240" w:lineRule="auto"/>
              <w:jc w:val="center"/>
              <w:rPr>
                <w:rFonts w:asciiTheme="minorHAnsi" w:eastAsia="Times New Roman" w:hAnsiTheme="minorHAnsi" w:cstheme="minorHAnsi"/>
                <w:color w:val="000000"/>
                <w:sz w:val="16"/>
                <w:szCs w:val="16"/>
              </w:rPr>
            </w:pPr>
            <w:r w:rsidRPr="00E060E5">
              <w:rPr>
                <w:rFonts w:asciiTheme="minorHAnsi" w:eastAsia="Times New Roman" w:hAnsiTheme="minorHAnsi" w:cstheme="minorHAnsi"/>
                <w:color w:val="000000"/>
                <w:sz w:val="16"/>
                <w:szCs w:val="16"/>
              </w:rPr>
              <w:t>99</w:t>
            </w:r>
          </w:p>
        </w:tc>
        <w:tc>
          <w:tcPr>
            <w:tcW w:w="608" w:type="dxa"/>
            <w:tcBorders>
              <w:top w:val="nil"/>
              <w:left w:val="nil"/>
              <w:bottom w:val="single" w:sz="4" w:space="0" w:color="auto"/>
              <w:right w:val="single" w:sz="4" w:space="0" w:color="auto"/>
            </w:tcBorders>
            <w:shd w:val="clear" w:color="auto" w:fill="auto"/>
            <w:noWrap/>
            <w:vAlign w:val="center"/>
            <w:hideMark/>
          </w:tcPr>
          <w:p w:rsidR="00BA05A3" w:rsidRPr="00E060E5" w:rsidRDefault="00BA05A3" w:rsidP="00DA7A22">
            <w:pPr>
              <w:spacing w:line="240" w:lineRule="auto"/>
              <w:jc w:val="center"/>
              <w:rPr>
                <w:rFonts w:asciiTheme="minorHAnsi" w:eastAsia="Times New Roman" w:hAnsiTheme="minorHAnsi" w:cstheme="minorHAnsi"/>
                <w:color w:val="000000"/>
                <w:sz w:val="16"/>
                <w:szCs w:val="16"/>
              </w:rPr>
            </w:pPr>
            <w:r w:rsidRPr="00E060E5">
              <w:rPr>
                <w:rFonts w:asciiTheme="minorHAnsi" w:eastAsia="Times New Roman" w:hAnsiTheme="minorHAnsi" w:cstheme="minorHAnsi"/>
                <w:color w:val="000000"/>
                <w:sz w:val="16"/>
                <w:szCs w:val="16"/>
              </w:rPr>
              <w:t>173</w:t>
            </w:r>
          </w:p>
        </w:tc>
        <w:tc>
          <w:tcPr>
            <w:tcW w:w="608" w:type="dxa"/>
            <w:tcBorders>
              <w:top w:val="nil"/>
              <w:left w:val="nil"/>
              <w:bottom w:val="single" w:sz="4" w:space="0" w:color="auto"/>
              <w:right w:val="single" w:sz="4" w:space="0" w:color="auto"/>
            </w:tcBorders>
            <w:shd w:val="clear" w:color="auto" w:fill="auto"/>
            <w:noWrap/>
            <w:vAlign w:val="center"/>
            <w:hideMark/>
          </w:tcPr>
          <w:p w:rsidR="00BA05A3" w:rsidRPr="00E060E5" w:rsidRDefault="00BA05A3" w:rsidP="00DA7A22">
            <w:pPr>
              <w:spacing w:line="240" w:lineRule="auto"/>
              <w:jc w:val="center"/>
              <w:rPr>
                <w:rFonts w:asciiTheme="minorHAnsi" w:eastAsia="Times New Roman" w:hAnsiTheme="minorHAnsi" w:cstheme="minorHAnsi"/>
                <w:color w:val="000000"/>
                <w:sz w:val="16"/>
                <w:szCs w:val="16"/>
              </w:rPr>
            </w:pPr>
            <w:r w:rsidRPr="00E060E5">
              <w:rPr>
                <w:rFonts w:asciiTheme="minorHAnsi" w:eastAsia="Times New Roman" w:hAnsiTheme="minorHAnsi" w:cstheme="minorHAnsi"/>
                <w:color w:val="000000"/>
                <w:sz w:val="16"/>
                <w:szCs w:val="16"/>
              </w:rPr>
              <w:t>248</w:t>
            </w:r>
          </w:p>
        </w:tc>
        <w:tc>
          <w:tcPr>
            <w:tcW w:w="608" w:type="dxa"/>
            <w:tcBorders>
              <w:top w:val="nil"/>
              <w:left w:val="nil"/>
              <w:bottom w:val="single" w:sz="4" w:space="0" w:color="auto"/>
              <w:right w:val="single" w:sz="4" w:space="0" w:color="auto"/>
            </w:tcBorders>
            <w:shd w:val="clear" w:color="auto" w:fill="auto"/>
            <w:noWrap/>
            <w:vAlign w:val="center"/>
            <w:hideMark/>
          </w:tcPr>
          <w:p w:rsidR="00BA05A3" w:rsidRPr="00E060E5" w:rsidRDefault="00BA05A3" w:rsidP="00DA7A22">
            <w:pPr>
              <w:spacing w:line="240" w:lineRule="auto"/>
              <w:jc w:val="center"/>
              <w:rPr>
                <w:rFonts w:asciiTheme="minorHAnsi" w:eastAsia="Times New Roman" w:hAnsiTheme="minorHAnsi" w:cstheme="minorHAnsi"/>
                <w:color w:val="000000"/>
                <w:sz w:val="16"/>
                <w:szCs w:val="16"/>
              </w:rPr>
            </w:pPr>
            <w:r w:rsidRPr="00E060E5">
              <w:rPr>
                <w:rFonts w:asciiTheme="minorHAnsi" w:eastAsia="Times New Roman" w:hAnsiTheme="minorHAnsi" w:cstheme="minorHAnsi"/>
                <w:color w:val="000000"/>
                <w:sz w:val="16"/>
                <w:szCs w:val="16"/>
              </w:rPr>
              <w:t>322</w:t>
            </w:r>
          </w:p>
        </w:tc>
        <w:tc>
          <w:tcPr>
            <w:tcW w:w="608" w:type="dxa"/>
            <w:tcBorders>
              <w:top w:val="nil"/>
              <w:left w:val="nil"/>
              <w:bottom w:val="single" w:sz="4" w:space="0" w:color="auto"/>
              <w:right w:val="single" w:sz="4" w:space="0" w:color="auto"/>
            </w:tcBorders>
            <w:shd w:val="clear" w:color="auto" w:fill="auto"/>
            <w:noWrap/>
            <w:vAlign w:val="center"/>
            <w:hideMark/>
          </w:tcPr>
          <w:p w:rsidR="00BA05A3" w:rsidRPr="00E060E5" w:rsidRDefault="00BA05A3" w:rsidP="00DA7A22">
            <w:pPr>
              <w:spacing w:line="240" w:lineRule="auto"/>
              <w:jc w:val="center"/>
              <w:rPr>
                <w:rFonts w:asciiTheme="minorHAnsi" w:eastAsia="Times New Roman" w:hAnsiTheme="minorHAnsi" w:cstheme="minorHAnsi"/>
                <w:color w:val="000000"/>
                <w:sz w:val="16"/>
                <w:szCs w:val="16"/>
              </w:rPr>
            </w:pPr>
            <w:r w:rsidRPr="00E060E5">
              <w:rPr>
                <w:rFonts w:asciiTheme="minorHAnsi" w:eastAsia="Times New Roman" w:hAnsiTheme="minorHAnsi" w:cstheme="minorHAnsi"/>
                <w:color w:val="000000"/>
                <w:sz w:val="16"/>
                <w:szCs w:val="16"/>
              </w:rPr>
              <w:t>396</w:t>
            </w:r>
          </w:p>
        </w:tc>
        <w:tc>
          <w:tcPr>
            <w:tcW w:w="611" w:type="dxa"/>
            <w:tcBorders>
              <w:top w:val="nil"/>
              <w:left w:val="nil"/>
              <w:bottom w:val="single" w:sz="4" w:space="0" w:color="auto"/>
              <w:right w:val="single" w:sz="4" w:space="0" w:color="auto"/>
            </w:tcBorders>
            <w:shd w:val="clear" w:color="auto" w:fill="auto"/>
            <w:noWrap/>
            <w:vAlign w:val="center"/>
            <w:hideMark/>
          </w:tcPr>
          <w:p w:rsidR="00BA05A3" w:rsidRPr="00E060E5" w:rsidRDefault="00BA05A3" w:rsidP="00DA7A22">
            <w:pPr>
              <w:spacing w:line="240" w:lineRule="auto"/>
              <w:jc w:val="center"/>
              <w:rPr>
                <w:rFonts w:asciiTheme="minorHAnsi" w:eastAsia="Times New Roman" w:hAnsiTheme="minorHAnsi" w:cstheme="minorHAnsi"/>
                <w:color w:val="000000"/>
                <w:sz w:val="16"/>
                <w:szCs w:val="16"/>
              </w:rPr>
            </w:pPr>
            <w:r w:rsidRPr="00E060E5">
              <w:rPr>
                <w:rFonts w:asciiTheme="minorHAnsi" w:eastAsia="Times New Roman" w:hAnsiTheme="minorHAnsi" w:cstheme="minorHAnsi"/>
                <w:color w:val="000000"/>
                <w:sz w:val="16"/>
                <w:szCs w:val="16"/>
              </w:rPr>
              <w:t>471</w:t>
            </w:r>
          </w:p>
        </w:tc>
      </w:tr>
      <w:tr w:rsidR="00BA05A3" w:rsidRPr="00E060E5" w:rsidTr="00BA05A3">
        <w:trPr>
          <w:trHeight w:val="301"/>
        </w:trPr>
        <w:tc>
          <w:tcPr>
            <w:tcW w:w="3520" w:type="dxa"/>
            <w:tcBorders>
              <w:top w:val="nil"/>
              <w:left w:val="single" w:sz="4" w:space="0" w:color="auto"/>
              <w:bottom w:val="single" w:sz="4" w:space="0" w:color="auto"/>
              <w:right w:val="single" w:sz="4" w:space="0" w:color="auto"/>
            </w:tcBorders>
            <w:shd w:val="clear" w:color="000000" w:fill="BEECF0"/>
            <w:noWrap/>
            <w:vAlign w:val="center"/>
            <w:hideMark/>
          </w:tcPr>
          <w:p w:rsidR="00BA05A3" w:rsidRPr="00E060E5" w:rsidRDefault="00BA05A3" w:rsidP="00DA7A22">
            <w:pPr>
              <w:spacing w:line="240" w:lineRule="auto"/>
              <w:rPr>
                <w:rFonts w:asciiTheme="minorHAnsi" w:eastAsia="Times New Roman" w:hAnsiTheme="minorHAnsi" w:cstheme="minorHAnsi"/>
                <w:color w:val="000000"/>
                <w:sz w:val="16"/>
                <w:szCs w:val="16"/>
              </w:rPr>
            </w:pPr>
            <w:r w:rsidRPr="00E060E5">
              <w:rPr>
                <w:rFonts w:asciiTheme="minorHAnsi" w:eastAsia="Times New Roman" w:hAnsiTheme="minorHAnsi" w:cstheme="minorHAnsi"/>
                <w:color w:val="000000"/>
                <w:sz w:val="16"/>
                <w:szCs w:val="16"/>
              </w:rPr>
              <w:t>Olsztyn</w:t>
            </w:r>
          </w:p>
        </w:tc>
        <w:tc>
          <w:tcPr>
            <w:tcW w:w="734" w:type="dxa"/>
            <w:tcBorders>
              <w:top w:val="nil"/>
              <w:left w:val="nil"/>
              <w:bottom w:val="single" w:sz="4" w:space="0" w:color="auto"/>
              <w:right w:val="single" w:sz="4" w:space="0" w:color="auto"/>
            </w:tcBorders>
            <w:shd w:val="clear" w:color="000000" w:fill="BEECF0"/>
            <w:noWrap/>
            <w:vAlign w:val="center"/>
            <w:hideMark/>
          </w:tcPr>
          <w:p w:rsidR="00BA05A3" w:rsidRPr="00E060E5" w:rsidRDefault="00BA05A3" w:rsidP="00DA7A22">
            <w:pPr>
              <w:spacing w:line="240" w:lineRule="auto"/>
              <w:rPr>
                <w:rFonts w:asciiTheme="minorHAnsi" w:eastAsia="Times New Roman" w:hAnsiTheme="minorHAnsi" w:cstheme="minorHAnsi"/>
                <w:color w:val="000000"/>
                <w:sz w:val="16"/>
                <w:szCs w:val="16"/>
              </w:rPr>
            </w:pPr>
            <w:r w:rsidRPr="00E060E5">
              <w:rPr>
                <w:rFonts w:asciiTheme="minorHAnsi" w:eastAsia="Times New Roman" w:hAnsiTheme="minorHAnsi" w:cstheme="minorHAnsi"/>
                <w:color w:val="000000"/>
                <w:sz w:val="16"/>
                <w:szCs w:val="16"/>
              </w:rPr>
              <w:t>4584,50</w:t>
            </w:r>
          </w:p>
        </w:tc>
        <w:tc>
          <w:tcPr>
            <w:tcW w:w="1369" w:type="dxa"/>
            <w:tcBorders>
              <w:top w:val="nil"/>
              <w:left w:val="nil"/>
              <w:bottom w:val="single" w:sz="4" w:space="0" w:color="auto"/>
              <w:right w:val="single" w:sz="4" w:space="0" w:color="auto"/>
            </w:tcBorders>
            <w:shd w:val="clear" w:color="000000" w:fill="BEECF0"/>
            <w:noWrap/>
            <w:vAlign w:val="center"/>
            <w:hideMark/>
          </w:tcPr>
          <w:p w:rsidR="00BA05A3" w:rsidRPr="00E060E5" w:rsidRDefault="00BA05A3" w:rsidP="00DA7A22">
            <w:pPr>
              <w:spacing w:line="240" w:lineRule="auto"/>
              <w:jc w:val="center"/>
              <w:rPr>
                <w:rFonts w:asciiTheme="minorHAnsi" w:eastAsia="Times New Roman" w:hAnsiTheme="minorHAnsi" w:cstheme="minorHAnsi"/>
                <w:color w:val="000000"/>
                <w:sz w:val="16"/>
                <w:szCs w:val="16"/>
              </w:rPr>
            </w:pPr>
            <w:r w:rsidRPr="00E060E5">
              <w:rPr>
                <w:rFonts w:asciiTheme="minorHAnsi" w:eastAsia="Times New Roman" w:hAnsiTheme="minorHAnsi" w:cstheme="minorHAnsi"/>
                <w:color w:val="000000"/>
                <w:sz w:val="16"/>
                <w:szCs w:val="16"/>
              </w:rPr>
              <w:t>6,88</w:t>
            </w:r>
          </w:p>
        </w:tc>
        <w:tc>
          <w:tcPr>
            <w:tcW w:w="608" w:type="dxa"/>
            <w:tcBorders>
              <w:top w:val="nil"/>
              <w:left w:val="nil"/>
              <w:bottom w:val="single" w:sz="4" w:space="0" w:color="auto"/>
              <w:right w:val="single" w:sz="4" w:space="0" w:color="auto"/>
            </w:tcBorders>
            <w:shd w:val="clear" w:color="000000" w:fill="BEECF0"/>
            <w:noWrap/>
            <w:vAlign w:val="center"/>
            <w:hideMark/>
          </w:tcPr>
          <w:p w:rsidR="00BA05A3" w:rsidRPr="00E060E5" w:rsidRDefault="00BA05A3" w:rsidP="00DA7A22">
            <w:pPr>
              <w:spacing w:line="240" w:lineRule="auto"/>
              <w:jc w:val="center"/>
              <w:rPr>
                <w:rFonts w:asciiTheme="minorHAnsi" w:eastAsia="Times New Roman" w:hAnsiTheme="minorHAnsi" w:cstheme="minorHAnsi"/>
                <w:color w:val="000000"/>
                <w:sz w:val="16"/>
                <w:szCs w:val="16"/>
              </w:rPr>
            </w:pPr>
            <w:r w:rsidRPr="00E060E5">
              <w:rPr>
                <w:rFonts w:asciiTheme="minorHAnsi" w:eastAsia="Times New Roman" w:hAnsiTheme="minorHAnsi" w:cstheme="minorHAnsi"/>
                <w:color w:val="000000"/>
                <w:sz w:val="16"/>
                <w:szCs w:val="16"/>
              </w:rPr>
              <w:t>138</w:t>
            </w:r>
          </w:p>
        </w:tc>
        <w:tc>
          <w:tcPr>
            <w:tcW w:w="608" w:type="dxa"/>
            <w:tcBorders>
              <w:top w:val="nil"/>
              <w:left w:val="nil"/>
              <w:bottom w:val="single" w:sz="4" w:space="0" w:color="auto"/>
              <w:right w:val="single" w:sz="4" w:space="0" w:color="auto"/>
            </w:tcBorders>
            <w:shd w:val="clear" w:color="000000" w:fill="BEECF0"/>
            <w:noWrap/>
            <w:vAlign w:val="center"/>
            <w:hideMark/>
          </w:tcPr>
          <w:p w:rsidR="00BA05A3" w:rsidRPr="00E060E5" w:rsidRDefault="00BA05A3" w:rsidP="00DA7A22">
            <w:pPr>
              <w:spacing w:line="240" w:lineRule="auto"/>
              <w:jc w:val="center"/>
              <w:rPr>
                <w:rFonts w:asciiTheme="minorHAnsi" w:eastAsia="Times New Roman" w:hAnsiTheme="minorHAnsi" w:cstheme="minorHAnsi"/>
                <w:color w:val="000000"/>
                <w:sz w:val="16"/>
                <w:szCs w:val="16"/>
              </w:rPr>
            </w:pPr>
            <w:r w:rsidRPr="00E060E5">
              <w:rPr>
                <w:rFonts w:asciiTheme="minorHAnsi" w:eastAsia="Times New Roman" w:hAnsiTheme="minorHAnsi" w:cstheme="minorHAnsi"/>
                <w:color w:val="000000"/>
                <w:sz w:val="16"/>
                <w:szCs w:val="16"/>
              </w:rPr>
              <w:t>241</w:t>
            </w:r>
          </w:p>
        </w:tc>
        <w:tc>
          <w:tcPr>
            <w:tcW w:w="608" w:type="dxa"/>
            <w:tcBorders>
              <w:top w:val="nil"/>
              <w:left w:val="nil"/>
              <w:bottom w:val="single" w:sz="4" w:space="0" w:color="auto"/>
              <w:right w:val="single" w:sz="4" w:space="0" w:color="auto"/>
            </w:tcBorders>
            <w:shd w:val="clear" w:color="000000" w:fill="BEECF0"/>
            <w:noWrap/>
            <w:vAlign w:val="center"/>
            <w:hideMark/>
          </w:tcPr>
          <w:p w:rsidR="00BA05A3" w:rsidRPr="00E060E5" w:rsidRDefault="00BA05A3" w:rsidP="00DA7A22">
            <w:pPr>
              <w:spacing w:line="240" w:lineRule="auto"/>
              <w:jc w:val="center"/>
              <w:rPr>
                <w:rFonts w:asciiTheme="minorHAnsi" w:eastAsia="Times New Roman" w:hAnsiTheme="minorHAnsi" w:cstheme="minorHAnsi"/>
                <w:color w:val="000000"/>
                <w:sz w:val="16"/>
                <w:szCs w:val="16"/>
              </w:rPr>
            </w:pPr>
            <w:r w:rsidRPr="00E060E5">
              <w:rPr>
                <w:rFonts w:asciiTheme="minorHAnsi" w:eastAsia="Times New Roman" w:hAnsiTheme="minorHAnsi" w:cstheme="minorHAnsi"/>
                <w:color w:val="000000"/>
                <w:sz w:val="16"/>
                <w:szCs w:val="16"/>
              </w:rPr>
              <w:t>344</w:t>
            </w:r>
          </w:p>
        </w:tc>
        <w:tc>
          <w:tcPr>
            <w:tcW w:w="608" w:type="dxa"/>
            <w:tcBorders>
              <w:top w:val="nil"/>
              <w:left w:val="nil"/>
              <w:bottom w:val="single" w:sz="4" w:space="0" w:color="auto"/>
              <w:right w:val="single" w:sz="4" w:space="0" w:color="auto"/>
            </w:tcBorders>
            <w:shd w:val="clear" w:color="000000" w:fill="BEECF0"/>
            <w:noWrap/>
            <w:vAlign w:val="center"/>
            <w:hideMark/>
          </w:tcPr>
          <w:p w:rsidR="00BA05A3" w:rsidRPr="00E060E5" w:rsidRDefault="00BA05A3" w:rsidP="00DA7A22">
            <w:pPr>
              <w:spacing w:line="240" w:lineRule="auto"/>
              <w:jc w:val="center"/>
              <w:rPr>
                <w:rFonts w:asciiTheme="minorHAnsi" w:eastAsia="Times New Roman" w:hAnsiTheme="minorHAnsi" w:cstheme="minorHAnsi"/>
                <w:color w:val="000000"/>
                <w:sz w:val="16"/>
                <w:szCs w:val="16"/>
              </w:rPr>
            </w:pPr>
            <w:r w:rsidRPr="00E060E5">
              <w:rPr>
                <w:rFonts w:asciiTheme="minorHAnsi" w:eastAsia="Times New Roman" w:hAnsiTheme="minorHAnsi" w:cstheme="minorHAnsi"/>
                <w:color w:val="000000"/>
                <w:sz w:val="16"/>
                <w:szCs w:val="16"/>
              </w:rPr>
              <w:t>447</w:t>
            </w:r>
          </w:p>
        </w:tc>
        <w:tc>
          <w:tcPr>
            <w:tcW w:w="608" w:type="dxa"/>
            <w:tcBorders>
              <w:top w:val="nil"/>
              <w:left w:val="nil"/>
              <w:bottom w:val="single" w:sz="4" w:space="0" w:color="auto"/>
              <w:right w:val="single" w:sz="4" w:space="0" w:color="auto"/>
            </w:tcBorders>
            <w:shd w:val="clear" w:color="000000" w:fill="BEECF0"/>
            <w:noWrap/>
            <w:vAlign w:val="center"/>
            <w:hideMark/>
          </w:tcPr>
          <w:p w:rsidR="00BA05A3" w:rsidRPr="00E060E5" w:rsidRDefault="00BA05A3" w:rsidP="00DA7A22">
            <w:pPr>
              <w:spacing w:line="240" w:lineRule="auto"/>
              <w:jc w:val="center"/>
              <w:rPr>
                <w:rFonts w:asciiTheme="minorHAnsi" w:eastAsia="Times New Roman" w:hAnsiTheme="minorHAnsi" w:cstheme="minorHAnsi"/>
                <w:color w:val="000000"/>
                <w:sz w:val="16"/>
                <w:szCs w:val="16"/>
              </w:rPr>
            </w:pPr>
            <w:r w:rsidRPr="00E060E5">
              <w:rPr>
                <w:rFonts w:asciiTheme="minorHAnsi" w:eastAsia="Times New Roman" w:hAnsiTheme="minorHAnsi" w:cstheme="minorHAnsi"/>
                <w:color w:val="000000"/>
                <w:sz w:val="16"/>
                <w:szCs w:val="16"/>
              </w:rPr>
              <w:t>550</w:t>
            </w:r>
          </w:p>
        </w:tc>
        <w:tc>
          <w:tcPr>
            <w:tcW w:w="611" w:type="dxa"/>
            <w:tcBorders>
              <w:top w:val="nil"/>
              <w:left w:val="nil"/>
              <w:bottom w:val="single" w:sz="4" w:space="0" w:color="auto"/>
              <w:right w:val="single" w:sz="4" w:space="0" w:color="auto"/>
            </w:tcBorders>
            <w:shd w:val="clear" w:color="000000" w:fill="BEECF0"/>
            <w:noWrap/>
            <w:vAlign w:val="center"/>
            <w:hideMark/>
          </w:tcPr>
          <w:p w:rsidR="00BA05A3" w:rsidRPr="00E060E5" w:rsidRDefault="00BA05A3" w:rsidP="00DA7A22">
            <w:pPr>
              <w:spacing w:line="240" w:lineRule="auto"/>
              <w:jc w:val="center"/>
              <w:rPr>
                <w:rFonts w:asciiTheme="minorHAnsi" w:eastAsia="Times New Roman" w:hAnsiTheme="minorHAnsi" w:cstheme="minorHAnsi"/>
                <w:color w:val="000000"/>
                <w:sz w:val="16"/>
                <w:szCs w:val="16"/>
              </w:rPr>
            </w:pPr>
            <w:r w:rsidRPr="00E060E5">
              <w:rPr>
                <w:rFonts w:asciiTheme="minorHAnsi" w:eastAsia="Times New Roman" w:hAnsiTheme="minorHAnsi" w:cstheme="minorHAnsi"/>
                <w:color w:val="000000"/>
                <w:sz w:val="16"/>
                <w:szCs w:val="16"/>
              </w:rPr>
              <w:t>653</w:t>
            </w:r>
          </w:p>
        </w:tc>
      </w:tr>
      <w:tr w:rsidR="00BA05A3" w:rsidRPr="00E060E5" w:rsidTr="00BA05A3">
        <w:trPr>
          <w:trHeight w:val="301"/>
        </w:trPr>
        <w:tc>
          <w:tcPr>
            <w:tcW w:w="3520" w:type="dxa"/>
            <w:tcBorders>
              <w:top w:val="nil"/>
              <w:left w:val="single" w:sz="4" w:space="0" w:color="auto"/>
              <w:bottom w:val="single" w:sz="4" w:space="0" w:color="auto"/>
              <w:right w:val="single" w:sz="4" w:space="0" w:color="auto"/>
            </w:tcBorders>
            <w:shd w:val="clear" w:color="auto" w:fill="auto"/>
            <w:noWrap/>
            <w:vAlign w:val="center"/>
            <w:hideMark/>
          </w:tcPr>
          <w:p w:rsidR="00BA05A3" w:rsidRPr="00E060E5" w:rsidRDefault="00BA05A3" w:rsidP="00DA7A22">
            <w:pPr>
              <w:spacing w:line="240" w:lineRule="auto"/>
              <w:rPr>
                <w:rFonts w:asciiTheme="minorHAnsi" w:eastAsia="Times New Roman" w:hAnsiTheme="minorHAnsi" w:cstheme="minorHAnsi"/>
                <w:color w:val="000000"/>
                <w:sz w:val="16"/>
                <w:szCs w:val="16"/>
              </w:rPr>
            </w:pPr>
            <w:r w:rsidRPr="00E060E5">
              <w:rPr>
                <w:rFonts w:asciiTheme="minorHAnsi" w:eastAsia="Times New Roman" w:hAnsiTheme="minorHAnsi" w:cstheme="minorHAnsi"/>
                <w:color w:val="000000"/>
                <w:sz w:val="16"/>
                <w:szCs w:val="16"/>
              </w:rPr>
              <w:t>gminy sąsiadujące</w:t>
            </w:r>
          </w:p>
        </w:tc>
        <w:tc>
          <w:tcPr>
            <w:tcW w:w="734" w:type="dxa"/>
            <w:tcBorders>
              <w:top w:val="nil"/>
              <w:left w:val="nil"/>
              <w:bottom w:val="single" w:sz="4" w:space="0" w:color="auto"/>
              <w:right w:val="single" w:sz="4" w:space="0" w:color="auto"/>
            </w:tcBorders>
            <w:shd w:val="clear" w:color="auto" w:fill="auto"/>
            <w:noWrap/>
            <w:vAlign w:val="center"/>
            <w:hideMark/>
          </w:tcPr>
          <w:p w:rsidR="00BA05A3" w:rsidRPr="00E060E5" w:rsidRDefault="00BA05A3" w:rsidP="00DA7A22">
            <w:pPr>
              <w:spacing w:line="240" w:lineRule="auto"/>
              <w:rPr>
                <w:rFonts w:asciiTheme="minorHAnsi" w:eastAsia="Times New Roman" w:hAnsiTheme="minorHAnsi" w:cstheme="minorHAnsi"/>
                <w:color w:val="000000"/>
                <w:sz w:val="16"/>
                <w:szCs w:val="16"/>
              </w:rPr>
            </w:pPr>
            <w:r w:rsidRPr="00E060E5">
              <w:rPr>
                <w:rFonts w:asciiTheme="minorHAnsi" w:eastAsia="Times New Roman" w:hAnsiTheme="minorHAnsi" w:cstheme="minorHAnsi"/>
                <w:color w:val="000000"/>
                <w:sz w:val="16"/>
                <w:szCs w:val="16"/>
              </w:rPr>
              <w:t>4126,50</w:t>
            </w:r>
          </w:p>
        </w:tc>
        <w:tc>
          <w:tcPr>
            <w:tcW w:w="1369" w:type="dxa"/>
            <w:tcBorders>
              <w:top w:val="nil"/>
              <w:left w:val="nil"/>
              <w:bottom w:val="single" w:sz="4" w:space="0" w:color="auto"/>
              <w:right w:val="single" w:sz="4" w:space="0" w:color="auto"/>
            </w:tcBorders>
            <w:shd w:val="clear" w:color="auto" w:fill="auto"/>
            <w:noWrap/>
            <w:vAlign w:val="center"/>
            <w:hideMark/>
          </w:tcPr>
          <w:p w:rsidR="00BA05A3" w:rsidRPr="00E060E5" w:rsidRDefault="00BA05A3" w:rsidP="00DA7A22">
            <w:pPr>
              <w:spacing w:line="240" w:lineRule="auto"/>
              <w:jc w:val="center"/>
              <w:rPr>
                <w:rFonts w:asciiTheme="minorHAnsi" w:eastAsia="Times New Roman" w:hAnsiTheme="minorHAnsi" w:cstheme="minorHAnsi"/>
                <w:color w:val="000000"/>
                <w:sz w:val="16"/>
                <w:szCs w:val="16"/>
              </w:rPr>
            </w:pPr>
            <w:r w:rsidRPr="00E060E5">
              <w:rPr>
                <w:rFonts w:asciiTheme="minorHAnsi" w:eastAsia="Times New Roman" w:hAnsiTheme="minorHAnsi" w:cstheme="minorHAnsi"/>
                <w:color w:val="000000"/>
                <w:sz w:val="16"/>
                <w:szCs w:val="16"/>
              </w:rPr>
              <w:t>6,19</w:t>
            </w:r>
          </w:p>
        </w:tc>
        <w:tc>
          <w:tcPr>
            <w:tcW w:w="608" w:type="dxa"/>
            <w:tcBorders>
              <w:top w:val="nil"/>
              <w:left w:val="nil"/>
              <w:bottom w:val="single" w:sz="4" w:space="0" w:color="auto"/>
              <w:right w:val="single" w:sz="4" w:space="0" w:color="auto"/>
            </w:tcBorders>
            <w:shd w:val="clear" w:color="auto" w:fill="auto"/>
            <w:noWrap/>
            <w:vAlign w:val="center"/>
            <w:hideMark/>
          </w:tcPr>
          <w:p w:rsidR="00BA05A3" w:rsidRPr="00E060E5" w:rsidRDefault="00BA05A3" w:rsidP="00DA7A22">
            <w:pPr>
              <w:spacing w:line="240" w:lineRule="auto"/>
              <w:jc w:val="center"/>
              <w:rPr>
                <w:rFonts w:asciiTheme="minorHAnsi" w:eastAsia="Times New Roman" w:hAnsiTheme="minorHAnsi" w:cstheme="minorHAnsi"/>
                <w:color w:val="000000"/>
                <w:sz w:val="16"/>
                <w:szCs w:val="16"/>
              </w:rPr>
            </w:pPr>
            <w:r w:rsidRPr="00E060E5">
              <w:rPr>
                <w:rFonts w:asciiTheme="minorHAnsi" w:eastAsia="Times New Roman" w:hAnsiTheme="minorHAnsi" w:cstheme="minorHAnsi"/>
                <w:color w:val="000000"/>
                <w:sz w:val="16"/>
                <w:szCs w:val="16"/>
              </w:rPr>
              <w:t>124</w:t>
            </w:r>
          </w:p>
        </w:tc>
        <w:tc>
          <w:tcPr>
            <w:tcW w:w="608" w:type="dxa"/>
            <w:tcBorders>
              <w:top w:val="nil"/>
              <w:left w:val="nil"/>
              <w:bottom w:val="single" w:sz="4" w:space="0" w:color="auto"/>
              <w:right w:val="single" w:sz="4" w:space="0" w:color="auto"/>
            </w:tcBorders>
            <w:shd w:val="clear" w:color="auto" w:fill="auto"/>
            <w:noWrap/>
            <w:vAlign w:val="center"/>
            <w:hideMark/>
          </w:tcPr>
          <w:p w:rsidR="00BA05A3" w:rsidRPr="00E060E5" w:rsidRDefault="00BA05A3" w:rsidP="00DA7A22">
            <w:pPr>
              <w:spacing w:line="240" w:lineRule="auto"/>
              <w:jc w:val="center"/>
              <w:rPr>
                <w:rFonts w:asciiTheme="minorHAnsi" w:eastAsia="Times New Roman" w:hAnsiTheme="minorHAnsi" w:cstheme="minorHAnsi"/>
                <w:color w:val="000000"/>
                <w:sz w:val="16"/>
                <w:szCs w:val="16"/>
              </w:rPr>
            </w:pPr>
            <w:r w:rsidRPr="00E060E5">
              <w:rPr>
                <w:rFonts w:asciiTheme="minorHAnsi" w:eastAsia="Times New Roman" w:hAnsiTheme="minorHAnsi" w:cstheme="minorHAnsi"/>
                <w:color w:val="000000"/>
                <w:sz w:val="16"/>
                <w:szCs w:val="16"/>
              </w:rPr>
              <w:t>217</w:t>
            </w:r>
          </w:p>
        </w:tc>
        <w:tc>
          <w:tcPr>
            <w:tcW w:w="608" w:type="dxa"/>
            <w:tcBorders>
              <w:top w:val="nil"/>
              <w:left w:val="nil"/>
              <w:bottom w:val="single" w:sz="4" w:space="0" w:color="auto"/>
              <w:right w:val="single" w:sz="4" w:space="0" w:color="auto"/>
            </w:tcBorders>
            <w:shd w:val="clear" w:color="auto" w:fill="auto"/>
            <w:noWrap/>
            <w:vAlign w:val="center"/>
            <w:hideMark/>
          </w:tcPr>
          <w:p w:rsidR="00BA05A3" w:rsidRPr="00E060E5" w:rsidRDefault="00BA05A3" w:rsidP="00DA7A22">
            <w:pPr>
              <w:spacing w:line="240" w:lineRule="auto"/>
              <w:jc w:val="center"/>
              <w:rPr>
                <w:rFonts w:asciiTheme="minorHAnsi" w:eastAsia="Times New Roman" w:hAnsiTheme="minorHAnsi" w:cstheme="minorHAnsi"/>
                <w:color w:val="000000"/>
                <w:sz w:val="16"/>
                <w:szCs w:val="16"/>
              </w:rPr>
            </w:pPr>
            <w:r w:rsidRPr="00E060E5">
              <w:rPr>
                <w:rFonts w:asciiTheme="minorHAnsi" w:eastAsia="Times New Roman" w:hAnsiTheme="minorHAnsi" w:cstheme="minorHAnsi"/>
                <w:color w:val="000000"/>
                <w:sz w:val="16"/>
                <w:szCs w:val="16"/>
              </w:rPr>
              <w:t>309</w:t>
            </w:r>
          </w:p>
        </w:tc>
        <w:tc>
          <w:tcPr>
            <w:tcW w:w="608" w:type="dxa"/>
            <w:tcBorders>
              <w:top w:val="nil"/>
              <w:left w:val="nil"/>
              <w:bottom w:val="single" w:sz="4" w:space="0" w:color="auto"/>
              <w:right w:val="single" w:sz="4" w:space="0" w:color="auto"/>
            </w:tcBorders>
            <w:shd w:val="clear" w:color="auto" w:fill="auto"/>
            <w:noWrap/>
            <w:vAlign w:val="center"/>
            <w:hideMark/>
          </w:tcPr>
          <w:p w:rsidR="00BA05A3" w:rsidRPr="00E060E5" w:rsidRDefault="00BA05A3" w:rsidP="00DA7A22">
            <w:pPr>
              <w:spacing w:line="240" w:lineRule="auto"/>
              <w:jc w:val="center"/>
              <w:rPr>
                <w:rFonts w:asciiTheme="minorHAnsi" w:eastAsia="Times New Roman" w:hAnsiTheme="minorHAnsi" w:cstheme="minorHAnsi"/>
                <w:color w:val="000000"/>
                <w:sz w:val="16"/>
                <w:szCs w:val="16"/>
              </w:rPr>
            </w:pPr>
            <w:r w:rsidRPr="00E060E5">
              <w:rPr>
                <w:rFonts w:asciiTheme="minorHAnsi" w:eastAsia="Times New Roman" w:hAnsiTheme="minorHAnsi" w:cstheme="minorHAnsi"/>
                <w:color w:val="000000"/>
                <w:sz w:val="16"/>
                <w:szCs w:val="16"/>
              </w:rPr>
              <w:t>402</w:t>
            </w:r>
          </w:p>
        </w:tc>
        <w:tc>
          <w:tcPr>
            <w:tcW w:w="608" w:type="dxa"/>
            <w:tcBorders>
              <w:top w:val="nil"/>
              <w:left w:val="nil"/>
              <w:bottom w:val="single" w:sz="4" w:space="0" w:color="auto"/>
              <w:right w:val="single" w:sz="4" w:space="0" w:color="auto"/>
            </w:tcBorders>
            <w:shd w:val="clear" w:color="auto" w:fill="auto"/>
            <w:noWrap/>
            <w:vAlign w:val="center"/>
            <w:hideMark/>
          </w:tcPr>
          <w:p w:rsidR="00BA05A3" w:rsidRPr="00E060E5" w:rsidRDefault="00BA05A3" w:rsidP="00DA7A22">
            <w:pPr>
              <w:spacing w:line="240" w:lineRule="auto"/>
              <w:jc w:val="center"/>
              <w:rPr>
                <w:rFonts w:asciiTheme="minorHAnsi" w:eastAsia="Times New Roman" w:hAnsiTheme="minorHAnsi" w:cstheme="minorHAnsi"/>
                <w:color w:val="000000"/>
                <w:sz w:val="16"/>
                <w:szCs w:val="16"/>
              </w:rPr>
            </w:pPr>
            <w:r w:rsidRPr="00E060E5">
              <w:rPr>
                <w:rFonts w:asciiTheme="minorHAnsi" w:eastAsia="Times New Roman" w:hAnsiTheme="minorHAnsi" w:cstheme="minorHAnsi"/>
                <w:color w:val="000000"/>
                <w:sz w:val="16"/>
                <w:szCs w:val="16"/>
              </w:rPr>
              <w:t>495</w:t>
            </w:r>
          </w:p>
        </w:tc>
        <w:tc>
          <w:tcPr>
            <w:tcW w:w="611" w:type="dxa"/>
            <w:tcBorders>
              <w:top w:val="nil"/>
              <w:left w:val="nil"/>
              <w:bottom w:val="single" w:sz="4" w:space="0" w:color="auto"/>
              <w:right w:val="single" w:sz="4" w:space="0" w:color="auto"/>
            </w:tcBorders>
            <w:shd w:val="clear" w:color="auto" w:fill="auto"/>
            <w:noWrap/>
            <w:vAlign w:val="center"/>
            <w:hideMark/>
          </w:tcPr>
          <w:p w:rsidR="00BA05A3" w:rsidRPr="00E060E5" w:rsidRDefault="00BA05A3" w:rsidP="00DA7A22">
            <w:pPr>
              <w:spacing w:line="240" w:lineRule="auto"/>
              <w:jc w:val="center"/>
              <w:rPr>
                <w:rFonts w:asciiTheme="minorHAnsi" w:eastAsia="Times New Roman" w:hAnsiTheme="minorHAnsi" w:cstheme="minorHAnsi"/>
                <w:color w:val="000000"/>
                <w:sz w:val="16"/>
                <w:szCs w:val="16"/>
              </w:rPr>
            </w:pPr>
            <w:r w:rsidRPr="00E060E5">
              <w:rPr>
                <w:rFonts w:asciiTheme="minorHAnsi" w:eastAsia="Times New Roman" w:hAnsiTheme="minorHAnsi" w:cstheme="minorHAnsi"/>
                <w:color w:val="000000"/>
                <w:sz w:val="16"/>
                <w:szCs w:val="16"/>
              </w:rPr>
              <w:t>588</w:t>
            </w:r>
          </w:p>
        </w:tc>
      </w:tr>
      <w:tr w:rsidR="00BA05A3" w:rsidRPr="00E060E5" w:rsidTr="00BA05A3">
        <w:trPr>
          <w:trHeight w:val="301"/>
        </w:trPr>
        <w:tc>
          <w:tcPr>
            <w:tcW w:w="3520" w:type="dxa"/>
            <w:tcBorders>
              <w:top w:val="nil"/>
              <w:left w:val="single" w:sz="4" w:space="0" w:color="auto"/>
              <w:bottom w:val="single" w:sz="4" w:space="0" w:color="auto"/>
              <w:right w:val="single" w:sz="4" w:space="0" w:color="auto"/>
            </w:tcBorders>
            <w:shd w:val="clear" w:color="000000" w:fill="BEECF0"/>
            <w:noWrap/>
            <w:vAlign w:val="center"/>
            <w:hideMark/>
          </w:tcPr>
          <w:p w:rsidR="00BA05A3" w:rsidRPr="00E060E5" w:rsidRDefault="00BA05A3" w:rsidP="00DA7A22">
            <w:pPr>
              <w:spacing w:line="240" w:lineRule="auto"/>
              <w:rPr>
                <w:rFonts w:asciiTheme="minorHAnsi" w:eastAsia="Times New Roman" w:hAnsiTheme="minorHAnsi" w:cstheme="minorHAnsi"/>
                <w:color w:val="000000"/>
                <w:sz w:val="16"/>
                <w:szCs w:val="16"/>
              </w:rPr>
            </w:pPr>
            <w:r w:rsidRPr="00E060E5">
              <w:rPr>
                <w:rFonts w:asciiTheme="minorHAnsi" w:eastAsia="Times New Roman" w:hAnsiTheme="minorHAnsi" w:cstheme="minorHAnsi"/>
                <w:color w:val="000000"/>
                <w:sz w:val="16"/>
                <w:szCs w:val="16"/>
              </w:rPr>
              <w:t>województwo warmińsko-mazurskie</w:t>
            </w:r>
          </w:p>
        </w:tc>
        <w:tc>
          <w:tcPr>
            <w:tcW w:w="734" w:type="dxa"/>
            <w:tcBorders>
              <w:top w:val="nil"/>
              <w:left w:val="nil"/>
              <w:bottom w:val="single" w:sz="4" w:space="0" w:color="auto"/>
              <w:right w:val="single" w:sz="4" w:space="0" w:color="auto"/>
            </w:tcBorders>
            <w:shd w:val="clear" w:color="000000" w:fill="BEECF0"/>
            <w:noWrap/>
            <w:vAlign w:val="center"/>
            <w:hideMark/>
          </w:tcPr>
          <w:p w:rsidR="00BA05A3" w:rsidRPr="00E060E5" w:rsidRDefault="00BA05A3" w:rsidP="00DA7A22">
            <w:pPr>
              <w:spacing w:line="240" w:lineRule="auto"/>
              <w:rPr>
                <w:rFonts w:asciiTheme="minorHAnsi" w:eastAsia="Times New Roman" w:hAnsiTheme="minorHAnsi" w:cstheme="minorHAnsi"/>
                <w:color w:val="000000"/>
                <w:sz w:val="16"/>
                <w:szCs w:val="16"/>
              </w:rPr>
            </w:pPr>
            <w:r w:rsidRPr="00E060E5">
              <w:rPr>
                <w:rFonts w:asciiTheme="minorHAnsi" w:eastAsia="Times New Roman" w:hAnsiTheme="minorHAnsi" w:cstheme="minorHAnsi"/>
                <w:color w:val="000000"/>
                <w:sz w:val="16"/>
                <w:szCs w:val="16"/>
              </w:rPr>
              <w:t>3668,50</w:t>
            </w:r>
          </w:p>
        </w:tc>
        <w:tc>
          <w:tcPr>
            <w:tcW w:w="1369" w:type="dxa"/>
            <w:tcBorders>
              <w:top w:val="nil"/>
              <w:left w:val="nil"/>
              <w:bottom w:val="single" w:sz="4" w:space="0" w:color="auto"/>
              <w:right w:val="single" w:sz="4" w:space="0" w:color="auto"/>
            </w:tcBorders>
            <w:shd w:val="clear" w:color="000000" w:fill="BEECF0"/>
            <w:noWrap/>
            <w:vAlign w:val="center"/>
            <w:hideMark/>
          </w:tcPr>
          <w:p w:rsidR="00BA05A3" w:rsidRPr="00E060E5" w:rsidRDefault="00BA05A3" w:rsidP="00DA7A22">
            <w:pPr>
              <w:spacing w:line="240" w:lineRule="auto"/>
              <w:jc w:val="center"/>
              <w:rPr>
                <w:rFonts w:asciiTheme="minorHAnsi" w:eastAsia="Times New Roman" w:hAnsiTheme="minorHAnsi" w:cstheme="minorHAnsi"/>
                <w:color w:val="000000"/>
                <w:sz w:val="16"/>
                <w:szCs w:val="16"/>
              </w:rPr>
            </w:pPr>
            <w:r w:rsidRPr="00E060E5">
              <w:rPr>
                <w:rFonts w:asciiTheme="minorHAnsi" w:eastAsia="Times New Roman" w:hAnsiTheme="minorHAnsi" w:cstheme="minorHAnsi"/>
                <w:color w:val="000000"/>
                <w:sz w:val="16"/>
                <w:szCs w:val="16"/>
              </w:rPr>
              <w:t>5,50</w:t>
            </w:r>
          </w:p>
        </w:tc>
        <w:tc>
          <w:tcPr>
            <w:tcW w:w="608" w:type="dxa"/>
            <w:tcBorders>
              <w:top w:val="nil"/>
              <w:left w:val="nil"/>
              <w:bottom w:val="single" w:sz="4" w:space="0" w:color="auto"/>
              <w:right w:val="single" w:sz="4" w:space="0" w:color="auto"/>
            </w:tcBorders>
            <w:shd w:val="clear" w:color="000000" w:fill="BEECF0"/>
            <w:noWrap/>
            <w:vAlign w:val="center"/>
            <w:hideMark/>
          </w:tcPr>
          <w:p w:rsidR="00BA05A3" w:rsidRPr="00E060E5" w:rsidRDefault="00BA05A3" w:rsidP="00DA7A22">
            <w:pPr>
              <w:spacing w:line="240" w:lineRule="auto"/>
              <w:jc w:val="center"/>
              <w:rPr>
                <w:rFonts w:asciiTheme="minorHAnsi" w:eastAsia="Times New Roman" w:hAnsiTheme="minorHAnsi" w:cstheme="minorHAnsi"/>
                <w:color w:val="000000"/>
                <w:sz w:val="16"/>
                <w:szCs w:val="16"/>
              </w:rPr>
            </w:pPr>
            <w:r w:rsidRPr="00E060E5">
              <w:rPr>
                <w:rFonts w:asciiTheme="minorHAnsi" w:eastAsia="Times New Roman" w:hAnsiTheme="minorHAnsi" w:cstheme="minorHAnsi"/>
                <w:color w:val="000000"/>
                <w:sz w:val="16"/>
                <w:szCs w:val="16"/>
              </w:rPr>
              <w:t>110</w:t>
            </w:r>
          </w:p>
        </w:tc>
        <w:tc>
          <w:tcPr>
            <w:tcW w:w="608" w:type="dxa"/>
            <w:tcBorders>
              <w:top w:val="nil"/>
              <w:left w:val="nil"/>
              <w:bottom w:val="single" w:sz="4" w:space="0" w:color="auto"/>
              <w:right w:val="single" w:sz="4" w:space="0" w:color="auto"/>
            </w:tcBorders>
            <w:shd w:val="clear" w:color="000000" w:fill="BEECF0"/>
            <w:noWrap/>
            <w:vAlign w:val="center"/>
            <w:hideMark/>
          </w:tcPr>
          <w:p w:rsidR="00BA05A3" w:rsidRPr="00E060E5" w:rsidRDefault="00BA05A3" w:rsidP="00DA7A22">
            <w:pPr>
              <w:spacing w:line="240" w:lineRule="auto"/>
              <w:jc w:val="center"/>
              <w:rPr>
                <w:rFonts w:asciiTheme="minorHAnsi" w:eastAsia="Times New Roman" w:hAnsiTheme="minorHAnsi" w:cstheme="minorHAnsi"/>
                <w:color w:val="000000"/>
                <w:sz w:val="16"/>
                <w:szCs w:val="16"/>
              </w:rPr>
            </w:pPr>
            <w:r w:rsidRPr="00E060E5">
              <w:rPr>
                <w:rFonts w:asciiTheme="minorHAnsi" w:eastAsia="Times New Roman" w:hAnsiTheme="minorHAnsi" w:cstheme="minorHAnsi"/>
                <w:color w:val="000000"/>
                <w:sz w:val="16"/>
                <w:szCs w:val="16"/>
              </w:rPr>
              <w:t>193</w:t>
            </w:r>
          </w:p>
        </w:tc>
        <w:tc>
          <w:tcPr>
            <w:tcW w:w="608" w:type="dxa"/>
            <w:tcBorders>
              <w:top w:val="nil"/>
              <w:left w:val="nil"/>
              <w:bottom w:val="single" w:sz="4" w:space="0" w:color="auto"/>
              <w:right w:val="single" w:sz="4" w:space="0" w:color="auto"/>
            </w:tcBorders>
            <w:shd w:val="clear" w:color="000000" w:fill="BEECF0"/>
            <w:noWrap/>
            <w:vAlign w:val="center"/>
            <w:hideMark/>
          </w:tcPr>
          <w:p w:rsidR="00BA05A3" w:rsidRPr="00E060E5" w:rsidRDefault="00BA05A3" w:rsidP="00DA7A22">
            <w:pPr>
              <w:spacing w:line="240" w:lineRule="auto"/>
              <w:jc w:val="center"/>
              <w:rPr>
                <w:rFonts w:asciiTheme="minorHAnsi" w:eastAsia="Times New Roman" w:hAnsiTheme="minorHAnsi" w:cstheme="minorHAnsi"/>
                <w:color w:val="000000"/>
                <w:sz w:val="16"/>
                <w:szCs w:val="16"/>
              </w:rPr>
            </w:pPr>
            <w:r w:rsidRPr="00E060E5">
              <w:rPr>
                <w:rFonts w:asciiTheme="minorHAnsi" w:eastAsia="Times New Roman" w:hAnsiTheme="minorHAnsi" w:cstheme="minorHAnsi"/>
                <w:color w:val="000000"/>
                <w:sz w:val="16"/>
                <w:szCs w:val="16"/>
              </w:rPr>
              <w:t>275</w:t>
            </w:r>
          </w:p>
        </w:tc>
        <w:tc>
          <w:tcPr>
            <w:tcW w:w="608" w:type="dxa"/>
            <w:tcBorders>
              <w:top w:val="nil"/>
              <w:left w:val="nil"/>
              <w:bottom w:val="single" w:sz="4" w:space="0" w:color="auto"/>
              <w:right w:val="single" w:sz="4" w:space="0" w:color="auto"/>
            </w:tcBorders>
            <w:shd w:val="clear" w:color="000000" w:fill="BEECF0"/>
            <w:noWrap/>
            <w:vAlign w:val="center"/>
            <w:hideMark/>
          </w:tcPr>
          <w:p w:rsidR="00BA05A3" w:rsidRPr="00E060E5" w:rsidRDefault="00BA05A3" w:rsidP="00DA7A22">
            <w:pPr>
              <w:spacing w:line="240" w:lineRule="auto"/>
              <w:jc w:val="center"/>
              <w:rPr>
                <w:rFonts w:asciiTheme="minorHAnsi" w:eastAsia="Times New Roman" w:hAnsiTheme="minorHAnsi" w:cstheme="minorHAnsi"/>
                <w:color w:val="000000"/>
                <w:sz w:val="16"/>
                <w:szCs w:val="16"/>
              </w:rPr>
            </w:pPr>
            <w:r w:rsidRPr="00E060E5">
              <w:rPr>
                <w:rFonts w:asciiTheme="minorHAnsi" w:eastAsia="Times New Roman" w:hAnsiTheme="minorHAnsi" w:cstheme="minorHAnsi"/>
                <w:color w:val="000000"/>
                <w:sz w:val="16"/>
                <w:szCs w:val="16"/>
              </w:rPr>
              <w:t>358</w:t>
            </w:r>
          </w:p>
        </w:tc>
        <w:tc>
          <w:tcPr>
            <w:tcW w:w="608" w:type="dxa"/>
            <w:tcBorders>
              <w:top w:val="nil"/>
              <w:left w:val="nil"/>
              <w:bottom w:val="single" w:sz="4" w:space="0" w:color="auto"/>
              <w:right w:val="single" w:sz="4" w:space="0" w:color="auto"/>
            </w:tcBorders>
            <w:shd w:val="clear" w:color="000000" w:fill="BEECF0"/>
            <w:noWrap/>
            <w:vAlign w:val="center"/>
            <w:hideMark/>
          </w:tcPr>
          <w:p w:rsidR="00BA05A3" w:rsidRPr="00E060E5" w:rsidRDefault="00BA05A3" w:rsidP="00DA7A22">
            <w:pPr>
              <w:spacing w:line="240" w:lineRule="auto"/>
              <w:jc w:val="center"/>
              <w:rPr>
                <w:rFonts w:asciiTheme="minorHAnsi" w:eastAsia="Times New Roman" w:hAnsiTheme="minorHAnsi" w:cstheme="minorHAnsi"/>
                <w:color w:val="000000"/>
                <w:sz w:val="16"/>
                <w:szCs w:val="16"/>
              </w:rPr>
            </w:pPr>
            <w:r w:rsidRPr="00E060E5">
              <w:rPr>
                <w:rFonts w:asciiTheme="minorHAnsi" w:eastAsia="Times New Roman" w:hAnsiTheme="minorHAnsi" w:cstheme="minorHAnsi"/>
                <w:color w:val="000000"/>
                <w:sz w:val="16"/>
                <w:szCs w:val="16"/>
              </w:rPr>
              <w:t>440</w:t>
            </w:r>
          </w:p>
        </w:tc>
        <w:tc>
          <w:tcPr>
            <w:tcW w:w="611" w:type="dxa"/>
            <w:tcBorders>
              <w:top w:val="nil"/>
              <w:left w:val="nil"/>
              <w:bottom w:val="single" w:sz="4" w:space="0" w:color="auto"/>
              <w:right w:val="single" w:sz="4" w:space="0" w:color="auto"/>
            </w:tcBorders>
            <w:shd w:val="clear" w:color="000000" w:fill="BEECF0"/>
            <w:noWrap/>
            <w:vAlign w:val="center"/>
            <w:hideMark/>
          </w:tcPr>
          <w:p w:rsidR="00BA05A3" w:rsidRPr="00E060E5" w:rsidRDefault="00BA05A3" w:rsidP="00DA7A22">
            <w:pPr>
              <w:spacing w:line="240" w:lineRule="auto"/>
              <w:jc w:val="center"/>
              <w:rPr>
                <w:rFonts w:asciiTheme="minorHAnsi" w:eastAsia="Times New Roman" w:hAnsiTheme="minorHAnsi" w:cstheme="minorHAnsi"/>
                <w:color w:val="000000"/>
                <w:sz w:val="16"/>
                <w:szCs w:val="16"/>
              </w:rPr>
            </w:pPr>
            <w:r w:rsidRPr="00E060E5">
              <w:rPr>
                <w:rFonts w:asciiTheme="minorHAnsi" w:eastAsia="Times New Roman" w:hAnsiTheme="minorHAnsi" w:cstheme="minorHAnsi"/>
                <w:color w:val="000000"/>
                <w:sz w:val="16"/>
                <w:szCs w:val="16"/>
              </w:rPr>
              <w:t>523</w:t>
            </w:r>
          </w:p>
        </w:tc>
      </w:tr>
      <w:tr w:rsidR="00BA05A3" w:rsidRPr="00E060E5" w:rsidTr="00BA05A3">
        <w:trPr>
          <w:trHeight w:val="301"/>
        </w:trPr>
        <w:tc>
          <w:tcPr>
            <w:tcW w:w="3520" w:type="dxa"/>
            <w:tcBorders>
              <w:top w:val="nil"/>
              <w:left w:val="single" w:sz="4" w:space="0" w:color="auto"/>
              <w:bottom w:val="single" w:sz="4" w:space="0" w:color="auto"/>
              <w:right w:val="single" w:sz="4" w:space="0" w:color="auto"/>
            </w:tcBorders>
            <w:shd w:val="clear" w:color="auto" w:fill="auto"/>
            <w:noWrap/>
            <w:vAlign w:val="center"/>
            <w:hideMark/>
          </w:tcPr>
          <w:p w:rsidR="00BA05A3" w:rsidRPr="00E060E5" w:rsidRDefault="00BA05A3" w:rsidP="00DA7A22">
            <w:pPr>
              <w:spacing w:line="240" w:lineRule="auto"/>
              <w:rPr>
                <w:rFonts w:asciiTheme="minorHAnsi" w:eastAsia="Times New Roman" w:hAnsiTheme="minorHAnsi" w:cstheme="minorHAnsi"/>
                <w:color w:val="000000"/>
                <w:sz w:val="16"/>
                <w:szCs w:val="16"/>
              </w:rPr>
            </w:pPr>
            <w:r w:rsidRPr="00E060E5">
              <w:rPr>
                <w:rFonts w:asciiTheme="minorHAnsi" w:eastAsia="Times New Roman" w:hAnsiTheme="minorHAnsi" w:cstheme="minorHAnsi"/>
                <w:color w:val="000000"/>
                <w:sz w:val="16"/>
                <w:szCs w:val="16"/>
              </w:rPr>
              <w:t>Poznań</w:t>
            </w:r>
          </w:p>
        </w:tc>
        <w:tc>
          <w:tcPr>
            <w:tcW w:w="734" w:type="dxa"/>
            <w:tcBorders>
              <w:top w:val="nil"/>
              <w:left w:val="nil"/>
              <w:bottom w:val="single" w:sz="4" w:space="0" w:color="auto"/>
              <w:right w:val="single" w:sz="4" w:space="0" w:color="auto"/>
            </w:tcBorders>
            <w:shd w:val="clear" w:color="auto" w:fill="auto"/>
            <w:noWrap/>
            <w:vAlign w:val="center"/>
            <w:hideMark/>
          </w:tcPr>
          <w:p w:rsidR="00BA05A3" w:rsidRPr="00E060E5" w:rsidRDefault="00BA05A3" w:rsidP="00DA7A22">
            <w:pPr>
              <w:spacing w:line="240" w:lineRule="auto"/>
              <w:rPr>
                <w:rFonts w:asciiTheme="minorHAnsi" w:eastAsia="Times New Roman" w:hAnsiTheme="minorHAnsi" w:cstheme="minorHAnsi"/>
                <w:color w:val="000000"/>
                <w:sz w:val="16"/>
                <w:szCs w:val="16"/>
              </w:rPr>
            </w:pPr>
            <w:r w:rsidRPr="00E060E5">
              <w:rPr>
                <w:rFonts w:asciiTheme="minorHAnsi" w:eastAsia="Times New Roman" w:hAnsiTheme="minorHAnsi" w:cstheme="minorHAnsi"/>
                <w:color w:val="000000"/>
                <w:sz w:val="16"/>
                <w:szCs w:val="16"/>
              </w:rPr>
              <w:t>5293,25</w:t>
            </w:r>
          </w:p>
        </w:tc>
        <w:tc>
          <w:tcPr>
            <w:tcW w:w="1369" w:type="dxa"/>
            <w:tcBorders>
              <w:top w:val="nil"/>
              <w:left w:val="nil"/>
              <w:bottom w:val="single" w:sz="4" w:space="0" w:color="auto"/>
              <w:right w:val="single" w:sz="4" w:space="0" w:color="auto"/>
            </w:tcBorders>
            <w:shd w:val="clear" w:color="auto" w:fill="auto"/>
            <w:noWrap/>
            <w:vAlign w:val="center"/>
            <w:hideMark/>
          </w:tcPr>
          <w:p w:rsidR="00BA05A3" w:rsidRPr="00E060E5" w:rsidRDefault="00BA05A3" w:rsidP="00DA7A22">
            <w:pPr>
              <w:spacing w:line="240" w:lineRule="auto"/>
              <w:jc w:val="center"/>
              <w:rPr>
                <w:rFonts w:asciiTheme="minorHAnsi" w:eastAsia="Times New Roman" w:hAnsiTheme="minorHAnsi" w:cstheme="minorHAnsi"/>
                <w:color w:val="000000"/>
                <w:sz w:val="16"/>
                <w:szCs w:val="16"/>
              </w:rPr>
            </w:pPr>
            <w:r w:rsidRPr="00E060E5">
              <w:rPr>
                <w:rFonts w:asciiTheme="minorHAnsi" w:eastAsia="Times New Roman" w:hAnsiTheme="minorHAnsi" w:cstheme="minorHAnsi"/>
                <w:color w:val="000000"/>
                <w:sz w:val="16"/>
                <w:szCs w:val="16"/>
              </w:rPr>
              <w:t>7,94</w:t>
            </w:r>
          </w:p>
        </w:tc>
        <w:tc>
          <w:tcPr>
            <w:tcW w:w="608" w:type="dxa"/>
            <w:tcBorders>
              <w:top w:val="nil"/>
              <w:left w:val="nil"/>
              <w:bottom w:val="single" w:sz="4" w:space="0" w:color="auto"/>
              <w:right w:val="single" w:sz="4" w:space="0" w:color="auto"/>
            </w:tcBorders>
            <w:shd w:val="clear" w:color="auto" w:fill="auto"/>
            <w:noWrap/>
            <w:vAlign w:val="center"/>
            <w:hideMark/>
          </w:tcPr>
          <w:p w:rsidR="00BA05A3" w:rsidRPr="00E060E5" w:rsidRDefault="00BA05A3" w:rsidP="00DA7A22">
            <w:pPr>
              <w:spacing w:line="240" w:lineRule="auto"/>
              <w:jc w:val="center"/>
              <w:rPr>
                <w:rFonts w:asciiTheme="minorHAnsi" w:eastAsia="Times New Roman" w:hAnsiTheme="minorHAnsi" w:cstheme="minorHAnsi"/>
                <w:color w:val="000000"/>
                <w:sz w:val="16"/>
                <w:szCs w:val="16"/>
              </w:rPr>
            </w:pPr>
            <w:r w:rsidRPr="00E060E5">
              <w:rPr>
                <w:rFonts w:asciiTheme="minorHAnsi" w:eastAsia="Times New Roman" w:hAnsiTheme="minorHAnsi" w:cstheme="minorHAnsi"/>
                <w:color w:val="000000"/>
                <w:sz w:val="16"/>
                <w:szCs w:val="16"/>
              </w:rPr>
              <w:t>159</w:t>
            </w:r>
          </w:p>
        </w:tc>
        <w:tc>
          <w:tcPr>
            <w:tcW w:w="608" w:type="dxa"/>
            <w:tcBorders>
              <w:top w:val="nil"/>
              <w:left w:val="nil"/>
              <w:bottom w:val="single" w:sz="4" w:space="0" w:color="auto"/>
              <w:right w:val="single" w:sz="4" w:space="0" w:color="auto"/>
            </w:tcBorders>
            <w:shd w:val="clear" w:color="auto" w:fill="auto"/>
            <w:noWrap/>
            <w:vAlign w:val="center"/>
            <w:hideMark/>
          </w:tcPr>
          <w:p w:rsidR="00BA05A3" w:rsidRPr="00E060E5" w:rsidRDefault="00BA05A3" w:rsidP="00DA7A22">
            <w:pPr>
              <w:spacing w:line="240" w:lineRule="auto"/>
              <w:jc w:val="center"/>
              <w:rPr>
                <w:rFonts w:asciiTheme="minorHAnsi" w:eastAsia="Times New Roman" w:hAnsiTheme="minorHAnsi" w:cstheme="minorHAnsi"/>
                <w:color w:val="000000"/>
                <w:sz w:val="16"/>
                <w:szCs w:val="16"/>
              </w:rPr>
            </w:pPr>
            <w:r w:rsidRPr="00E060E5">
              <w:rPr>
                <w:rFonts w:asciiTheme="minorHAnsi" w:eastAsia="Times New Roman" w:hAnsiTheme="minorHAnsi" w:cstheme="minorHAnsi"/>
                <w:color w:val="000000"/>
                <w:sz w:val="16"/>
                <w:szCs w:val="16"/>
              </w:rPr>
              <w:t>278</w:t>
            </w:r>
          </w:p>
        </w:tc>
        <w:tc>
          <w:tcPr>
            <w:tcW w:w="608" w:type="dxa"/>
            <w:tcBorders>
              <w:top w:val="nil"/>
              <w:left w:val="nil"/>
              <w:bottom w:val="single" w:sz="4" w:space="0" w:color="auto"/>
              <w:right w:val="single" w:sz="4" w:space="0" w:color="auto"/>
            </w:tcBorders>
            <w:shd w:val="clear" w:color="auto" w:fill="auto"/>
            <w:noWrap/>
            <w:vAlign w:val="center"/>
            <w:hideMark/>
          </w:tcPr>
          <w:p w:rsidR="00BA05A3" w:rsidRPr="00E060E5" w:rsidRDefault="00BA05A3" w:rsidP="00DA7A22">
            <w:pPr>
              <w:spacing w:line="240" w:lineRule="auto"/>
              <w:jc w:val="center"/>
              <w:rPr>
                <w:rFonts w:asciiTheme="minorHAnsi" w:eastAsia="Times New Roman" w:hAnsiTheme="minorHAnsi" w:cstheme="minorHAnsi"/>
                <w:color w:val="000000"/>
                <w:sz w:val="16"/>
                <w:szCs w:val="16"/>
              </w:rPr>
            </w:pPr>
            <w:r w:rsidRPr="00E060E5">
              <w:rPr>
                <w:rFonts w:asciiTheme="minorHAnsi" w:eastAsia="Times New Roman" w:hAnsiTheme="minorHAnsi" w:cstheme="minorHAnsi"/>
                <w:color w:val="000000"/>
                <w:sz w:val="16"/>
                <w:szCs w:val="16"/>
              </w:rPr>
              <w:t>397</w:t>
            </w:r>
          </w:p>
        </w:tc>
        <w:tc>
          <w:tcPr>
            <w:tcW w:w="608" w:type="dxa"/>
            <w:tcBorders>
              <w:top w:val="nil"/>
              <w:left w:val="nil"/>
              <w:bottom w:val="single" w:sz="4" w:space="0" w:color="auto"/>
              <w:right w:val="single" w:sz="4" w:space="0" w:color="auto"/>
            </w:tcBorders>
            <w:shd w:val="clear" w:color="auto" w:fill="auto"/>
            <w:noWrap/>
            <w:vAlign w:val="center"/>
            <w:hideMark/>
          </w:tcPr>
          <w:p w:rsidR="00BA05A3" w:rsidRPr="00E060E5" w:rsidRDefault="00BA05A3" w:rsidP="00DA7A22">
            <w:pPr>
              <w:spacing w:line="240" w:lineRule="auto"/>
              <w:jc w:val="center"/>
              <w:rPr>
                <w:rFonts w:asciiTheme="minorHAnsi" w:eastAsia="Times New Roman" w:hAnsiTheme="minorHAnsi" w:cstheme="minorHAnsi"/>
                <w:color w:val="000000"/>
                <w:sz w:val="16"/>
                <w:szCs w:val="16"/>
              </w:rPr>
            </w:pPr>
            <w:r w:rsidRPr="00E060E5">
              <w:rPr>
                <w:rFonts w:asciiTheme="minorHAnsi" w:eastAsia="Times New Roman" w:hAnsiTheme="minorHAnsi" w:cstheme="minorHAnsi"/>
                <w:color w:val="000000"/>
                <w:sz w:val="16"/>
                <w:szCs w:val="16"/>
              </w:rPr>
              <w:t>516</w:t>
            </w:r>
          </w:p>
        </w:tc>
        <w:tc>
          <w:tcPr>
            <w:tcW w:w="608" w:type="dxa"/>
            <w:tcBorders>
              <w:top w:val="nil"/>
              <w:left w:val="nil"/>
              <w:bottom w:val="single" w:sz="4" w:space="0" w:color="auto"/>
              <w:right w:val="single" w:sz="4" w:space="0" w:color="auto"/>
            </w:tcBorders>
            <w:shd w:val="clear" w:color="auto" w:fill="auto"/>
            <w:noWrap/>
            <w:vAlign w:val="center"/>
            <w:hideMark/>
          </w:tcPr>
          <w:p w:rsidR="00BA05A3" w:rsidRPr="00E060E5" w:rsidRDefault="00BA05A3" w:rsidP="00DA7A22">
            <w:pPr>
              <w:spacing w:line="240" w:lineRule="auto"/>
              <w:jc w:val="center"/>
              <w:rPr>
                <w:rFonts w:asciiTheme="minorHAnsi" w:eastAsia="Times New Roman" w:hAnsiTheme="minorHAnsi" w:cstheme="minorHAnsi"/>
                <w:color w:val="000000"/>
                <w:sz w:val="16"/>
                <w:szCs w:val="16"/>
              </w:rPr>
            </w:pPr>
            <w:r w:rsidRPr="00E060E5">
              <w:rPr>
                <w:rFonts w:asciiTheme="minorHAnsi" w:eastAsia="Times New Roman" w:hAnsiTheme="minorHAnsi" w:cstheme="minorHAnsi"/>
                <w:color w:val="000000"/>
                <w:sz w:val="16"/>
                <w:szCs w:val="16"/>
              </w:rPr>
              <w:t>635</w:t>
            </w:r>
          </w:p>
        </w:tc>
        <w:tc>
          <w:tcPr>
            <w:tcW w:w="611" w:type="dxa"/>
            <w:tcBorders>
              <w:top w:val="nil"/>
              <w:left w:val="nil"/>
              <w:bottom w:val="single" w:sz="4" w:space="0" w:color="auto"/>
              <w:right w:val="single" w:sz="4" w:space="0" w:color="auto"/>
            </w:tcBorders>
            <w:shd w:val="clear" w:color="auto" w:fill="auto"/>
            <w:noWrap/>
            <w:vAlign w:val="center"/>
            <w:hideMark/>
          </w:tcPr>
          <w:p w:rsidR="00BA05A3" w:rsidRPr="00E060E5" w:rsidRDefault="00BA05A3" w:rsidP="00DA7A22">
            <w:pPr>
              <w:spacing w:line="240" w:lineRule="auto"/>
              <w:jc w:val="center"/>
              <w:rPr>
                <w:rFonts w:asciiTheme="minorHAnsi" w:eastAsia="Times New Roman" w:hAnsiTheme="minorHAnsi" w:cstheme="minorHAnsi"/>
                <w:color w:val="000000"/>
                <w:sz w:val="16"/>
                <w:szCs w:val="16"/>
              </w:rPr>
            </w:pPr>
            <w:r w:rsidRPr="00E060E5">
              <w:rPr>
                <w:rFonts w:asciiTheme="minorHAnsi" w:eastAsia="Times New Roman" w:hAnsiTheme="minorHAnsi" w:cstheme="minorHAnsi"/>
                <w:color w:val="000000"/>
                <w:sz w:val="16"/>
                <w:szCs w:val="16"/>
              </w:rPr>
              <w:t>754</w:t>
            </w:r>
          </w:p>
        </w:tc>
      </w:tr>
      <w:tr w:rsidR="00BA05A3" w:rsidRPr="00E060E5" w:rsidTr="00BA05A3">
        <w:trPr>
          <w:trHeight w:val="301"/>
        </w:trPr>
        <w:tc>
          <w:tcPr>
            <w:tcW w:w="3520" w:type="dxa"/>
            <w:tcBorders>
              <w:top w:val="nil"/>
              <w:left w:val="single" w:sz="4" w:space="0" w:color="auto"/>
              <w:bottom w:val="single" w:sz="4" w:space="0" w:color="auto"/>
              <w:right w:val="single" w:sz="4" w:space="0" w:color="auto"/>
            </w:tcBorders>
            <w:shd w:val="clear" w:color="000000" w:fill="BEECF0"/>
            <w:noWrap/>
            <w:vAlign w:val="center"/>
            <w:hideMark/>
          </w:tcPr>
          <w:p w:rsidR="00BA05A3" w:rsidRPr="00E060E5" w:rsidRDefault="00BA05A3" w:rsidP="00DA7A22">
            <w:pPr>
              <w:spacing w:line="240" w:lineRule="auto"/>
              <w:rPr>
                <w:rFonts w:asciiTheme="minorHAnsi" w:eastAsia="Times New Roman" w:hAnsiTheme="minorHAnsi" w:cstheme="minorHAnsi"/>
                <w:color w:val="000000"/>
                <w:sz w:val="16"/>
                <w:szCs w:val="16"/>
              </w:rPr>
            </w:pPr>
            <w:r w:rsidRPr="00E060E5">
              <w:rPr>
                <w:rFonts w:asciiTheme="minorHAnsi" w:eastAsia="Times New Roman" w:hAnsiTheme="minorHAnsi" w:cstheme="minorHAnsi"/>
                <w:color w:val="000000"/>
                <w:sz w:val="16"/>
                <w:szCs w:val="16"/>
              </w:rPr>
              <w:t>gminy sąsiadujące</w:t>
            </w:r>
          </w:p>
        </w:tc>
        <w:tc>
          <w:tcPr>
            <w:tcW w:w="734" w:type="dxa"/>
            <w:tcBorders>
              <w:top w:val="nil"/>
              <w:left w:val="nil"/>
              <w:bottom w:val="single" w:sz="4" w:space="0" w:color="auto"/>
              <w:right w:val="single" w:sz="4" w:space="0" w:color="auto"/>
            </w:tcBorders>
            <w:shd w:val="clear" w:color="000000" w:fill="BEECF0"/>
            <w:noWrap/>
            <w:vAlign w:val="center"/>
            <w:hideMark/>
          </w:tcPr>
          <w:p w:rsidR="00BA05A3" w:rsidRPr="00E060E5" w:rsidRDefault="00BA05A3" w:rsidP="00DA7A22">
            <w:pPr>
              <w:spacing w:line="240" w:lineRule="auto"/>
              <w:rPr>
                <w:rFonts w:asciiTheme="minorHAnsi" w:eastAsia="Times New Roman" w:hAnsiTheme="minorHAnsi" w:cstheme="minorHAnsi"/>
                <w:color w:val="000000"/>
                <w:sz w:val="16"/>
                <w:szCs w:val="16"/>
              </w:rPr>
            </w:pPr>
            <w:r w:rsidRPr="00E060E5">
              <w:rPr>
                <w:rFonts w:asciiTheme="minorHAnsi" w:eastAsia="Times New Roman" w:hAnsiTheme="minorHAnsi" w:cstheme="minorHAnsi"/>
                <w:color w:val="000000"/>
                <w:sz w:val="16"/>
                <w:szCs w:val="16"/>
              </w:rPr>
              <w:t>4104,60</w:t>
            </w:r>
          </w:p>
        </w:tc>
        <w:tc>
          <w:tcPr>
            <w:tcW w:w="1369" w:type="dxa"/>
            <w:tcBorders>
              <w:top w:val="nil"/>
              <w:left w:val="nil"/>
              <w:bottom w:val="single" w:sz="4" w:space="0" w:color="auto"/>
              <w:right w:val="single" w:sz="4" w:space="0" w:color="auto"/>
            </w:tcBorders>
            <w:shd w:val="clear" w:color="000000" w:fill="BEECF0"/>
            <w:noWrap/>
            <w:vAlign w:val="center"/>
            <w:hideMark/>
          </w:tcPr>
          <w:p w:rsidR="00BA05A3" w:rsidRPr="00E060E5" w:rsidRDefault="00BA05A3" w:rsidP="00DA7A22">
            <w:pPr>
              <w:spacing w:line="240" w:lineRule="auto"/>
              <w:jc w:val="center"/>
              <w:rPr>
                <w:rFonts w:asciiTheme="minorHAnsi" w:eastAsia="Times New Roman" w:hAnsiTheme="minorHAnsi" w:cstheme="minorHAnsi"/>
                <w:color w:val="000000"/>
                <w:sz w:val="16"/>
                <w:szCs w:val="16"/>
              </w:rPr>
            </w:pPr>
            <w:r w:rsidRPr="00E060E5">
              <w:rPr>
                <w:rFonts w:asciiTheme="minorHAnsi" w:eastAsia="Times New Roman" w:hAnsiTheme="minorHAnsi" w:cstheme="minorHAnsi"/>
                <w:color w:val="000000"/>
                <w:sz w:val="16"/>
                <w:szCs w:val="16"/>
              </w:rPr>
              <w:t>6,16</w:t>
            </w:r>
          </w:p>
        </w:tc>
        <w:tc>
          <w:tcPr>
            <w:tcW w:w="608" w:type="dxa"/>
            <w:tcBorders>
              <w:top w:val="nil"/>
              <w:left w:val="nil"/>
              <w:bottom w:val="single" w:sz="4" w:space="0" w:color="auto"/>
              <w:right w:val="single" w:sz="4" w:space="0" w:color="auto"/>
            </w:tcBorders>
            <w:shd w:val="clear" w:color="000000" w:fill="BEECF0"/>
            <w:noWrap/>
            <w:vAlign w:val="center"/>
            <w:hideMark/>
          </w:tcPr>
          <w:p w:rsidR="00BA05A3" w:rsidRPr="00E060E5" w:rsidRDefault="00BA05A3" w:rsidP="00DA7A22">
            <w:pPr>
              <w:spacing w:line="240" w:lineRule="auto"/>
              <w:jc w:val="center"/>
              <w:rPr>
                <w:rFonts w:asciiTheme="minorHAnsi" w:eastAsia="Times New Roman" w:hAnsiTheme="minorHAnsi" w:cstheme="minorHAnsi"/>
                <w:color w:val="000000"/>
                <w:sz w:val="16"/>
                <w:szCs w:val="16"/>
              </w:rPr>
            </w:pPr>
            <w:r w:rsidRPr="00E060E5">
              <w:rPr>
                <w:rFonts w:asciiTheme="minorHAnsi" w:eastAsia="Times New Roman" w:hAnsiTheme="minorHAnsi" w:cstheme="minorHAnsi"/>
                <w:color w:val="000000"/>
                <w:sz w:val="16"/>
                <w:szCs w:val="16"/>
              </w:rPr>
              <w:t>123</w:t>
            </w:r>
          </w:p>
        </w:tc>
        <w:tc>
          <w:tcPr>
            <w:tcW w:w="608" w:type="dxa"/>
            <w:tcBorders>
              <w:top w:val="nil"/>
              <w:left w:val="nil"/>
              <w:bottom w:val="single" w:sz="4" w:space="0" w:color="auto"/>
              <w:right w:val="single" w:sz="4" w:space="0" w:color="auto"/>
            </w:tcBorders>
            <w:shd w:val="clear" w:color="000000" w:fill="BEECF0"/>
            <w:noWrap/>
            <w:vAlign w:val="center"/>
            <w:hideMark/>
          </w:tcPr>
          <w:p w:rsidR="00BA05A3" w:rsidRPr="00E060E5" w:rsidRDefault="00BA05A3" w:rsidP="00DA7A22">
            <w:pPr>
              <w:spacing w:line="240" w:lineRule="auto"/>
              <w:jc w:val="center"/>
              <w:rPr>
                <w:rFonts w:asciiTheme="minorHAnsi" w:eastAsia="Times New Roman" w:hAnsiTheme="minorHAnsi" w:cstheme="minorHAnsi"/>
                <w:color w:val="000000"/>
                <w:sz w:val="16"/>
                <w:szCs w:val="16"/>
              </w:rPr>
            </w:pPr>
            <w:r w:rsidRPr="00E060E5">
              <w:rPr>
                <w:rFonts w:asciiTheme="minorHAnsi" w:eastAsia="Times New Roman" w:hAnsiTheme="minorHAnsi" w:cstheme="minorHAnsi"/>
                <w:color w:val="000000"/>
                <w:sz w:val="16"/>
                <w:szCs w:val="16"/>
              </w:rPr>
              <w:t>215</w:t>
            </w:r>
          </w:p>
        </w:tc>
        <w:tc>
          <w:tcPr>
            <w:tcW w:w="608" w:type="dxa"/>
            <w:tcBorders>
              <w:top w:val="nil"/>
              <w:left w:val="nil"/>
              <w:bottom w:val="single" w:sz="4" w:space="0" w:color="auto"/>
              <w:right w:val="single" w:sz="4" w:space="0" w:color="auto"/>
            </w:tcBorders>
            <w:shd w:val="clear" w:color="000000" w:fill="BEECF0"/>
            <w:noWrap/>
            <w:vAlign w:val="center"/>
            <w:hideMark/>
          </w:tcPr>
          <w:p w:rsidR="00BA05A3" w:rsidRPr="00E060E5" w:rsidRDefault="00BA05A3" w:rsidP="00DA7A22">
            <w:pPr>
              <w:spacing w:line="240" w:lineRule="auto"/>
              <w:jc w:val="center"/>
              <w:rPr>
                <w:rFonts w:asciiTheme="minorHAnsi" w:eastAsia="Times New Roman" w:hAnsiTheme="minorHAnsi" w:cstheme="minorHAnsi"/>
                <w:color w:val="000000"/>
                <w:sz w:val="16"/>
                <w:szCs w:val="16"/>
              </w:rPr>
            </w:pPr>
            <w:r w:rsidRPr="00E060E5">
              <w:rPr>
                <w:rFonts w:asciiTheme="minorHAnsi" w:eastAsia="Times New Roman" w:hAnsiTheme="minorHAnsi" w:cstheme="minorHAnsi"/>
                <w:color w:val="000000"/>
                <w:sz w:val="16"/>
                <w:szCs w:val="16"/>
              </w:rPr>
              <w:t>308</w:t>
            </w:r>
          </w:p>
        </w:tc>
        <w:tc>
          <w:tcPr>
            <w:tcW w:w="608" w:type="dxa"/>
            <w:tcBorders>
              <w:top w:val="nil"/>
              <w:left w:val="nil"/>
              <w:bottom w:val="single" w:sz="4" w:space="0" w:color="auto"/>
              <w:right w:val="single" w:sz="4" w:space="0" w:color="auto"/>
            </w:tcBorders>
            <w:shd w:val="clear" w:color="000000" w:fill="BEECF0"/>
            <w:noWrap/>
            <w:vAlign w:val="center"/>
            <w:hideMark/>
          </w:tcPr>
          <w:p w:rsidR="00BA05A3" w:rsidRPr="00E060E5" w:rsidRDefault="00BA05A3" w:rsidP="00DA7A22">
            <w:pPr>
              <w:spacing w:line="240" w:lineRule="auto"/>
              <w:jc w:val="center"/>
              <w:rPr>
                <w:rFonts w:asciiTheme="minorHAnsi" w:eastAsia="Times New Roman" w:hAnsiTheme="minorHAnsi" w:cstheme="minorHAnsi"/>
                <w:color w:val="000000"/>
                <w:sz w:val="16"/>
                <w:szCs w:val="16"/>
              </w:rPr>
            </w:pPr>
            <w:r w:rsidRPr="00E060E5">
              <w:rPr>
                <w:rFonts w:asciiTheme="minorHAnsi" w:eastAsia="Times New Roman" w:hAnsiTheme="minorHAnsi" w:cstheme="minorHAnsi"/>
                <w:color w:val="000000"/>
                <w:sz w:val="16"/>
                <w:szCs w:val="16"/>
              </w:rPr>
              <w:t>400</w:t>
            </w:r>
          </w:p>
        </w:tc>
        <w:tc>
          <w:tcPr>
            <w:tcW w:w="608" w:type="dxa"/>
            <w:tcBorders>
              <w:top w:val="nil"/>
              <w:left w:val="nil"/>
              <w:bottom w:val="single" w:sz="4" w:space="0" w:color="auto"/>
              <w:right w:val="single" w:sz="4" w:space="0" w:color="auto"/>
            </w:tcBorders>
            <w:shd w:val="clear" w:color="000000" w:fill="BEECF0"/>
            <w:noWrap/>
            <w:vAlign w:val="center"/>
            <w:hideMark/>
          </w:tcPr>
          <w:p w:rsidR="00BA05A3" w:rsidRPr="00E060E5" w:rsidRDefault="00BA05A3" w:rsidP="00DA7A22">
            <w:pPr>
              <w:spacing w:line="240" w:lineRule="auto"/>
              <w:jc w:val="center"/>
              <w:rPr>
                <w:rFonts w:asciiTheme="minorHAnsi" w:eastAsia="Times New Roman" w:hAnsiTheme="minorHAnsi" w:cstheme="minorHAnsi"/>
                <w:color w:val="000000"/>
                <w:sz w:val="16"/>
                <w:szCs w:val="16"/>
              </w:rPr>
            </w:pPr>
            <w:r w:rsidRPr="00E060E5">
              <w:rPr>
                <w:rFonts w:asciiTheme="minorHAnsi" w:eastAsia="Times New Roman" w:hAnsiTheme="minorHAnsi" w:cstheme="minorHAnsi"/>
                <w:color w:val="000000"/>
                <w:sz w:val="16"/>
                <w:szCs w:val="16"/>
              </w:rPr>
              <w:t>493</w:t>
            </w:r>
          </w:p>
        </w:tc>
        <w:tc>
          <w:tcPr>
            <w:tcW w:w="611" w:type="dxa"/>
            <w:tcBorders>
              <w:top w:val="nil"/>
              <w:left w:val="nil"/>
              <w:bottom w:val="single" w:sz="4" w:space="0" w:color="auto"/>
              <w:right w:val="single" w:sz="4" w:space="0" w:color="auto"/>
            </w:tcBorders>
            <w:shd w:val="clear" w:color="000000" w:fill="BEECF0"/>
            <w:noWrap/>
            <w:vAlign w:val="center"/>
            <w:hideMark/>
          </w:tcPr>
          <w:p w:rsidR="00BA05A3" w:rsidRPr="00E060E5" w:rsidRDefault="00BA05A3" w:rsidP="00DA7A22">
            <w:pPr>
              <w:spacing w:line="240" w:lineRule="auto"/>
              <w:jc w:val="center"/>
              <w:rPr>
                <w:rFonts w:asciiTheme="minorHAnsi" w:eastAsia="Times New Roman" w:hAnsiTheme="minorHAnsi" w:cstheme="minorHAnsi"/>
                <w:color w:val="000000"/>
                <w:sz w:val="16"/>
                <w:szCs w:val="16"/>
              </w:rPr>
            </w:pPr>
            <w:r w:rsidRPr="00E060E5">
              <w:rPr>
                <w:rFonts w:asciiTheme="minorHAnsi" w:eastAsia="Times New Roman" w:hAnsiTheme="minorHAnsi" w:cstheme="minorHAnsi"/>
                <w:color w:val="000000"/>
                <w:sz w:val="16"/>
                <w:szCs w:val="16"/>
              </w:rPr>
              <w:t>585</w:t>
            </w:r>
          </w:p>
        </w:tc>
      </w:tr>
      <w:tr w:rsidR="00BA05A3" w:rsidRPr="00E060E5" w:rsidTr="00BA05A3">
        <w:trPr>
          <w:trHeight w:val="301"/>
        </w:trPr>
        <w:tc>
          <w:tcPr>
            <w:tcW w:w="3520" w:type="dxa"/>
            <w:tcBorders>
              <w:top w:val="nil"/>
              <w:left w:val="single" w:sz="4" w:space="0" w:color="auto"/>
              <w:bottom w:val="single" w:sz="4" w:space="0" w:color="auto"/>
              <w:right w:val="single" w:sz="4" w:space="0" w:color="auto"/>
            </w:tcBorders>
            <w:shd w:val="clear" w:color="auto" w:fill="auto"/>
            <w:noWrap/>
            <w:vAlign w:val="center"/>
            <w:hideMark/>
          </w:tcPr>
          <w:p w:rsidR="00BA05A3" w:rsidRPr="00E060E5" w:rsidRDefault="00BA05A3" w:rsidP="00DA7A22">
            <w:pPr>
              <w:spacing w:line="240" w:lineRule="auto"/>
              <w:rPr>
                <w:rFonts w:asciiTheme="minorHAnsi" w:eastAsia="Times New Roman" w:hAnsiTheme="minorHAnsi" w:cstheme="minorHAnsi"/>
                <w:color w:val="000000"/>
                <w:sz w:val="16"/>
                <w:szCs w:val="16"/>
              </w:rPr>
            </w:pPr>
            <w:r w:rsidRPr="00E060E5">
              <w:rPr>
                <w:rFonts w:asciiTheme="minorHAnsi" w:eastAsia="Times New Roman" w:hAnsiTheme="minorHAnsi" w:cstheme="minorHAnsi"/>
                <w:color w:val="000000"/>
                <w:sz w:val="16"/>
                <w:szCs w:val="16"/>
              </w:rPr>
              <w:lastRenderedPageBreak/>
              <w:t>województwo wielkopolskie</w:t>
            </w:r>
          </w:p>
        </w:tc>
        <w:tc>
          <w:tcPr>
            <w:tcW w:w="734" w:type="dxa"/>
            <w:tcBorders>
              <w:top w:val="nil"/>
              <w:left w:val="nil"/>
              <w:bottom w:val="single" w:sz="4" w:space="0" w:color="auto"/>
              <w:right w:val="single" w:sz="4" w:space="0" w:color="auto"/>
            </w:tcBorders>
            <w:shd w:val="clear" w:color="auto" w:fill="auto"/>
            <w:noWrap/>
            <w:vAlign w:val="center"/>
            <w:hideMark/>
          </w:tcPr>
          <w:p w:rsidR="00BA05A3" w:rsidRPr="00E060E5" w:rsidRDefault="00BA05A3" w:rsidP="00DA7A22">
            <w:pPr>
              <w:spacing w:line="240" w:lineRule="auto"/>
              <w:rPr>
                <w:rFonts w:asciiTheme="minorHAnsi" w:eastAsia="Times New Roman" w:hAnsiTheme="minorHAnsi" w:cstheme="minorHAnsi"/>
                <w:color w:val="000000"/>
                <w:sz w:val="16"/>
                <w:szCs w:val="16"/>
              </w:rPr>
            </w:pPr>
            <w:r w:rsidRPr="00E060E5">
              <w:rPr>
                <w:rFonts w:asciiTheme="minorHAnsi" w:eastAsia="Times New Roman" w:hAnsiTheme="minorHAnsi" w:cstheme="minorHAnsi"/>
                <w:color w:val="000000"/>
                <w:sz w:val="16"/>
                <w:szCs w:val="16"/>
              </w:rPr>
              <w:t>3420,50</w:t>
            </w:r>
          </w:p>
        </w:tc>
        <w:tc>
          <w:tcPr>
            <w:tcW w:w="1369" w:type="dxa"/>
            <w:tcBorders>
              <w:top w:val="nil"/>
              <w:left w:val="nil"/>
              <w:bottom w:val="single" w:sz="4" w:space="0" w:color="auto"/>
              <w:right w:val="single" w:sz="4" w:space="0" w:color="auto"/>
            </w:tcBorders>
            <w:shd w:val="clear" w:color="auto" w:fill="auto"/>
            <w:noWrap/>
            <w:vAlign w:val="center"/>
            <w:hideMark/>
          </w:tcPr>
          <w:p w:rsidR="00BA05A3" w:rsidRPr="00E060E5" w:rsidRDefault="00BA05A3" w:rsidP="00DA7A22">
            <w:pPr>
              <w:spacing w:line="240" w:lineRule="auto"/>
              <w:jc w:val="center"/>
              <w:rPr>
                <w:rFonts w:asciiTheme="minorHAnsi" w:eastAsia="Times New Roman" w:hAnsiTheme="minorHAnsi" w:cstheme="minorHAnsi"/>
                <w:color w:val="000000"/>
                <w:sz w:val="16"/>
                <w:szCs w:val="16"/>
              </w:rPr>
            </w:pPr>
            <w:r w:rsidRPr="00E060E5">
              <w:rPr>
                <w:rFonts w:asciiTheme="minorHAnsi" w:eastAsia="Times New Roman" w:hAnsiTheme="minorHAnsi" w:cstheme="minorHAnsi"/>
                <w:color w:val="000000"/>
                <w:sz w:val="16"/>
                <w:szCs w:val="16"/>
              </w:rPr>
              <w:t>5,13</w:t>
            </w:r>
          </w:p>
        </w:tc>
        <w:tc>
          <w:tcPr>
            <w:tcW w:w="608" w:type="dxa"/>
            <w:tcBorders>
              <w:top w:val="nil"/>
              <w:left w:val="nil"/>
              <w:bottom w:val="single" w:sz="4" w:space="0" w:color="auto"/>
              <w:right w:val="single" w:sz="4" w:space="0" w:color="auto"/>
            </w:tcBorders>
            <w:shd w:val="clear" w:color="auto" w:fill="auto"/>
            <w:noWrap/>
            <w:vAlign w:val="center"/>
            <w:hideMark/>
          </w:tcPr>
          <w:p w:rsidR="00BA05A3" w:rsidRPr="00E060E5" w:rsidRDefault="00BA05A3" w:rsidP="00DA7A22">
            <w:pPr>
              <w:spacing w:line="240" w:lineRule="auto"/>
              <w:jc w:val="center"/>
              <w:rPr>
                <w:rFonts w:asciiTheme="minorHAnsi" w:eastAsia="Times New Roman" w:hAnsiTheme="minorHAnsi" w:cstheme="minorHAnsi"/>
                <w:color w:val="000000"/>
                <w:sz w:val="16"/>
                <w:szCs w:val="16"/>
              </w:rPr>
            </w:pPr>
            <w:r w:rsidRPr="00E060E5">
              <w:rPr>
                <w:rFonts w:asciiTheme="minorHAnsi" w:eastAsia="Times New Roman" w:hAnsiTheme="minorHAnsi" w:cstheme="minorHAnsi"/>
                <w:color w:val="000000"/>
                <w:sz w:val="16"/>
                <w:szCs w:val="16"/>
              </w:rPr>
              <w:t>103</w:t>
            </w:r>
          </w:p>
        </w:tc>
        <w:tc>
          <w:tcPr>
            <w:tcW w:w="608" w:type="dxa"/>
            <w:tcBorders>
              <w:top w:val="nil"/>
              <w:left w:val="nil"/>
              <w:bottom w:val="single" w:sz="4" w:space="0" w:color="auto"/>
              <w:right w:val="single" w:sz="4" w:space="0" w:color="auto"/>
            </w:tcBorders>
            <w:shd w:val="clear" w:color="auto" w:fill="auto"/>
            <w:noWrap/>
            <w:vAlign w:val="center"/>
            <w:hideMark/>
          </w:tcPr>
          <w:p w:rsidR="00BA05A3" w:rsidRPr="00E060E5" w:rsidRDefault="00BA05A3" w:rsidP="00DA7A22">
            <w:pPr>
              <w:spacing w:line="240" w:lineRule="auto"/>
              <w:jc w:val="center"/>
              <w:rPr>
                <w:rFonts w:asciiTheme="minorHAnsi" w:eastAsia="Times New Roman" w:hAnsiTheme="minorHAnsi" w:cstheme="minorHAnsi"/>
                <w:color w:val="000000"/>
                <w:sz w:val="16"/>
                <w:szCs w:val="16"/>
              </w:rPr>
            </w:pPr>
            <w:r w:rsidRPr="00E060E5">
              <w:rPr>
                <w:rFonts w:asciiTheme="minorHAnsi" w:eastAsia="Times New Roman" w:hAnsiTheme="minorHAnsi" w:cstheme="minorHAnsi"/>
                <w:color w:val="000000"/>
                <w:sz w:val="16"/>
                <w:szCs w:val="16"/>
              </w:rPr>
              <w:t>180</w:t>
            </w:r>
          </w:p>
        </w:tc>
        <w:tc>
          <w:tcPr>
            <w:tcW w:w="608" w:type="dxa"/>
            <w:tcBorders>
              <w:top w:val="nil"/>
              <w:left w:val="nil"/>
              <w:bottom w:val="single" w:sz="4" w:space="0" w:color="auto"/>
              <w:right w:val="single" w:sz="4" w:space="0" w:color="auto"/>
            </w:tcBorders>
            <w:shd w:val="clear" w:color="auto" w:fill="auto"/>
            <w:noWrap/>
            <w:vAlign w:val="center"/>
            <w:hideMark/>
          </w:tcPr>
          <w:p w:rsidR="00BA05A3" w:rsidRPr="00E060E5" w:rsidRDefault="00BA05A3" w:rsidP="00DA7A22">
            <w:pPr>
              <w:spacing w:line="240" w:lineRule="auto"/>
              <w:jc w:val="center"/>
              <w:rPr>
                <w:rFonts w:asciiTheme="minorHAnsi" w:eastAsia="Times New Roman" w:hAnsiTheme="minorHAnsi" w:cstheme="minorHAnsi"/>
                <w:color w:val="000000"/>
                <w:sz w:val="16"/>
                <w:szCs w:val="16"/>
              </w:rPr>
            </w:pPr>
            <w:r w:rsidRPr="00E060E5">
              <w:rPr>
                <w:rFonts w:asciiTheme="minorHAnsi" w:eastAsia="Times New Roman" w:hAnsiTheme="minorHAnsi" w:cstheme="minorHAnsi"/>
                <w:color w:val="000000"/>
                <w:sz w:val="16"/>
                <w:szCs w:val="16"/>
              </w:rPr>
              <w:t>257</w:t>
            </w:r>
          </w:p>
        </w:tc>
        <w:tc>
          <w:tcPr>
            <w:tcW w:w="608" w:type="dxa"/>
            <w:tcBorders>
              <w:top w:val="nil"/>
              <w:left w:val="nil"/>
              <w:bottom w:val="single" w:sz="4" w:space="0" w:color="auto"/>
              <w:right w:val="single" w:sz="4" w:space="0" w:color="auto"/>
            </w:tcBorders>
            <w:shd w:val="clear" w:color="auto" w:fill="auto"/>
            <w:noWrap/>
            <w:vAlign w:val="center"/>
            <w:hideMark/>
          </w:tcPr>
          <w:p w:rsidR="00BA05A3" w:rsidRPr="00E060E5" w:rsidRDefault="00BA05A3" w:rsidP="00DA7A22">
            <w:pPr>
              <w:spacing w:line="240" w:lineRule="auto"/>
              <w:jc w:val="center"/>
              <w:rPr>
                <w:rFonts w:asciiTheme="minorHAnsi" w:eastAsia="Times New Roman" w:hAnsiTheme="minorHAnsi" w:cstheme="minorHAnsi"/>
                <w:color w:val="000000"/>
                <w:sz w:val="16"/>
                <w:szCs w:val="16"/>
              </w:rPr>
            </w:pPr>
            <w:r w:rsidRPr="00E060E5">
              <w:rPr>
                <w:rFonts w:asciiTheme="minorHAnsi" w:eastAsia="Times New Roman" w:hAnsiTheme="minorHAnsi" w:cstheme="minorHAnsi"/>
                <w:color w:val="000000"/>
                <w:sz w:val="16"/>
                <w:szCs w:val="16"/>
              </w:rPr>
              <w:t>333</w:t>
            </w:r>
          </w:p>
        </w:tc>
        <w:tc>
          <w:tcPr>
            <w:tcW w:w="608" w:type="dxa"/>
            <w:tcBorders>
              <w:top w:val="nil"/>
              <w:left w:val="nil"/>
              <w:bottom w:val="single" w:sz="4" w:space="0" w:color="auto"/>
              <w:right w:val="single" w:sz="4" w:space="0" w:color="auto"/>
            </w:tcBorders>
            <w:shd w:val="clear" w:color="auto" w:fill="auto"/>
            <w:noWrap/>
            <w:vAlign w:val="center"/>
            <w:hideMark/>
          </w:tcPr>
          <w:p w:rsidR="00BA05A3" w:rsidRPr="00E060E5" w:rsidRDefault="00BA05A3" w:rsidP="00DA7A22">
            <w:pPr>
              <w:spacing w:line="240" w:lineRule="auto"/>
              <w:jc w:val="center"/>
              <w:rPr>
                <w:rFonts w:asciiTheme="minorHAnsi" w:eastAsia="Times New Roman" w:hAnsiTheme="minorHAnsi" w:cstheme="minorHAnsi"/>
                <w:color w:val="000000"/>
                <w:sz w:val="16"/>
                <w:szCs w:val="16"/>
              </w:rPr>
            </w:pPr>
            <w:r w:rsidRPr="00E060E5">
              <w:rPr>
                <w:rFonts w:asciiTheme="minorHAnsi" w:eastAsia="Times New Roman" w:hAnsiTheme="minorHAnsi" w:cstheme="minorHAnsi"/>
                <w:color w:val="000000"/>
                <w:sz w:val="16"/>
                <w:szCs w:val="16"/>
              </w:rPr>
              <w:t>410</w:t>
            </w:r>
          </w:p>
        </w:tc>
        <w:tc>
          <w:tcPr>
            <w:tcW w:w="611" w:type="dxa"/>
            <w:tcBorders>
              <w:top w:val="nil"/>
              <w:left w:val="nil"/>
              <w:bottom w:val="single" w:sz="4" w:space="0" w:color="auto"/>
              <w:right w:val="single" w:sz="4" w:space="0" w:color="auto"/>
            </w:tcBorders>
            <w:shd w:val="clear" w:color="auto" w:fill="auto"/>
            <w:noWrap/>
            <w:vAlign w:val="center"/>
            <w:hideMark/>
          </w:tcPr>
          <w:p w:rsidR="00BA05A3" w:rsidRPr="00E060E5" w:rsidRDefault="00BA05A3" w:rsidP="00DA7A22">
            <w:pPr>
              <w:spacing w:line="240" w:lineRule="auto"/>
              <w:jc w:val="center"/>
              <w:rPr>
                <w:rFonts w:asciiTheme="minorHAnsi" w:eastAsia="Times New Roman" w:hAnsiTheme="minorHAnsi" w:cstheme="minorHAnsi"/>
                <w:color w:val="000000"/>
                <w:sz w:val="16"/>
                <w:szCs w:val="16"/>
              </w:rPr>
            </w:pPr>
            <w:r w:rsidRPr="00E060E5">
              <w:rPr>
                <w:rFonts w:asciiTheme="minorHAnsi" w:eastAsia="Times New Roman" w:hAnsiTheme="minorHAnsi" w:cstheme="minorHAnsi"/>
                <w:color w:val="000000"/>
                <w:sz w:val="16"/>
                <w:szCs w:val="16"/>
              </w:rPr>
              <w:t>487</w:t>
            </w:r>
          </w:p>
        </w:tc>
      </w:tr>
      <w:tr w:rsidR="00BA05A3" w:rsidRPr="00E060E5" w:rsidTr="00BA05A3">
        <w:trPr>
          <w:trHeight w:val="301"/>
        </w:trPr>
        <w:tc>
          <w:tcPr>
            <w:tcW w:w="3520" w:type="dxa"/>
            <w:tcBorders>
              <w:top w:val="nil"/>
              <w:left w:val="single" w:sz="4" w:space="0" w:color="auto"/>
              <w:bottom w:val="single" w:sz="4" w:space="0" w:color="auto"/>
              <w:right w:val="single" w:sz="4" w:space="0" w:color="auto"/>
            </w:tcBorders>
            <w:shd w:val="clear" w:color="000000" w:fill="BEECF0"/>
            <w:noWrap/>
            <w:vAlign w:val="center"/>
            <w:hideMark/>
          </w:tcPr>
          <w:p w:rsidR="00BA05A3" w:rsidRPr="00E060E5" w:rsidRDefault="00BA05A3" w:rsidP="00DA7A22">
            <w:pPr>
              <w:spacing w:line="240" w:lineRule="auto"/>
              <w:rPr>
                <w:rFonts w:asciiTheme="minorHAnsi" w:eastAsia="Times New Roman" w:hAnsiTheme="minorHAnsi" w:cstheme="minorHAnsi"/>
                <w:color w:val="000000"/>
                <w:sz w:val="16"/>
                <w:szCs w:val="16"/>
              </w:rPr>
            </w:pPr>
            <w:r w:rsidRPr="00E060E5">
              <w:rPr>
                <w:rFonts w:asciiTheme="minorHAnsi" w:eastAsia="Times New Roman" w:hAnsiTheme="minorHAnsi" w:cstheme="minorHAnsi"/>
                <w:color w:val="000000"/>
                <w:sz w:val="16"/>
                <w:szCs w:val="16"/>
              </w:rPr>
              <w:t>Szczecin</w:t>
            </w:r>
          </w:p>
        </w:tc>
        <w:tc>
          <w:tcPr>
            <w:tcW w:w="734" w:type="dxa"/>
            <w:tcBorders>
              <w:top w:val="nil"/>
              <w:left w:val="nil"/>
              <w:bottom w:val="single" w:sz="4" w:space="0" w:color="auto"/>
              <w:right w:val="single" w:sz="4" w:space="0" w:color="auto"/>
            </w:tcBorders>
            <w:shd w:val="clear" w:color="000000" w:fill="BEECF0"/>
            <w:noWrap/>
            <w:vAlign w:val="center"/>
            <w:hideMark/>
          </w:tcPr>
          <w:p w:rsidR="00BA05A3" w:rsidRPr="00E060E5" w:rsidRDefault="00BA05A3" w:rsidP="00DA7A22">
            <w:pPr>
              <w:spacing w:line="240" w:lineRule="auto"/>
              <w:rPr>
                <w:rFonts w:asciiTheme="minorHAnsi" w:eastAsia="Times New Roman" w:hAnsiTheme="minorHAnsi" w:cstheme="minorHAnsi"/>
                <w:color w:val="000000"/>
                <w:sz w:val="16"/>
                <w:szCs w:val="16"/>
              </w:rPr>
            </w:pPr>
            <w:r w:rsidRPr="00E060E5">
              <w:rPr>
                <w:rFonts w:asciiTheme="minorHAnsi" w:eastAsia="Times New Roman" w:hAnsiTheme="minorHAnsi" w:cstheme="minorHAnsi"/>
                <w:color w:val="000000"/>
                <w:sz w:val="16"/>
                <w:szCs w:val="16"/>
              </w:rPr>
              <w:t>4187,50</w:t>
            </w:r>
          </w:p>
        </w:tc>
        <w:tc>
          <w:tcPr>
            <w:tcW w:w="1369" w:type="dxa"/>
            <w:tcBorders>
              <w:top w:val="nil"/>
              <w:left w:val="nil"/>
              <w:bottom w:val="single" w:sz="4" w:space="0" w:color="auto"/>
              <w:right w:val="single" w:sz="4" w:space="0" w:color="auto"/>
            </w:tcBorders>
            <w:shd w:val="clear" w:color="000000" w:fill="BEECF0"/>
            <w:noWrap/>
            <w:vAlign w:val="center"/>
            <w:hideMark/>
          </w:tcPr>
          <w:p w:rsidR="00BA05A3" w:rsidRPr="00E060E5" w:rsidRDefault="00BA05A3" w:rsidP="00DA7A22">
            <w:pPr>
              <w:spacing w:line="240" w:lineRule="auto"/>
              <w:jc w:val="center"/>
              <w:rPr>
                <w:rFonts w:asciiTheme="minorHAnsi" w:eastAsia="Times New Roman" w:hAnsiTheme="minorHAnsi" w:cstheme="minorHAnsi"/>
                <w:color w:val="000000"/>
                <w:sz w:val="16"/>
                <w:szCs w:val="16"/>
              </w:rPr>
            </w:pPr>
            <w:r w:rsidRPr="00E060E5">
              <w:rPr>
                <w:rFonts w:asciiTheme="minorHAnsi" w:eastAsia="Times New Roman" w:hAnsiTheme="minorHAnsi" w:cstheme="minorHAnsi"/>
                <w:color w:val="000000"/>
                <w:sz w:val="16"/>
                <w:szCs w:val="16"/>
              </w:rPr>
              <w:t>6,28</w:t>
            </w:r>
          </w:p>
        </w:tc>
        <w:tc>
          <w:tcPr>
            <w:tcW w:w="608" w:type="dxa"/>
            <w:tcBorders>
              <w:top w:val="nil"/>
              <w:left w:val="nil"/>
              <w:bottom w:val="single" w:sz="4" w:space="0" w:color="auto"/>
              <w:right w:val="single" w:sz="4" w:space="0" w:color="auto"/>
            </w:tcBorders>
            <w:shd w:val="clear" w:color="000000" w:fill="BEECF0"/>
            <w:noWrap/>
            <w:vAlign w:val="center"/>
            <w:hideMark/>
          </w:tcPr>
          <w:p w:rsidR="00BA05A3" w:rsidRPr="00E060E5" w:rsidRDefault="00BA05A3" w:rsidP="00DA7A22">
            <w:pPr>
              <w:spacing w:line="240" w:lineRule="auto"/>
              <w:jc w:val="center"/>
              <w:rPr>
                <w:rFonts w:asciiTheme="minorHAnsi" w:eastAsia="Times New Roman" w:hAnsiTheme="minorHAnsi" w:cstheme="minorHAnsi"/>
                <w:color w:val="000000"/>
                <w:sz w:val="16"/>
                <w:szCs w:val="16"/>
              </w:rPr>
            </w:pPr>
            <w:r w:rsidRPr="00E060E5">
              <w:rPr>
                <w:rFonts w:asciiTheme="minorHAnsi" w:eastAsia="Times New Roman" w:hAnsiTheme="minorHAnsi" w:cstheme="minorHAnsi"/>
                <w:color w:val="000000"/>
                <w:sz w:val="16"/>
                <w:szCs w:val="16"/>
              </w:rPr>
              <w:t>126</w:t>
            </w:r>
          </w:p>
        </w:tc>
        <w:tc>
          <w:tcPr>
            <w:tcW w:w="608" w:type="dxa"/>
            <w:tcBorders>
              <w:top w:val="nil"/>
              <w:left w:val="nil"/>
              <w:bottom w:val="single" w:sz="4" w:space="0" w:color="auto"/>
              <w:right w:val="single" w:sz="4" w:space="0" w:color="auto"/>
            </w:tcBorders>
            <w:shd w:val="clear" w:color="000000" w:fill="BEECF0"/>
            <w:noWrap/>
            <w:vAlign w:val="center"/>
            <w:hideMark/>
          </w:tcPr>
          <w:p w:rsidR="00BA05A3" w:rsidRPr="00E060E5" w:rsidRDefault="00BA05A3" w:rsidP="00DA7A22">
            <w:pPr>
              <w:spacing w:line="240" w:lineRule="auto"/>
              <w:jc w:val="center"/>
              <w:rPr>
                <w:rFonts w:asciiTheme="minorHAnsi" w:eastAsia="Times New Roman" w:hAnsiTheme="minorHAnsi" w:cstheme="minorHAnsi"/>
                <w:color w:val="000000"/>
                <w:sz w:val="16"/>
                <w:szCs w:val="16"/>
              </w:rPr>
            </w:pPr>
            <w:r w:rsidRPr="00E060E5">
              <w:rPr>
                <w:rFonts w:asciiTheme="minorHAnsi" w:eastAsia="Times New Roman" w:hAnsiTheme="minorHAnsi" w:cstheme="minorHAnsi"/>
                <w:color w:val="000000"/>
                <w:sz w:val="16"/>
                <w:szCs w:val="16"/>
              </w:rPr>
              <w:t>220</w:t>
            </w:r>
          </w:p>
        </w:tc>
        <w:tc>
          <w:tcPr>
            <w:tcW w:w="608" w:type="dxa"/>
            <w:tcBorders>
              <w:top w:val="nil"/>
              <w:left w:val="nil"/>
              <w:bottom w:val="single" w:sz="4" w:space="0" w:color="auto"/>
              <w:right w:val="single" w:sz="4" w:space="0" w:color="auto"/>
            </w:tcBorders>
            <w:shd w:val="clear" w:color="000000" w:fill="BEECF0"/>
            <w:noWrap/>
            <w:vAlign w:val="center"/>
            <w:hideMark/>
          </w:tcPr>
          <w:p w:rsidR="00BA05A3" w:rsidRPr="00E060E5" w:rsidRDefault="00BA05A3" w:rsidP="00DA7A22">
            <w:pPr>
              <w:spacing w:line="240" w:lineRule="auto"/>
              <w:jc w:val="center"/>
              <w:rPr>
                <w:rFonts w:asciiTheme="minorHAnsi" w:eastAsia="Times New Roman" w:hAnsiTheme="minorHAnsi" w:cstheme="minorHAnsi"/>
                <w:color w:val="000000"/>
                <w:sz w:val="16"/>
                <w:szCs w:val="16"/>
              </w:rPr>
            </w:pPr>
            <w:r w:rsidRPr="00E060E5">
              <w:rPr>
                <w:rFonts w:asciiTheme="minorHAnsi" w:eastAsia="Times New Roman" w:hAnsiTheme="minorHAnsi" w:cstheme="minorHAnsi"/>
                <w:color w:val="000000"/>
                <w:sz w:val="16"/>
                <w:szCs w:val="16"/>
              </w:rPr>
              <w:t>314</w:t>
            </w:r>
          </w:p>
        </w:tc>
        <w:tc>
          <w:tcPr>
            <w:tcW w:w="608" w:type="dxa"/>
            <w:tcBorders>
              <w:top w:val="nil"/>
              <w:left w:val="nil"/>
              <w:bottom w:val="single" w:sz="4" w:space="0" w:color="auto"/>
              <w:right w:val="single" w:sz="4" w:space="0" w:color="auto"/>
            </w:tcBorders>
            <w:shd w:val="clear" w:color="000000" w:fill="BEECF0"/>
            <w:noWrap/>
            <w:vAlign w:val="center"/>
            <w:hideMark/>
          </w:tcPr>
          <w:p w:rsidR="00BA05A3" w:rsidRPr="00E060E5" w:rsidRDefault="00BA05A3" w:rsidP="00DA7A22">
            <w:pPr>
              <w:spacing w:line="240" w:lineRule="auto"/>
              <w:jc w:val="center"/>
              <w:rPr>
                <w:rFonts w:asciiTheme="minorHAnsi" w:eastAsia="Times New Roman" w:hAnsiTheme="minorHAnsi" w:cstheme="minorHAnsi"/>
                <w:color w:val="000000"/>
                <w:sz w:val="16"/>
                <w:szCs w:val="16"/>
              </w:rPr>
            </w:pPr>
            <w:r w:rsidRPr="00E060E5">
              <w:rPr>
                <w:rFonts w:asciiTheme="minorHAnsi" w:eastAsia="Times New Roman" w:hAnsiTheme="minorHAnsi" w:cstheme="minorHAnsi"/>
                <w:color w:val="000000"/>
                <w:sz w:val="16"/>
                <w:szCs w:val="16"/>
              </w:rPr>
              <w:t>408</w:t>
            </w:r>
          </w:p>
        </w:tc>
        <w:tc>
          <w:tcPr>
            <w:tcW w:w="608" w:type="dxa"/>
            <w:tcBorders>
              <w:top w:val="nil"/>
              <w:left w:val="nil"/>
              <w:bottom w:val="single" w:sz="4" w:space="0" w:color="auto"/>
              <w:right w:val="single" w:sz="4" w:space="0" w:color="auto"/>
            </w:tcBorders>
            <w:shd w:val="clear" w:color="000000" w:fill="BEECF0"/>
            <w:noWrap/>
            <w:vAlign w:val="center"/>
            <w:hideMark/>
          </w:tcPr>
          <w:p w:rsidR="00BA05A3" w:rsidRPr="00E060E5" w:rsidRDefault="00BA05A3" w:rsidP="00DA7A22">
            <w:pPr>
              <w:spacing w:line="240" w:lineRule="auto"/>
              <w:jc w:val="center"/>
              <w:rPr>
                <w:rFonts w:asciiTheme="minorHAnsi" w:eastAsia="Times New Roman" w:hAnsiTheme="minorHAnsi" w:cstheme="minorHAnsi"/>
                <w:color w:val="000000"/>
                <w:sz w:val="16"/>
                <w:szCs w:val="16"/>
              </w:rPr>
            </w:pPr>
            <w:r w:rsidRPr="00E060E5">
              <w:rPr>
                <w:rFonts w:asciiTheme="minorHAnsi" w:eastAsia="Times New Roman" w:hAnsiTheme="minorHAnsi" w:cstheme="minorHAnsi"/>
                <w:color w:val="000000"/>
                <w:sz w:val="16"/>
                <w:szCs w:val="16"/>
              </w:rPr>
              <w:t>503</w:t>
            </w:r>
          </w:p>
        </w:tc>
        <w:tc>
          <w:tcPr>
            <w:tcW w:w="611" w:type="dxa"/>
            <w:tcBorders>
              <w:top w:val="nil"/>
              <w:left w:val="nil"/>
              <w:bottom w:val="single" w:sz="4" w:space="0" w:color="auto"/>
              <w:right w:val="single" w:sz="4" w:space="0" w:color="auto"/>
            </w:tcBorders>
            <w:shd w:val="clear" w:color="000000" w:fill="BEECF0"/>
            <w:noWrap/>
            <w:vAlign w:val="center"/>
            <w:hideMark/>
          </w:tcPr>
          <w:p w:rsidR="00BA05A3" w:rsidRPr="00E060E5" w:rsidRDefault="00BA05A3" w:rsidP="00DA7A22">
            <w:pPr>
              <w:spacing w:line="240" w:lineRule="auto"/>
              <w:jc w:val="center"/>
              <w:rPr>
                <w:rFonts w:asciiTheme="minorHAnsi" w:eastAsia="Times New Roman" w:hAnsiTheme="minorHAnsi" w:cstheme="minorHAnsi"/>
                <w:color w:val="000000"/>
                <w:sz w:val="16"/>
                <w:szCs w:val="16"/>
              </w:rPr>
            </w:pPr>
            <w:r w:rsidRPr="00E060E5">
              <w:rPr>
                <w:rFonts w:asciiTheme="minorHAnsi" w:eastAsia="Times New Roman" w:hAnsiTheme="minorHAnsi" w:cstheme="minorHAnsi"/>
                <w:color w:val="000000"/>
                <w:sz w:val="16"/>
                <w:szCs w:val="16"/>
              </w:rPr>
              <w:t>597</w:t>
            </w:r>
          </w:p>
        </w:tc>
      </w:tr>
      <w:tr w:rsidR="00BA05A3" w:rsidRPr="00E060E5" w:rsidTr="00BA05A3">
        <w:trPr>
          <w:trHeight w:val="301"/>
        </w:trPr>
        <w:tc>
          <w:tcPr>
            <w:tcW w:w="3520" w:type="dxa"/>
            <w:tcBorders>
              <w:top w:val="nil"/>
              <w:left w:val="single" w:sz="4" w:space="0" w:color="auto"/>
              <w:bottom w:val="single" w:sz="4" w:space="0" w:color="auto"/>
              <w:right w:val="single" w:sz="4" w:space="0" w:color="auto"/>
            </w:tcBorders>
            <w:shd w:val="clear" w:color="auto" w:fill="auto"/>
            <w:noWrap/>
            <w:vAlign w:val="center"/>
            <w:hideMark/>
          </w:tcPr>
          <w:p w:rsidR="00BA05A3" w:rsidRPr="00E060E5" w:rsidRDefault="00BA05A3" w:rsidP="00DA7A22">
            <w:pPr>
              <w:spacing w:line="240" w:lineRule="auto"/>
              <w:rPr>
                <w:rFonts w:asciiTheme="minorHAnsi" w:eastAsia="Times New Roman" w:hAnsiTheme="minorHAnsi" w:cstheme="minorHAnsi"/>
                <w:color w:val="000000"/>
                <w:sz w:val="16"/>
                <w:szCs w:val="16"/>
              </w:rPr>
            </w:pPr>
            <w:r w:rsidRPr="00E060E5">
              <w:rPr>
                <w:rFonts w:asciiTheme="minorHAnsi" w:eastAsia="Times New Roman" w:hAnsiTheme="minorHAnsi" w:cstheme="minorHAnsi"/>
                <w:color w:val="000000"/>
                <w:sz w:val="16"/>
                <w:szCs w:val="16"/>
              </w:rPr>
              <w:t>gminy sąsiadujące</w:t>
            </w:r>
          </w:p>
        </w:tc>
        <w:tc>
          <w:tcPr>
            <w:tcW w:w="734" w:type="dxa"/>
            <w:tcBorders>
              <w:top w:val="nil"/>
              <w:left w:val="nil"/>
              <w:bottom w:val="single" w:sz="4" w:space="0" w:color="auto"/>
              <w:right w:val="single" w:sz="4" w:space="0" w:color="auto"/>
            </w:tcBorders>
            <w:shd w:val="clear" w:color="auto" w:fill="auto"/>
            <w:noWrap/>
            <w:vAlign w:val="center"/>
            <w:hideMark/>
          </w:tcPr>
          <w:p w:rsidR="00BA05A3" w:rsidRPr="00E060E5" w:rsidRDefault="00BA05A3" w:rsidP="00DA7A22">
            <w:pPr>
              <w:spacing w:line="240" w:lineRule="auto"/>
              <w:rPr>
                <w:rFonts w:asciiTheme="minorHAnsi" w:eastAsia="Times New Roman" w:hAnsiTheme="minorHAnsi" w:cstheme="minorHAnsi"/>
                <w:color w:val="000000"/>
                <w:sz w:val="16"/>
                <w:szCs w:val="16"/>
              </w:rPr>
            </w:pPr>
            <w:r w:rsidRPr="00E060E5">
              <w:rPr>
                <w:rFonts w:asciiTheme="minorHAnsi" w:eastAsia="Times New Roman" w:hAnsiTheme="minorHAnsi" w:cstheme="minorHAnsi"/>
                <w:color w:val="000000"/>
                <w:sz w:val="16"/>
                <w:szCs w:val="16"/>
              </w:rPr>
              <w:t>3888,50</w:t>
            </w:r>
          </w:p>
        </w:tc>
        <w:tc>
          <w:tcPr>
            <w:tcW w:w="1369" w:type="dxa"/>
            <w:tcBorders>
              <w:top w:val="nil"/>
              <w:left w:val="nil"/>
              <w:bottom w:val="single" w:sz="4" w:space="0" w:color="auto"/>
              <w:right w:val="single" w:sz="4" w:space="0" w:color="auto"/>
            </w:tcBorders>
            <w:shd w:val="clear" w:color="auto" w:fill="auto"/>
            <w:noWrap/>
            <w:vAlign w:val="center"/>
            <w:hideMark/>
          </w:tcPr>
          <w:p w:rsidR="00BA05A3" w:rsidRPr="00E060E5" w:rsidRDefault="00BA05A3" w:rsidP="00DA7A22">
            <w:pPr>
              <w:spacing w:line="240" w:lineRule="auto"/>
              <w:jc w:val="center"/>
              <w:rPr>
                <w:rFonts w:asciiTheme="minorHAnsi" w:eastAsia="Times New Roman" w:hAnsiTheme="minorHAnsi" w:cstheme="minorHAnsi"/>
                <w:color w:val="000000"/>
                <w:sz w:val="16"/>
                <w:szCs w:val="16"/>
              </w:rPr>
            </w:pPr>
            <w:r w:rsidRPr="00E060E5">
              <w:rPr>
                <w:rFonts w:asciiTheme="minorHAnsi" w:eastAsia="Times New Roman" w:hAnsiTheme="minorHAnsi" w:cstheme="minorHAnsi"/>
                <w:color w:val="000000"/>
                <w:sz w:val="16"/>
                <w:szCs w:val="16"/>
              </w:rPr>
              <w:t>5,83</w:t>
            </w:r>
          </w:p>
        </w:tc>
        <w:tc>
          <w:tcPr>
            <w:tcW w:w="608" w:type="dxa"/>
            <w:tcBorders>
              <w:top w:val="nil"/>
              <w:left w:val="nil"/>
              <w:bottom w:val="single" w:sz="4" w:space="0" w:color="auto"/>
              <w:right w:val="single" w:sz="4" w:space="0" w:color="auto"/>
            </w:tcBorders>
            <w:shd w:val="clear" w:color="auto" w:fill="auto"/>
            <w:noWrap/>
            <w:vAlign w:val="center"/>
            <w:hideMark/>
          </w:tcPr>
          <w:p w:rsidR="00BA05A3" w:rsidRPr="00E060E5" w:rsidRDefault="00BA05A3" w:rsidP="00DA7A22">
            <w:pPr>
              <w:spacing w:line="240" w:lineRule="auto"/>
              <w:jc w:val="center"/>
              <w:rPr>
                <w:rFonts w:asciiTheme="minorHAnsi" w:eastAsia="Times New Roman" w:hAnsiTheme="minorHAnsi" w:cstheme="minorHAnsi"/>
                <w:color w:val="000000"/>
                <w:sz w:val="16"/>
                <w:szCs w:val="16"/>
              </w:rPr>
            </w:pPr>
            <w:r w:rsidRPr="00E060E5">
              <w:rPr>
                <w:rFonts w:asciiTheme="minorHAnsi" w:eastAsia="Times New Roman" w:hAnsiTheme="minorHAnsi" w:cstheme="minorHAnsi"/>
                <w:color w:val="000000"/>
                <w:sz w:val="16"/>
                <w:szCs w:val="16"/>
              </w:rPr>
              <w:t>117</w:t>
            </w:r>
          </w:p>
        </w:tc>
        <w:tc>
          <w:tcPr>
            <w:tcW w:w="608" w:type="dxa"/>
            <w:tcBorders>
              <w:top w:val="nil"/>
              <w:left w:val="nil"/>
              <w:bottom w:val="single" w:sz="4" w:space="0" w:color="auto"/>
              <w:right w:val="single" w:sz="4" w:space="0" w:color="auto"/>
            </w:tcBorders>
            <w:shd w:val="clear" w:color="auto" w:fill="auto"/>
            <w:noWrap/>
            <w:vAlign w:val="center"/>
            <w:hideMark/>
          </w:tcPr>
          <w:p w:rsidR="00BA05A3" w:rsidRPr="00E060E5" w:rsidRDefault="00BA05A3" w:rsidP="00DA7A22">
            <w:pPr>
              <w:spacing w:line="240" w:lineRule="auto"/>
              <w:jc w:val="center"/>
              <w:rPr>
                <w:rFonts w:asciiTheme="minorHAnsi" w:eastAsia="Times New Roman" w:hAnsiTheme="minorHAnsi" w:cstheme="minorHAnsi"/>
                <w:color w:val="000000"/>
                <w:sz w:val="16"/>
                <w:szCs w:val="16"/>
              </w:rPr>
            </w:pPr>
            <w:r w:rsidRPr="00E060E5">
              <w:rPr>
                <w:rFonts w:asciiTheme="minorHAnsi" w:eastAsia="Times New Roman" w:hAnsiTheme="minorHAnsi" w:cstheme="minorHAnsi"/>
                <w:color w:val="000000"/>
                <w:sz w:val="16"/>
                <w:szCs w:val="16"/>
              </w:rPr>
              <w:t>204</w:t>
            </w:r>
          </w:p>
        </w:tc>
        <w:tc>
          <w:tcPr>
            <w:tcW w:w="608" w:type="dxa"/>
            <w:tcBorders>
              <w:top w:val="nil"/>
              <w:left w:val="nil"/>
              <w:bottom w:val="single" w:sz="4" w:space="0" w:color="auto"/>
              <w:right w:val="single" w:sz="4" w:space="0" w:color="auto"/>
            </w:tcBorders>
            <w:shd w:val="clear" w:color="auto" w:fill="auto"/>
            <w:noWrap/>
            <w:vAlign w:val="center"/>
            <w:hideMark/>
          </w:tcPr>
          <w:p w:rsidR="00BA05A3" w:rsidRPr="00E060E5" w:rsidRDefault="00BA05A3" w:rsidP="00DA7A22">
            <w:pPr>
              <w:spacing w:line="240" w:lineRule="auto"/>
              <w:jc w:val="center"/>
              <w:rPr>
                <w:rFonts w:asciiTheme="minorHAnsi" w:eastAsia="Times New Roman" w:hAnsiTheme="minorHAnsi" w:cstheme="minorHAnsi"/>
                <w:color w:val="000000"/>
                <w:sz w:val="16"/>
                <w:szCs w:val="16"/>
              </w:rPr>
            </w:pPr>
            <w:r w:rsidRPr="00E060E5">
              <w:rPr>
                <w:rFonts w:asciiTheme="minorHAnsi" w:eastAsia="Times New Roman" w:hAnsiTheme="minorHAnsi" w:cstheme="minorHAnsi"/>
                <w:color w:val="000000"/>
                <w:sz w:val="16"/>
                <w:szCs w:val="16"/>
              </w:rPr>
              <w:t>292</w:t>
            </w:r>
          </w:p>
        </w:tc>
        <w:tc>
          <w:tcPr>
            <w:tcW w:w="608" w:type="dxa"/>
            <w:tcBorders>
              <w:top w:val="nil"/>
              <w:left w:val="nil"/>
              <w:bottom w:val="single" w:sz="4" w:space="0" w:color="auto"/>
              <w:right w:val="single" w:sz="4" w:space="0" w:color="auto"/>
            </w:tcBorders>
            <w:shd w:val="clear" w:color="auto" w:fill="auto"/>
            <w:noWrap/>
            <w:vAlign w:val="center"/>
            <w:hideMark/>
          </w:tcPr>
          <w:p w:rsidR="00BA05A3" w:rsidRPr="00E060E5" w:rsidRDefault="00BA05A3" w:rsidP="00DA7A22">
            <w:pPr>
              <w:spacing w:line="240" w:lineRule="auto"/>
              <w:jc w:val="center"/>
              <w:rPr>
                <w:rFonts w:asciiTheme="minorHAnsi" w:eastAsia="Times New Roman" w:hAnsiTheme="minorHAnsi" w:cstheme="minorHAnsi"/>
                <w:color w:val="000000"/>
                <w:sz w:val="16"/>
                <w:szCs w:val="16"/>
              </w:rPr>
            </w:pPr>
            <w:r w:rsidRPr="00E060E5">
              <w:rPr>
                <w:rFonts w:asciiTheme="minorHAnsi" w:eastAsia="Times New Roman" w:hAnsiTheme="minorHAnsi" w:cstheme="minorHAnsi"/>
                <w:color w:val="000000"/>
                <w:sz w:val="16"/>
                <w:szCs w:val="16"/>
              </w:rPr>
              <w:t>379</w:t>
            </w:r>
          </w:p>
        </w:tc>
        <w:tc>
          <w:tcPr>
            <w:tcW w:w="608" w:type="dxa"/>
            <w:tcBorders>
              <w:top w:val="nil"/>
              <w:left w:val="nil"/>
              <w:bottom w:val="single" w:sz="4" w:space="0" w:color="auto"/>
              <w:right w:val="single" w:sz="4" w:space="0" w:color="auto"/>
            </w:tcBorders>
            <w:shd w:val="clear" w:color="auto" w:fill="auto"/>
            <w:noWrap/>
            <w:vAlign w:val="center"/>
            <w:hideMark/>
          </w:tcPr>
          <w:p w:rsidR="00BA05A3" w:rsidRPr="00E060E5" w:rsidRDefault="00BA05A3" w:rsidP="00DA7A22">
            <w:pPr>
              <w:spacing w:line="240" w:lineRule="auto"/>
              <w:jc w:val="center"/>
              <w:rPr>
                <w:rFonts w:asciiTheme="minorHAnsi" w:eastAsia="Times New Roman" w:hAnsiTheme="minorHAnsi" w:cstheme="minorHAnsi"/>
                <w:color w:val="000000"/>
                <w:sz w:val="16"/>
                <w:szCs w:val="16"/>
              </w:rPr>
            </w:pPr>
            <w:r w:rsidRPr="00E060E5">
              <w:rPr>
                <w:rFonts w:asciiTheme="minorHAnsi" w:eastAsia="Times New Roman" w:hAnsiTheme="minorHAnsi" w:cstheme="minorHAnsi"/>
                <w:color w:val="000000"/>
                <w:sz w:val="16"/>
                <w:szCs w:val="16"/>
              </w:rPr>
              <w:t>467</w:t>
            </w:r>
          </w:p>
        </w:tc>
        <w:tc>
          <w:tcPr>
            <w:tcW w:w="611" w:type="dxa"/>
            <w:tcBorders>
              <w:top w:val="nil"/>
              <w:left w:val="nil"/>
              <w:bottom w:val="single" w:sz="4" w:space="0" w:color="auto"/>
              <w:right w:val="single" w:sz="4" w:space="0" w:color="auto"/>
            </w:tcBorders>
            <w:shd w:val="clear" w:color="auto" w:fill="auto"/>
            <w:noWrap/>
            <w:vAlign w:val="center"/>
            <w:hideMark/>
          </w:tcPr>
          <w:p w:rsidR="00BA05A3" w:rsidRPr="00E060E5" w:rsidRDefault="00BA05A3" w:rsidP="00DA7A22">
            <w:pPr>
              <w:spacing w:line="240" w:lineRule="auto"/>
              <w:jc w:val="center"/>
              <w:rPr>
                <w:rFonts w:asciiTheme="minorHAnsi" w:eastAsia="Times New Roman" w:hAnsiTheme="minorHAnsi" w:cstheme="minorHAnsi"/>
                <w:color w:val="000000"/>
                <w:sz w:val="16"/>
                <w:szCs w:val="16"/>
              </w:rPr>
            </w:pPr>
            <w:r w:rsidRPr="00E060E5">
              <w:rPr>
                <w:rFonts w:asciiTheme="minorHAnsi" w:eastAsia="Times New Roman" w:hAnsiTheme="minorHAnsi" w:cstheme="minorHAnsi"/>
                <w:color w:val="000000"/>
                <w:sz w:val="16"/>
                <w:szCs w:val="16"/>
              </w:rPr>
              <w:t>554</w:t>
            </w:r>
          </w:p>
        </w:tc>
      </w:tr>
      <w:tr w:rsidR="00BA05A3" w:rsidRPr="00E060E5" w:rsidTr="00BA05A3">
        <w:trPr>
          <w:trHeight w:val="301"/>
        </w:trPr>
        <w:tc>
          <w:tcPr>
            <w:tcW w:w="3520" w:type="dxa"/>
            <w:tcBorders>
              <w:top w:val="nil"/>
              <w:left w:val="single" w:sz="4" w:space="0" w:color="auto"/>
              <w:bottom w:val="single" w:sz="4" w:space="0" w:color="auto"/>
              <w:right w:val="single" w:sz="4" w:space="0" w:color="auto"/>
            </w:tcBorders>
            <w:shd w:val="clear" w:color="000000" w:fill="BEECF0"/>
            <w:noWrap/>
            <w:vAlign w:val="center"/>
            <w:hideMark/>
          </w:tcPr>
          <w:p w:rsidR="00BA05A3" w:rsidRPr="00E060E5" w:rsidRDefault="00BA05A3" w:rsidP="00DA7A22">
            <w:pPr>
              <w:spacing w:line="240" w:lineRule="auto"/>
              <w:rPr>
                <w:rFonts w:asciiTheme="minorHAnsi" w:eastAsia="Times New Roman" w:hAnsiTheme="minorHAnsi" w:cstheme="minorHAnsi"/>
                <w:color w:val="000000"/>
                <w:sz w:val="16"/>
                <w:szCs w:val="16"/>
              </w:rPr>
            </w:pPr>
            <w:r w:rsidRPr="00E060E5">
              <w:rPr>
                <w:rFonts w:asciiTheme="minorHAnsi" w:eastAsia="Times New Roman" w:hAnsiTheme="minorHAnsi" w:cstheme="minorHAnsi"/>
                <w:color w:val="000000"/>
                <w:sz w:val="16"/>
                <w:szCs w:val="16"/>
              </w:rPr>
              <w:t>województwo zachodniopomorskie</w:t>
            </w:r>
          </w:p>
        </w:tc>
        <w:tc>
          <w:tcPr>
            <w:tcW w:w="734" w:type="dxa"/>
            <w:tcBorders>
              <w:top w:val="nil"/>
              <w:left w:val="nil"/>
              <w:bottom w:val="single" w:sz="4" w:space="0" w:color="auto"/>
              <w:right w:val="single" w:sz="4" w:space="0" w:color="auto"/>
            </w:tcBorders>
            <w:shd w:val="clear" w:color="000000" w:fill="BEECF0"/>
            <w:noWrap/>
            <w:vAlign w:val="center"/>
            <w:hideMark/>
          </w:tcPr>
          <w:p w:rsidR="00BA05A3" w:rsidRPr="00E060E5" w:rsidRDefault="00BA05A3" w:rsidP="00DA7A22">
            <w:pPr>
              <w:spacing w:line="240" w:lineRule="auto"/>
              <w:rPr>
                <w:rFonts w:asciiTheme="minorHAnsi" w:eastAsia="Times New Roman" w:hAnsiTheme="minorHAnsi" w:cstheme="minorHAnsi"/>
                <w:color w:val="000000"/>
                <w:sz w:val="16"/>
                <w:szCs w:val="16"/>
              </w:rPr>
            </w:pPr>
            <w:r w:rsidRPr="00E060E5">
              <w:rPr>
                <w:rFonts w:asciiTheme="minorHAnsi" w:eastAsia="Times New Roman" w:hAnsiTheme="minorHAnsi" w:cstheme="minorHAnsi"/>
                <w:color w:val="000000"/>
                <w:sz w:val="16"/>
                <w:szCs w:val="16"/>
              </w:rPr>
              <w:t>3589,50</w:t>
            </w:r>
          </w:p>
        </w:tc>
        <w:tc>
          <w:tcPr>
            <w:tcW w:w="1369" w:type="dxa"/>
            <w:tcBorders>
              <w:top w:val="nil"/>
              <w:left w:val="nil"/>
              <w:bottom w:val="single" w:sz="4" w:space="0" w:color="auto"/>
              <w:right w:val="single" w:sz="4" w:space="0" w:color="auto"/>
            </w:tcBorders>
            <w:shd w:val="clear" w:color="000000" w:fill="BEECF0"/>
            <w:noWrap/>
            <w:vAlign w:val="center"/>
            <w:hideMark/>
          </w:tcPr>
          <w:p w:rsidR="00BA05A3" w:rsidRPr="00E060E5" w:rsidRDefault="00BA05A3" w:rsidP="00DA7A22">
            <w:pPr>
              <w:spacing w:line="240" w:lineRule="auto"/>
              <w:jc w:val="center"/>
              <w:rPr>
                <w:rFonts w:asciiTheme="minorHAnsi" w:eastAsia="Times New Roman" w:hAnsiTheme="minorHAnsi" w:cstheme="minorHAnsi"/>
                <w:color w:val="000000"/>
                <w:sz w:val="16"/>
                <w:szCs w:val="16"/>
              </w:rPr>
            </w:pPr>
            <w:r w:rsidRPr="00E060E5">
              <w:rPr>
                <w:rFonts w:asciiTheme="minorHAnsi" w:eastAsia="Times New Roman" w:hAnsiTheme="minorHAnsi" w:cstheme="minorHAnsi"/>
                <w:color w:val="000000"/>
                <w:sz w:val="16"/>
                <w:szCs w:val="16"/>
              </w:rPr>
              <w:t>5,38</w:t>
            </w:r>
          </w:p>
        </w:tc>
        <w:tc>
          <w:tcPr>
            <w:tcW w:w="608" w:type="dxa"/>
            <w:tcBorders>
              <w:top w:val="nil"/>
              <w:left w:val="nil"/>
              <w:bottom w:val="single" w:sz="4" w:space="0" w:color="auto"/>
              <w:right w:val="single" w:sz="4" w:space="0" w:color="auto"/>
            </w:tcBorders>
            <w:shd w:val="clear" w:color="000000" w:fill="BEECF0"/>
            <w:noWrap/>
            <w:vAlign w:val="center"/>
            <w:hideMark/>
          </w:tcPr>
          <w:p w:rsidR="00BA05A3" w:rsidRPr="00E060E5" w:rsidRDefault="00BA05A3" w:rsidP="00DA7A22">
            <w:pPr>
              <w:spacing w:line="240" w:lineRule="auto"/>
              <w:jc w:val="center"/>
              <w:rPr>
                <w:rFonts w:asciiTheme="minorHAnsi" w:eastAsia="Times New Roman" w:hAnsiTheme="minorHAnsi" w:cstheme="minorHAnsi"/>
                <w:color w:val="000000"/>
                <w:sz w:val="16"/>
                <w:szCs w:val="16"/>
              </w:rPr>
            </w:pPr>
            <w:r w:rsidRPr="00E060E5">
              <w:rPr>
                <w:rFonts w:asciiTheme="minorHAnsi" w:eastAsia="Times New Roman" w:hAnsiTheme="minorHAnsi" w:cstheme="minorHAnsi"/>
                <w:color w:val="000000"/>
                <w:sz w:val="16"/>
                <w:szCs w:val="16"/>
              </w:rPr>
              <w:t>108</w:t>
            </w:r>
          </w:p>
        </w:tc>
        <w:tc>
          <w:tcPr>
            <w:tcW w:w="608" w:type="dxa"/>
            <w:tcBorders>
              <w:top w:val="nil"/>
              <w:left w:val="nil"/>
              <w:bottom w:val="single" w:sz="4" w:space="0" w:color="auto"/>
              <w:right w:val="single" w:sz="4" w:space="0" w:color="auto"/>
            </w:tcBorders>
            <w:shd w:val="clear" w:color="000000" w:fill="BEECF0"/>
            <w:noWrap/>
            <w:vAlign w:val="center"/>
            <w:hideMark/>
          </w:tcPr>
          <w:p w:rsidR="00BA05A3" w:rsidRPr="00E060E5" w:rsidRDefault="00BA05A3" w:rsidP="00DA7A22">
            <w:pPr>
              <w:spacing w:line="240" w:lineRule="auto"/>
              <w:jc w:val="center"/>
              <w:rPr>
                <w:rFonts w:asciiTheme="minorHAnsi" w:eastAsia="Times New Roman" w:hAnsiTheme="minorHAnsi" w:cstheme="minorHAnsi"/>
                <w:color w:val="000000"/>
                <w:sz w:val="16"/>
                <w:szCs w:val="16"/>
              </w:rPr>
            </w:pPr>
            <w:r w:rsidRPr="00E060E5">
              <w:rPr>
                <w:rFonts w:asciiTheme="minorHAnsi" w:eastAsia="Times New Roman" w:hAnsiTheme="minorHAnsi" w:cstheme="minorHAnsi"/>
                <w:color w:val="000000"/>
                <w:sz w:val="16"/>
                <w:szCs w:val="16"/>
              </w:rPr>
              <w:t>188</w:t>
            </w:r>
          </w:p>
        </w:tc>
        <w:tc>
          <w:tcPr>
            <w:tcW w:w="608" w:type="dxa"/>
            <w:tcBorders>
              <w:top w:val="nil"/>
              <w:left w:val="nil"/>
              <w:bottom w:val="single" w:sz="4" w:space="0" w:color="auto"/>
              <w:right w:val="single" w:sz="4" w:space="0" w:color="auto"/>
            </w:tcBorders>
            <w:shd w:val="clear" w:color="000000" w:fill="BEECF0"/>
            <w:noWrap/>
            <w:vAlign w:val="center"/>
            <w:hideMark/>
          </w:tcPr>
          <w:p w:rsidR="00BA05A3" w:rsidRPr="00E060E5" w:rsidRDefault="00BA05A3" w:rsidP="00DA7A22">
            <w:pPr>
              <w:spacing w:line="240" w:lineRule="auto"/>
              <w:jc w:val="center"/>
              <w:rPr>
                <w:rFonts w:asciiTheme="minorHAnsi" w:eastAsia="Times New Roman" w:hAnsiTheme="minorHAnsi" w:cstheme="minorHAnsi"/>
                <w:color w:val="000000"/>
                <w:sz w:val="16"/>
                <w:szCs w:val="16"/>
              </w:rPr>
            </w:pPr>
            <w:r w:rsidRPr="00E060E5">
              <w:rPr>
                <w:rFonts w:asciiTheme="minorHAnsi" w:eastAsia="Times New Roman" w:hAnsiTheme="minorHAnsi" w:cstheme="minorHAnsi"/>
                <w:color w:val="000000"/>
                <w:sz w:val="16"/>
                <w:szCs w:val="16"/>
              </w:rPr>
              <w:t>269</w:t>
            </w:r>
          </w:p>
        </w:tc>
        <w:tc>
          <w:tcPr>
            <w:tcW w:w="608" w:type="dxa"/>
            <w:tcBorders>
              <w:top w:val="nil"/>
              <w:left w:val="nil"/>
              <w:bottom w:val="single" w:sz="4" w:space="0" w:color="auto"/>
              <w:right w:val="single" w:sz="4" w:space="0" w:color="auto"/>
            </w:tcBorders>
            <w:shd w:val="clear" w:color="000000" w:fill="BEECF0"/>
            <w:noWrap/>
            <w:vAlign w:val="center"/>
            <w:hideMark/>
          </w:tcPr>
          <w:p w:rsidR="00BA05A3" w:rsidRPr="00E060E5" w:rsidRDefault="00BA05A3" w:rsidP="00DA7A22">
            <w:pPr>
              <w:spacing w:line="240" w:lineRule="auto"/>
              <w:jc w:val="center"/>
              <w:rPr>
                <w:rFonts w:asciiTheme="minorHAnsi" w:eastAsia="Times New Roman" w:hAnsiTheme="minorHAnsi" w:cstheme="minorHAnsi"/>
                <w:color w:val="000000"/>
                <w:sz w:val="16"/>
                <w:szCs w:val="16"/>
              </w:rPr>
            </w:pPr>
            <w:r w:rsidRPr="00E060E5">
              <w:rPr>
                <w:rFonts w:asciiTheme="minorHAnsi" w:eastAsia="Times New Roman" w:hAnsiTheme="minorHAnsi" w:cstheme="minorHAnsi"/>
                <w:color w:val="000000"/>
                <w:sz w:val="16"/>
                <w:szCs w:val="16"/>
              </w:rPr>
              <w:t>350</w:t>
            </w:r>
          </w:p>
        </w:tc>
        <w:tc>
          <w:tcPr>
            <w:tcW w:w="608" w:type="dxa"/>
            <w:tcBorders>
              <w:top w:val="nil"/>
              <w:left w:val="nil"/>
              <w:bottom w:val="single" w:sz="4" w:space="0" w:color="auto"/>
              <w:right w:val="single" w:sz="4" w:space="0" w:color="auto"/>
            </w:tcBorders>
            <w:shd w:val="clear" w:color="000000" w:fill="BEECF0"/>
            <w:noWrap/>
            <w:vAlign w:val="center"/>
            <w:hideMark/>
          </w:tcPr>
          <w:p w:rsidR="00BA05A3" w:rsidRPr="00E060E5" w:rsidRDefault="00BA05A3" w:rsidP="00DA7A22">
            <w:pPr>
              <w:spacing w:line="240" w:lineRule="auto"/>
              <w:jc w:val="center"/>
              <w:rPr>
                <w:rFonts w:asciiTheme="minorHAnsi" w:eastAsia="Times New Roman" w:hAnsiTheme="minorHAnsi" w:cstheme="minorHAnsi"/>
                <w:color w:val="000000"/>
                <w:sz w:val="16"/>
                <w:szCs w:val="16"/>
              </w:rPr>
            </w:pPr>
            <w:r w:rsidRPr="00E060E5">
              <w:rPr>
                <w:rFonts w:asciiTheme="minorHAnsi" w:eastAsia="Times New Roman" w:hAnsiTheme="minorHAnsi" w:cstheme="minorHAnsi"/>
                <w:color w:val="000000"/>
                <w:sz w:val="16"/>
                <w:szCs w:val="16"/>
              </w:rPr>
              <w:t>431</w:t>
            </w:r>
          </w:p>
        </w:tc>
        <w:tc>
          <w:tcPr>
            <w:tcW w:w="611" w:type="dxa"/>
            <w:tcBorders>
              <w:top w:val="nil"/>
              <w:left w:val="nil"/>
              <w:bottom w:val="single" w:sz="4" w:space="0" w:color="auto"/>
              <w:right w:val="single" w:sz="4" w:space="0" w:color="auto"/>
            </w:tcBorders>
            <w:shd w:val="clear" w:color="000000" w:fill="BEECF0"/>
            <w:noWrap/>
            <w:vAlign w:val="center"/>
            <w:hideMark/>
          </w:tcPr>
          <w:p w:rsidR="00BA05A3" w:rsidRPr="00E060E5" w:rsidRDefault="00BA05A3" w:rsidP="00DA7A22">
            <w:pPr>
              <w:spacing w:line="240" w:lineRule="auto"/>
              <w:jc w:val="center"/>
              <w:rPr>
                <w:rFonts w:asciiTheme="minorHAnsi" w:eastAsia="Times New Roman" w:hAnsiTheme="minorHAnsi" w:cstheme="minorHAnsi"/>
                <w:color w:val="000000"/>
                <w:sz w:val="16"/>
                <w:szCs w:val="16"/>
              </w:rPr>
            </w:pPr>
            <w:r w:rsidRPr="00E060E5">
              <w:rPr>
                <w:rFonts w:asciiTheme="minorHAnsi" w:eastAsia="Times New Roman" w:hAnsiTheme="minorHAnsi" w:cstheme="minorHAnsi"/>
                <w:color w:val="000000"/>
                <w:sz w:val="16"/>
                <w:szCs w:val="16"/>
              </w:rPr>
              <w:t>512</w:t>
            </w:r>
          </w:p>
        </w:tc>
      </w:tr>
    </w:tbl>
    <w:p w:rsidR="00BA05A3" w:rsidRDefault="00BA05A3" w:rsidP="00BA05A3">
      <w:pPr>
        <w:pStyle w:val="Akapitzlist"/>
        <w:tabs>
          <w:tab w:val="left" w:pos="540"/>
        </w:tabs>
        <w:spacing w:after="240" w:line="240" w:lineRule="exact"/>
        <w:ind w:left="1260"/>
        <w:contextualSpacing w:val="0"/>
        <w:rPr>
          <w:rFonts w:asciiTheme="minorHAnsi" w:hAnsiTheme="minorHAnsi" w:cs="Arial"/>
          <w:b/>
          <w:sz w:val="22"/>
          <w:szCs w:val="22"/>
        </w:rPr>
      </w:pPr>
    </w:p>
    <w:p w:rsidR="009D71F6" w:rsidRPr="00AE1163" w:rsidRDefault="00AE1163" w:rsidP="00730411">
      <w:pPr>
        <w:pStyle w:val="Akapitzlist"/>
        <w:numPr>
          <w:ilvl w:val="0"/>
          <w:numId w:val="1"/>
        </w:numPr>
        <w:tabs>
          <w:tab w:val="left" w:pos="540"/>
        </w:tabs>
        <w:spacing w:after="240" w:line="240" w:lineRule="exact"/>
        <w:contextualSpacing w:val="0"/>
        <w:rPr>
          <w:rFonts w:asciiTheme="minorHAnsi" w:hAnsiTheme="minorHAnsi" w:cs="Arial"/>
          <w:b/>
          <w:sz w:val="22"/>
          <w:szCs w:val="22"/>
        </w:rPr>
      </w:pPr>
      <w:r>
        <w:rPr>
          <w:rFonts w:asciiTheme="minorHAnsi" w:hAnsiTheme="minorHAnsi" w:cs="Arial"/>
          <w:b/>
          <w:sz w:val="22"/>
          <w:szCs w:val="22"/>
        </w:rPr>
        <w:t xml:space="preserve">Zasady </w:t>
      </w:r>
      <w:r w:rsidR="0005174A">
        <w:rPr>
          <w:rFonts w:asciiTheme="minorHAnsi" w:hAnsiTheme="minorHAnsi" w:cs="Arial"/>
          <w:b/>
          <w:sz w:val="22"/>
          <w:szCs w:val="22"/>
        </w:rPr>
        <w:t>przyznawania</w:t>
      </w:r>
      <w:r>
        <w:rPr>
          <w:rFonts w:asciiTheme="minorHAnsi" w:hAnsiTheme="minorHAnsi" w:cs="Arial"/>
          <w:b/>
          <w:sz w:val="22"/>
          <w:szCs w:val="22"/>
        </w:rPr>
        <w:t xml:space="preserve"> dopłat</w:t>
      </w:r>
    </w:p>
    <w:p w:rsidR="00AE1163" w:rsidRDefault="0062163C" w:rsidP="00730411">
      <w:pPr>
        <w:tabs>
          <w:tab w:val="left" w:pos="540"/>
        </w:tabs>
        <w:spacing w:after="240" w:line="240" w:lineRule="exact"/>
        <w:rPr>
          <w:rFonts w:asciiTheme="minorHAnsi" w:hAnsiTheme="minorHAnsi" w:cs="Arial"/>
          <w:sz w:val="22"/>
          <w:szCs w:val="22"/>
        </w:rPr>
      </w:pPr>
      <w:r w:rsidRPr="00AE1163">
        <w:rPr>
          <w:rFonts w:asciiTheme="minorHAnsi" w:hAnsiTheme="minorHAnsi" w:cs="Arial"/>
          <w:sz w:val="22"/>
          <w:szCs w:val="22"/>
        </w:rPr>
        <w:t>Rozdział 3</w:t>
      </w:r>
      <w:r w:rsidR="00481298">
        <w:rPr>
          <w:rFonts w:asciiTheme="minorHAnsi" w:hAnsiTheme="minorHAnsi" w:cs="Arial"/>
          <w:sz w:val="22"/>
          <w:szCs w:val="22"/>
        </w:rPr>
        <w:t>.</w:t>
      </w:r>
      <w:r w:rsidRPr="00AE1163">
        <w:rPr>
          <w:rFonts w:asciiTheme="minorHAnsi" w:hAnsiTheme="minorHAnsi" w:cs="Arial"/>
          <w:sz w:val="22"/>
          <w:szCs w:val="22"/>
        </w:rPr>
        <w:t xml:space="preserve"> projektu ustawy </w:t>
      </w:r>
      <w:r w:rsidR="0059403C" w:rsidRPr="00E24FED">
        <w:rPr>
          <w:rFonts w:asciiTheme="minorHAnsi" w:hAnsiTheme="minorHAnsi" w:cs="Arial"/>
          <w:sz w:val="22"/>
          <w:szCs w:val="22"/>
        </w:rPr>
        <w:t xml:space="preserve">zawiera przepisy regulujące </w:t>
      </w:r>
      <w:r w:rsidR="00AE1163" w:rsidRPr="00E24FED">
        <w:rPr>
          <w:rFonts w:asciiTheme="minorHAnsi" w:hAnsiTheme="minorHAnsi" w:cs="Arial"/>
          <w:sz w:val="22"/>
          <w:szCs w:val="22"/>
        </w:rPr>
        <w:t xml:space="preserve">zasady </w:t>
      </w:r>
      <w:r w:rsidR="00272C36">
        <w:rPr>
          <w:rFonts w:asciiTheme="minorHAnsi" w:hAnsiTheme="minorHAnsi" w:cs="Arial"/>
          <w:sz w:val="22"/>
          <w:szCs w:val="22"/>
        </w:rPr>
        <w:t>przyznawania</w:t>
      </w:r>
      <w:r w:rsidR="00AE1163" w:rsidRPr="00E24FED">
        <w:rPr>
          <w:rFonts w:asciiTheme="minorHAnsi" w:hAnsiTheme="minorHAnsi" w:cs="Arial"/>
          <w:sz w:val="22"/>
          <w:szCs w:val="22"/>
        </w:rPr>
        <w:t xml:space="preserve"> dopłat</w:t>
      </w:r>
      <w:r w:rsidR="00F572E1" w:rsidRPr="00E24FED">
        <w:rPr>
          <w:rFonts w:asciiTheme="minorHAnsi" w:hAnsiTheme="minorHAnsi" w:cs="Arial"/>
          <w:sz w:val="22"/>
          <w:szCs w:val="22"/>
        </w:rPr>
        <w:t xml:space="preserve"> (</w:t>
      </w:r>
      <w:r w:rsidR="00891E06" w:rsidRPr="00E24FED">
        <w:rPr>
          <w:rFonts w:asciiTheme="minorHAnsi" w:hAnsiTheme="minorHAnsi" w:cs="Arial"/>
          <w:sz w:val="22"/>
          <w:szCs w:val="22"/>
        </w:rPr>
        <w:t>art. 1</w:t>
      </w:r>
      <w:r w:rsidR="00FA3210">
        <w:rPr>
          <w:rFonts w:asciiTheme="minorHAnsi" w:hAnsiTheme="minorHAnsi" w:cs="Arial"/>
          <w:sz w:val="22"/>
          <w:szCs w:val="22"/>
        </w:rPr>
        <w:t>2</w:t>
      </w:r>
      <w:r w:rsidR="00F41717" w:rsidRPr="00E24FED">
        <w:rPr>
          <w:rFonts w:asciiTheme="minorHAnsi" w:hAnsiTheme="minorHAnsi" w:cs="Arial"/>
          <w:sz w:val="22"/>
          <w:szCs w:val="22"/>
        </w:rPr>
        <w:t>-</w:t>
      </w:r>
      <w:r w:rsidR="00FA3210">
        <w:rPr>
          <w:rFonts w:asciiTheme="minorHAnsi" w:hAnsiTheme="minorHAnsi" w:cs="Arial"/>
          <w:sz w:val="22"/>
          <w:szCs w:val="22"/>
        </w:rPr>
        <w:t>20</w:t>
      </w:r>
      <w:r w:rsidR="00F41717" w:rsidRPr="00E24FED">
        <w:rPr>
          <w:rFonts w:asciiTheme="minorHAnsi" w:hAnsiTheme="minorHAnsi" w:cs="Arial"/>
          <w:sz w:val="22"/>
          <w:szCs w:val="22"/>
        </w:rPr>
        <w:t>)</w:t>
      </w:r>
      <w:r w:rsidR="00F572E1" w:rsidRPr="00E24FED">
        <w:rPr>
          <w:rFonts w:asciiTheme="minorHAnsi" w:hAnsiTheme="minorHAnsi" w:cs="Arial"/>
          <w:sz w:val="22"/>
          <w:szCs w:val="22"/>
        </w:rPr>
        <w:t xml:space="preserve">. Celem wprowadzenia omawianych regulacji jest </w:t>
      </w:r>
      <w:r w:rsidR="00E24FED" w:rsidRPr="00E24FED">
        <w:rPr>
          <w:rFonts w:asciiTheme="minorHAnsi" w:hAnsiTheme="minorHAnsi" w:cs="Arial"/>
          <w:sz w:val="22"/>
          <w:szCs w:val="22"/>
        </w:rPr>
        <w:t>określenie</w:t>
      </w:r>
      <w:r w:rsidR="00E24FED">
        <w:rPr>
          <w:rFonts w:asciiTheme="minorHAnsi" w:hAnsiTheme="minorHAnsi" w:cs="Arial"/>
          <w:sz w:val="22"/>
          <w:szCs w:val="22"/>
        </w:rPr>
        <w:t xml:space="preserve"> pr</w:t>
      </w:r>
      <w:r w:rsidR="003169CD">
        <w:rPr>
          <w:rFonts w:asciiTheme="minorHAnsi" w:hAnsiTheme="minorHAnsi" w:cs="Arial"/>
          <w:sz w:val="22"/>
          <w:szCs w:val="22"/>
        </w:rPr>
        <w:t>ocedury skutkującej stosowaniem</w:t>
      </w:r>
      <w:r w:rsidR="00E24FED">
        <w:rPr>
          <w:rFonts w:asciiTheme="minorHAnsi" w:hAnsiTheme="minorHAnsi" w:cs="Arial"/>
          <w:sz w:val="22"/>
          <w:szCs w:val="22"/>
        </w:rPr>
        <w:t xml:space="preserve"> d</w:t>
      </w:r>
      <w:r w:rsidR="00E24FED">
        <w:rPr>
          <w:rFonts w:asciiTheme="minorHAnsi" w:hAnsiTheme="minorHAnsi" w:cs="Arial"/>
          <w:sz w:val="22"/>
          <w:szCs w:val="22"/>
        </w:rPr>
        <w:t>o</w:t>
      </w:r>
      <w:r w:rsidR="00E24FED">
        <w:rPr>
          <w:rFonts w:asciiTheme="minorHAnsi" w:hAnsiTheme="minorHAnsi" w:cs="Arial"/>
          <w:sz w:val="22"/>
          <w:szCs w:val="22"/>
        </w:rPr>
        <w:t>płat do czynszu.</w:t>
      </w:r>
    </w:p>
    <w:p w:rsidR="0005174A" w:rsidRDefault="0005174A" w:rsidP="0005174A">
      <w:pPr>
        <w:tabs>
          <w:tab w:val="left" w:pos="540"/>
        </w:tabs>
        <w:spacing w:after="240" w:line="240" w:lineRule="exact"/>
        <w:rPr>
          <w:rFonts w:asciiTheme="minorHAnsi" w:hAnsiTheme="minorHAnsi" w:cs="Arial"/>
          <w:sz w:val="22"/>
          <w:szCs w:val="22"/>
        </w:rPr>
      </w:pPr>
      <w:r w:rsidRPr="00272C36">
        <w:rPr>
          <w:rFonts w:asciiTheme="minorHAnsi" w:hAnsiTheme="minorHAnsi" w:cs="Arial"/>
          <w:sz w:val="22"/>
          <w:szCs w:val="22"/>
        </w:rPr>
        <w:t xml:space="preserve">Zgodnie z </w:t>
      </w:r>
      <w:r w:rsidRPr="00272C36">
        <w:rPr>
          <w:rFonts w:asciiTheme="minorHAnsi" w:hAnsiTheme="minorHAnsi" w:cs="Arial"/>
          <w:b/>
          <w:sz w:val="22"/>
          <w:szCs w:val="22"/>
        </w:rPr>
        <w:t>art. 1</w:t>
      </w:r>
      <w:r w:rsidR="0052253E">
        <w:rPr>
          <w:rFonts w:asciiTheme="minorHAnsi" w:hAnsiTheme="minorHAnsi" w:cs="Arial"/>
          <w:b/>
          <w:sz w:val="22"/>
          <w:szCs w:val="22"/>
        </w:rPr>
        <w:t>2</w:t>
      </w:r>
      <w:r w:rsidRPr="00272C36">
        <w:rPr>
          <w:rFonts w:asciiTheme="minorHAnsi" w:hAnsiTheme="minorHAnsi" w:cs="Arial"/>
          <w:sz w:val="22"/>
          <w:szCs w:val="22"/>
        </w:rPr>
        <w:t xml:space="preserve"> </w:t>
      </w:r>
      <w:r w:rsidR="00177B16">
        <w:rPr>
          <w:rFonts w:asciiTheme="minorHAnsi" w:hAnsiTheme="minorHAnsi" w:cs="Arial"/>
          <w:sz w:val="22"/>
          <w:szCs w:val="22"/>
        </w:rPr>
        <w:t>gmina</w:t>
      </w:r>
      <w:r w:rsidRPr="00272C36">
        <w:rPr>
          <w:rFonts w:asciiTheme="minorHAnsi" w:hAnsiTheme="minorHAnsi" w:cs="Arial"/>
          <w:sz w:val="22"/>
          <w:szCs w:val="22"/>
        </w:rPr>
        <w:t>, któr</w:t>
      </w:r>
      <w:r w:rsidR="00177B16">
        <w:rPr>
          <w:rFonts w:asciiTheme="minorHAnsi" w:hAnsiTheme="minorHAnsi" w:cs="Arial"/>
          <w:sz w:val="22"/>
          <w:szCs w:val="22"/>
        </w:rPr>
        <w:t>a</w:t>
      </w:r>
      <w:r w:rsidRPr="00272C36">
        <w:rPr>
          <w:rFonts w:asciiTheme="minorHAnsi" w:hAnsiTheme="minorHAnsi" w:cs="Arial"/>
          <w:sz w:val="22"/>
          <w:szCs w:val="22"/>
        </w:rPr>
        <w:t xml:space="preserve"> zawarł</w:t>
      </w:r>
      <w:r w:rsidR="00177B16">
        <w:rPr>
          <w:rFonts w:asciiTheme="minorHAnsi" w:hAnsiTheme="minorHAnsi" w:cs="Arial"/>
          <w:sz w:val="22"/>
          <w:szCs w:val="22"/>
        </w:rPr>
        <w:t>a</w:t>
      </w:r>
      <w:r w:rsidRPr="00272C36">
        <w:rPr>
          <w:rFonts w:asciiTheme="minorHAnsi" w:hAnsiTheme="minorHAnsi" w:cs="Arial"/>
          <w:sz w:val="22"/>
          <w:szCs w:val="22"/>
        </w:rPr>
        <w:t xml:space="preserve"> </w:t>
      </w:r>
      <w:r w:rsidR="00272C36" w:rsidRPr="00272C36">
        <w:rPr>
          <w:rFonts w:asciiTheme="minorHAnsi" w:hAnsiTheme="minorHAnsi" w:cs="Arial"/>
          <w:sz w:val="22"/>
          <w:szCs w:val="22"/>
        </w:rPr>
        <w:t xml:space="preserve">z inwestorem </w:t>
      </w:r>
      <w:r w:rsidR="00177B16">
        <w:rPr>
          <w:rFonts w:asciiTheme="minorHAnsi" w:hAnsiTheme="minorHAnsi" w:cs="Arial"/>
          <w:sz w:val="22"/>
          <w:szCs w:val="22"/>
        </w:rPr>
        <w:t xml:space="preserve">umowę </w:t>
      </w:r>
      <w:r w:rsidR="00272C36" w:rsidRPr="00272C36">
        <w:rPr>
          <w:rFonts w:asciiTheme="minorHAnsi" w:hAnsiTheme="minorHAnsi" w:cs="Arial"/>
          <w:sz w:val="22"/>
          <w:szCs w:val="22"/>
        </w:rPr>
        <w:t>dotyczącą inwestycji mieszkaniowej</w:t>
      </w:r>
      <w:r w:rsidRPr="00272C36">
        <w:rPr>
          <w:rFonts w:asciiTheme="minorHAnsi" w:hAnsiTheme="minorHAnsi" w:cs="Arial"/>
          <w:sz w:val="22"/>
          <w:szCs w:val="22"/>
        </w:rPr>
        <w:t>, przeprowadza nabór wniosków o zawarcie umów najmu mieszkań</w:t>
      </w:r>
      <w:r w:rsidR="00272C36" w:rsidRPr="00272C36">
        <w:rPr>
          <w:rFonts w:asciiTheme="minorHAnsi" w:hAnsiTheme="minorHAnsi" w:cs="Arial"/>
          <w:sz w:val="22"/>
          <w:szCs w:val="22"/>
        </w:rPr>
        <w:t xml:space="preserve"> będących przedmiotem tej inw</w:t>
      </w:r>
      <w:r w:rsidR="00272C36" w:rsidRPr="00272C36">
        <w:rPr>
          <w:rFonts w:asciiTheme="minorHAnsi" w:hAnsiTheme="minorHAnsi" w:cs="Arial"/>
          <w:sz w:val="22"/>
          <w:szCs w:val="22"/>
        </w:rPr>
        <w:t>e</w:t>
      </w:r>
      <w:r w:rsidR="00272C36" w:rsidRPr="00272C36">
        <w:rPr>
          <w:rFonts w:asciiTheme="minorHAnsi" w:hAnsiTheme="minorHAnsi" w:cs="Arial"/>
          <w:sz w:val="22"/>
          <w:szCs w:val="22"/>
        </w:rPr>
        <w:t>stycji</w:t>
      </w:r>
      <w:r w:rsidRPr="00272C36">
        <w:rPr>
          <w:rFonts w:asciiTheme="minorHAnsi" w:hAnsiTheme="minorHAnsi" w:cs="Arial"/>
          <w:sz w:val="22"/>
          <w:szCs w:val="22"/>
        </w:rPr>
        <w:t xml:space="preserve">. O najem mogą ubiegać się wszystkie </w:t>
      </w:r>
      <w:r w:rsidR="00272C36" w:rsidRPr="00272C36">
        <w:rPr>
          <w:rFonts w:asciiTheme="minorHAnsi" w:hAnsiTheme="minorHAnsi" w:cs="Arial"/>
          <w:sz w:val="22"/>
          <w:szCs w:val="22"/>
        </w:rPr>
        <w:t xml:space="preserve">zainteresowane </w:t>
      </w:r>
      <w:r w:rsidRPr="00272C36">
        <w:rPr>
          <w:rFonts w:asciiTheme="minorHAnsi" w:hAnsiTheme="minorHAnsi" w:cs="Arial"/>
          <w:sz w:val="22"/>
          <w:szCs w:val="22"/>
        </w:rPr>
        <w:t xml:space="preserve">osoby (oznacza to, że na tym etapie nie jest jeszcze konieczne spełnienie warunków ustawowych obowiązujących beneficjentów dopłat). </w:t>
      </w:r>
      <w:r w:rsidR="00177B16">
        <w:rPr>
          <w:rFonts w:asciiTheme="minorHAnsi" w:hAnsiTheme="minorHAnsi" w:cs="Arial"/>
          <w:sz w:val="22"/>
          <w:szCs w:val="22"/>
        </w:rPr>
        <w:t>S</w:t>
      </w:r>
      <w:r w:rsidR="00CD09C1">
        <w:rPr>
          <w:rFonts w:asciiTheme="minorHAnsi" w:hAnsiTheme="minorHAnsi" w:cs="Arial"/>
          <w:sz w:val="22"/>
          <w:szCs w:val="22"/>
        </w:rPr>
        <w:t>ą</w:t>
      </w:r>
      <w:r w:rsidR="00FB627B">
        <w:rPr>
          <w:rFonts w:asciiTheme="minorHAnsi" w:hAnsiTheme="minorHAnsi" w:cs="Arial"/>
          <w:sz w:val="22"/>
          <w:szCs w:val="22"/>
        </w:rPr>
        <w:t xml:space="preserve"> jednak </w:t>
      </w:r>
      <w:r w:rsidR="00272C36" w:rsidRPr="00272C36">
        <w:rPr>
          <w:rFonts w:asciiTheme="minorHAnsi" w:hAnsiTheme="minorHAnsi" w:cs="Arial"/>
          <w:sz w:val="22"/>
          <w:szCs w:val="22"/>
        </w:rPr>
        <w:t xml:space="preserve">stosowane kryteria pierwszeństwa wynikające z uchwały rady gminy. </w:t>
      </w:r>
      <w:r w:rsidR="00AF086A">
        <w:rPr>
          <w:rFonts w:asciiTheme="minorHAnsi" w:hAnsiTheme="minorHAnsi" w:cs="Arial"/>
          <w:sz w:val="22"/>
          <w:szCs w:val="22"/>
        </w:rPr>
        <w:t>Gmina</w:t>
      </w:r>
      <w:r w:rsidRPr="00272C36">
        <w:rPr>
          <w:rFonts w:asciiTheme="minorHAnsi" w:hAnsiTheme="minorHAnsi" w:cs="Arial"/>
          <w:sz w:val="22"/>
          <w:szCs w:val="22"/>
        </w:rPr>
        <w:t xml:space="preserve"> dokonuje zatem wyboru kandydatów na najemców w oparciu o określone wcześniej </w:t>
      </w:r>
      <w:r w:rsidR="00272C36" w:rsidRPr="00272C36">
        <w:rPr>
          <w:rFonts w:asciiTheme="minorHAnsi" w:hAnsiTheme="minorHAnsi" w:cs="Arial"/>
          <w:sz w:val="22"/>
          <w:szCs w:val="22"/>
        </w:rPr>
        <w:t>warunki</w:t>
      </w:r>
      <w:r w:rsidR="00C60E6A">
        <w:rPr>
          <w:rFonts w:asciiTheme="minorHAnsi" w:hAnsiTheme="minorHAnsi" w:cs="Arial"/>
          <w:sz w:val="22"/>
          <w:szCs w:val="22"/>
        </w:rPr>
        <w:t>, motywowane lokalną sytuacją</w:t>
      </w:r>
      <w:r w:rsidRPr="00272C36">
        <w:rPr>
          <w:rFonts w:asciiTheme="minorHAnsi" w:hAnsiTheme="minorHAnsi" w:cs="Arial"/>
          <w:sz w:val="22"/>
          <w:szCs w:val="22"/>
        </w:rPr>
        <w:t xml:space="preserve"> mieszkaniową i społeczną oraz posiadające różną wagę w zależności od ich istotności dla efektywnego zaspokajania potrzeb mieszkaniowych na danym terenie</w:t>
      </w:r>
      <w:r w:rsidR="00CD09C1">
        <w:rPr>
          <w:rFonts w:asciiTheme="minorHAnsi" w:hAnsiTheme="minorHAnsi" w:cs="Arial"/>
          <w:sz w:val="22"/>
          <w:szCs w:val="22"/>
        </w:rPr>
        <w:t xml:space="preserve"> </w:t>
      </w:r>
      <w:r w:rsidR="00342C2B">
        <w:rPr>
          <w:rFonts w:asciiTheme="minorHAnsi" w:hAnsiTheme="minorHAnsi" w:cs="Arial"/>
          <w:sz w:val="22"/>
          <w:szCs w:val="22"/>
        </w:rPr>
        <w:t xml:space="preserve">wyznaczonej przez rade gminy na podstawie analizy lokalnych problemów </w:t>
      </w:r>
      <w:r w:rsidR="00CD09C1">
        <w:rPr>
          <w:rFonts w:asciiTheme="minorHAnsi" w:hAnsiTheme="minorHAnsi" w:cs="Arial"/>
          <w:sz w:val="22"/>
          <w:szCs w:val="22"/>
        </w:rPr>
        <w:t xml:space="preserve">(część z </w:t>
      </w:r>
      <w:r w:rsidR="00342C2B">
        <w:rPr>
          <w:rFonts w:asciiTheme="minorHAnsi" w:hAnsiTheme="minorHAnsi" w:cs="Arial"/>
          <w:sz w:val="22"/>
          <w:szCs w:val="22"/>
        </w:rPr>
        <w:t>kryteriów</w:t>
      </w:r>
      <w:r w:rsidR="00CD09C1">
        <w:rPr>
          <w:rFonts w:asciiTheme="minorHAnsi" w:hAnsiTheme="minorHAnsi" w:cs="Arial"/>
          <w:sz w:val="22"/>
          <w:szCs w:val="22"/>
        </w:rPr>
        <w:t xml:space="preserve"> może mieć charakter bezwzględnie obowiązujący, co oznacza, że osoba zainteresowana najmem musi je spełniać, by wynająć mieszk</w:t>
      </w:r>
      <w:r w:rsidR="00CD09C1">
        <w:rPr>
          <w:rFonts w:asciiTheme="minorHAnsi" w:hAnsiTheme="minorHAnsi" w:cs="Arial"/>
          <w:sz w:val="22"/>
          <w:szCs w:val="22"/>
        </w:rPr>
        <w:t>a</w:t>
      </w:r>
      <w:r w:rsidR="00CD09C1">
        <w:rPr>
          <w:rFonts w:asciiTheme="minorHAnsi" w:hAnsiTheme="minorHAnsi" w:cs="Arial"/>
          <w:sz w:val="22"/>
          <w:szCs w:val="22"/>
        </w:rPr>
        <w:t>nie)</w:t>
      </w:r>
      <w:r w:rsidRPr="00272C36">
        <w:rPr>
          <w:rFonts w:asciiTheme="minorHAnsi" w:hAnsiTheme="minorHAnsi" w:cs="Arial"/>
          <w:sz w:val="22"/>
          <w:szCs w:val="22"/>
        </w:rPr>
        <w:t>.</w:t>
      </w:r>
    </w:p>
    <w:p w:rsidR="00342C2B" w:rsidRPr="00272C36" w:rsidRDefault="00342C2B" w:rsidP="0005174A">
      <w:pPr>
        <w:tabs>
          <w:tab w:val="left" w:pos="540"/>
        </w:tabs>
        <w:spacing w:after="240" w:line="240" w:lineRule="exact"/>
        <w:rPr>
          <w:rFonts w:asciiTheme="minorHAnsi" w:hAnsiTheme="minorHAnsi" w:cs="Arial"/>
          <w:sz w:val="22"/>
          <w:szCs w:val="22"/>
        </w:rPr>
      </w:pPr>
      <w:r>
        <w:rPr>
          <w:rFonts w:asciiTheme="minorHAnsi" w:hAnsiTheme="minorHAnsi" w:cs="Arial"/>
          <w:sz w:val="22"/>
          <w:szCs w:val="22"/>
        </w:rPr>
        <w:t>Lokalne uwarunkowanie procedury naboru najemców uzasadnia przesądzenie, zgodnie z którym zasady</w:t>
      </w:r>
      <w:r w:rsidRPr="00342C2B">
        <w:rPr>
          <w:rFonts w:asciiTheme="minorHAnsi" w:hAnsiTheme="minorHAnsi" w:cs="Arial"/>
          <w:sz w:val="22"/>
          <w:szCs w:val="22"/>
        </w:rPr>
        <w:t xml:space="preserve"> przeprowadzania </w:t>
      </w:r>
      <w:r>
        <w:rPr>
          <w:rFonts w:asciiTheme="minorHAnsi" w:hAnsiTheme="minorHAnsi" w:cs="Arial"/>
          <w:sz w:val="22"/>
          <w:szCs w:val="22"/>
        </w:rPr>
        <w:t xml:space="preserve">tego </w:t>
      </w:r>
      <w:r w:rsidRPr="00342C2B">
        <w:rPr>
          <w:rFonts w:asciiTheme="minorHAnsi" w:hAnsiTheme="minorHAnsi" w:cs="Arial"/>
          <w:sz w:val="22"/>
          <w:szCs w:val="22"/>
        </w:rPr>
        <w:t xml:space="preserve">naboru </w:t>
      </w:r>
      <w:r>
        <w:rPr>
          <w:rFonts w:asciiTheme="minorHAnsi" w:hAnsiTheme="minorHAnsi" w:cs="Arial"/>
          <w:sz w:val="22"/>
          <w:szCs w:val="22"/>
        </w:rPr>
        <w:t>są określane przez radę</w:t>
      </w:r>
      <w:r w:rsidRPr="00342C2B">
        <w:rPr>
          <w:rFonts w:asciiTheme="minorHAnsi" w:hAnsiTheme="minorHAnsi" w:cs="Arial"/>
          <w:sz w:val="22"/>
          <w:szCs w:val="22"/>
        </w:rPr>
        <w:t xml:space="preserve"> gminy. Warto zauważyć, że niemożność ustalenia np. terminów organizacji naborów </w:t>
      </w:r>
      <w:r>
        <w:rPr>
          <w:rFonts w:asciiTheme="minorHAnsi" w:hAnsiTheme="minorHAnsi" w:cs="Arial"/>
          <w:sz w:val="22"/>
          <w:szCs w:val="22"/>
        </w:rPr>
        <w:t xml:space="preserve">może </w:t>
      </w:r>
      <w:r w:rsidRPr="00342C2B">
        <w:rPr>
          <w:rFonts w:asciiTheme="minorHAnsi" w:hAnsiTheme="minorHAnsi" w:cs="Arial"/>
          <w:sz w:val="22"/>
          <w:szCs w:val="22"/>
        </w:rPr>
        <w:t>wynika</w:t>
      </w:r>
      <w:r>
        <w:rPr>
          <w:rFonts w:asciiTheme="minorHAnsi" w:hAnsiTheme="minorHAnsi" w:cs="Arial"/>
          <w:sz w:val="22"/>
          <w:szCs w:val="22"/>
        </w:rPr>
        <w:t>ć</w:t>
      </w:r>
      <w:r w:rsidRPr="00342C2B">
        <w:rPr>
          <w:rFonts w:asciiTheme="minorHAnsi" w:hAnsiTheme="minorHAnsi" w:cs="Arial"/>
          <w:sz w:val="22"/>
          <w:szCs w:val="22"/>
        </w:rPr>
        <w:t xml:space="preserve"> po części z katalogu kryteriów pierwsze</w:t>
      </w:r>
      <w:r w:rsidRPr="00342C2B">
        <w:rPr>
          <w:rFonts w:asciiTheme="minorHAnsi" w:hAnsiTheme="minorHAnsi" w:cs="Arial"/>
          <w:sz w:val="22"/>
          <w:szCs w:val="22"/>
        </w:rPr>
        <w:t>ń</w:t>
      </w:r>
      <w:r w:rsidRPr="00342C2B">
        <w:rPr>
          <w:rFonts w:asciiTheme="minorHAnsi" w:hAnsiTheme="minorHAnsi" w:cs="Arial"/>
          <w:sz w:val="22"/>
          <w:szCs w:val="22"/>
        </w:rPr>
        <w:t xml:space="preserve">stwa ustalanych przez rady gmin (uzyskanie niektórych </w:t>
      </w:r>
      <w:r w:rsidR="00ED49F1">
        <w:rPr>
          <w:rFonts w:asciiTheme="minorHAnsi" w:hAnsiTheme="minorHAnsi" w:cs="Arial"/>
          <w:sz w:val="22"/>
          <w:szCs w:val="22"/>
        </w:rPr>
        <w:t>dokumentów/</w:t>
      </w:r>
      <w:r w:rsidRPr="00342C2B">
        <w:rPr>
          <w:rFonts w:asciiTheme="minorHAnsi" w:hAnsiTheme="minorHAnsi" w:cs="Arial"/>
          <w:sz w:val="22"/>
          <w:szCs w:val="22"/>
        </w:rPr>
        <w:t xml:space="preserve">oświadczeń potwierdzających spełnianie kryterium będzie wymagało </w:t>
      </w:r>
      <w:r>
        <w:rPr>
          <w:rFonts w:asciiTheme="minorHAnsi" w:hAnsiTheme="minorHAnsi" w:cs="Arial"/>
          <w:sz w:val="22"/>
          <w:szCs w:val="22"/>
        </w:rPr>
        <w:t xml:space="preserve">bowiem </w:t>
      </w:r>
      <w:r w:rsidRPr="00342C2B">
        <w:rPr>
          <w:rFonts w:asciiTheme="minorHAnsi" w:hAnsiTheme="minorHAnsi" w:cs="Arial"/>
          <w:sz w:val="22"/>
          <w:szCs w:val="22"/>
        </w:rPr>
        <w:t>więcej czasu niż uzys</w:t>
      </w:r>
      <w:r>
        <w:rPr>
          <w:rFonts w:asciiTheme="minorHAnsi" w:hAnsiTheme="minorHAnsi" w:cs="Arial"/>
          <w:sz w:val="22"/>
          <w:szCs w:val="22"/>
        </w:rPr>
        <w:t>kanie innych).</w:t>
      </w:r>
    </w:p>
    <w:p w:rsidR="0005174A" w:rsidRPr="00AE1163" w:rsidRDefault="00A77DC8" w:rsidP="00730411">
      <w:pPr>
        <w:tabs>
          <w:tab w:val="left" w:pos="540"/>
        </w:tabs>
        <w:spacing w:after="240" w:line="240" w:lineRule="exact"/>
        <w:rPr>
          <w:rFonts w:asciiTheme="minorHAnsi" w:hAnsiTheme="minorHAnsi" w:cs="Arial"/>
          <w:sz w:val="22"/>
          <w:szCs w:val="22"/>
        </w:rPr>
      </w:pPr>
      <w:r>
        <w:rPr>
          <w:rFonts w:asciiTheme="minorHAnsi" w:hAnsiTheme="minorHAnsi" w:cs="Arial"/>
          <w:sz w:val="22"/>
          <w:szCs w:val="22"/>
        </w:rPr>
        <w:t>N</w:t>
      </w:r>
      <w:r w:rsidR="0005174A">
        <w:rPr>
          <w:rFonts w:asciiTheme="minorHAnsi" w:hAnsiTheme="minorHAnsi" w:cs="Arial"/>
          <w:sz w:val="22"/>
          <w:szCs w:val="22"/>
        </w:rPr>
        <w:t>a podstawie oceny wniosków o zawarcie u</w:t>
      </w:r>
      <w:r w:rsidR="004705A9">
        <w:rPr>
          <w:rFonts w:asciiTheme="minorHAnsi" w:hAnsiTheme="minorHAnsi" w:cs="Arial"/>
          <w:sz w:val="22"/>
          <w:szCs w:val="22"/>
        </w:rPr>
        <w:t xml:space="preserve">mów najmu, dokonanej w oparciu </w:t>
      </w:r>
      <w:r w:rsidR="0005174A">
        <w:rPr>
          <w:rFonts w:asciiTheme="minorHAnsi" w:hAnsiTheme="minorHAnsi" w:cs="Arial"/>
          <w:sz w:val="22"/>
          <w:szCs w:val="22"/>
        </w:rPr>
        <w:t xml:space="preserve">o ww. kryteria, </w:t>
      </w:r>
      <w:r w:rsidR="00AF086A">
        <w:rPr>
          <w:rFonts w:asciiTheme="minorHAnsi" w:hAnsiTheme="minorHAnsi" w:cs="Arial"/>
          <w:sz w:val="22"/>
          <w:szCs w:val="22"/>
        </w:rPr>
        <w:t>gmina</w:t>
      </w:r>
      <w:r w:rsidR="0005174A">
        <w:rPr>
          <w:rFonts w:asciiTheme="minorHAnsi" w:hAnsiTheme="minorHAnsi" w:cs="Arial"/>
          <w:sz w:val="22"/>
          <w:szCs w:val="22"/>
        </w:rPr>
        <w:t xml:space="preserve"> </w:t>
      </w:r>
      <w:r w:rsidR="0005174A" w:rsidRPr="001F230C">
        <w:rPr>
          <w:rFonts w:asciiTheme="minorHAnsi" w:hAnsiTheme="minorHAnsi" w:cs="Arial"/>
          <w:sz w:val="22"/>
          <w:szCs w:val="22"/>
        </w:rPr>
        <w:t xml:space="preserve">sporządza listę </w:t>
      </w:r>
      <w:r w:rsidR="0005174A">
        <w:rPr>
          <w:rFonts w:asciiTheme="minorHAnsi" w:hAnsiTheme="minorHAnsi" w:cs="Arial"/>
          <w:sz w:val="22"/>
          <w:szCs w:val="22"/>
        </w:rPr>
        <w:t xml:space="preserve">kandydatów na najemców. </w:t>
      </w:r>
      <w:r w:rsidR="00A00554">
        <w:rPr>
          <w:rFonts w:asciiTheme="minorHAnsi" w:hAnsiTheme="minorHAnsi" w:cs="Arial"/>
          <w:sz w:val="22"/>
          <w:szCs w:val="22"/>
        </w:rPr>
        <w:t>M</w:t>
      </w:r>
      <w:r w:rsidR="0005174A">
        <w:rPr>
          <w:rFonts w:asciiTheme="minorHAnsi" w:hAnsiTheme="minorHAnsi" w:cs="Arial"/>
          <w:sz w:val="22"/>
          <w:szCs w:val="22"/>
        </w:rPr>
        <w:t xml:space="preserve">iejsce kandydata wyznacza liczba punktów uzyskanych przez niego w ramach oceny punktowej spełniania kryteriów (kandydaci będą szeregowani </w:t>
      </w:r>
      <w:r w:rsidR="0005174A" w:rsidRPr="00FA3F78">
        <w:rPr>
          <w:rFonts w:asciiTheme="minorHAnsi" w:hAnsiTheme="minorHAnsi" w:cs="Arial"/>
          <w:sz w:val="22"/>
          <w:szCs w:val="22"/>
        </w:rPr>
        <w:t>w kole</w:t>
      </w:r>
      <w:r w:rsidR="0005174A" w:rsidRPr="00FA3F78">
        <w:rPr>
          <w:rFonts w:asciiTheme="minorHAnsi" w:hAnsiTheme="minorHAnsi" w:cs="Arial"/>
          <w:sz w:val="22"/>
          <w:szCs w:val="22"/>
        </w:rPr>
        <w:t>j</w:t>
      </w:r>
      <w:r w:rsidR="0005174A" w:rsidRPr="00FA3F78">
        <w:rPr>
          <w:rFonts w:asciiTheme="minorHAnsi" w:hAnsiTheme="minorHAnsi" w:cs="Arial"/>
          <w:sz w:val="22"/>
          <w:szCs w:val="22"/>
        </w:rPr>
        <w:t>ności od największej do najmniejszej liczby uzyskanych punktów</w:t>
      </w:r>
      <w:r w:rsidR="0005174A">
        <w:rPr>
          <w:rFonts w:asciiTheme="minorHAnsi" w:hAnsiTheme="minorHAnsi" w:cs="Arial"/>
          <w:sz w:val="22"/>
          <w:szCs w:val="22"/>
        </w:rPr>
        <w:t>)</w:t>
      </w:r>
      <w:r w:rsidR="0005174A" w:rsidRPr="00FA3F78">
        <w:rPr>
          <w:rFonts w:asciiTheme="minorHAnsi" w:hAnsiTheme="minorHAnsi" w:cs="Arial"/>
          <w:sz w:val="22"/>
          <w:szCs w:val="22"/>
        </w:rPr>
        <w:t>.</w:t>
      </w:r>
      <w:r w:rsidR="0005174A">
        <w:rPr>
          <w:rFonts w:asciiTheme="minorHAnsi" w:hAnsiTheme="minorHAnsi" w:cs="Arial"/>
          <w:sz w:val="22"/>
          <w:szCs w:val="22"/>
        </w:rPr>
        <w:t xml:space="preserve">  </w:t>
      </w:r>
    </w:p>
    <w:p w:rsidR="0005174A" w:rsidRPr="003B2E85" w:rsidRDefault="00077D7B" w:rsidP="0005174A">
      <w:pPr>
        <w:tabs>
          <w:tab w:val="left" w:pos="540"/>
        </w:tabs>
        <w:spacing w:after="240" w:line="240" w:lineRule="exact"/>
        <w:rPr>
          <w:rFonts w:asciiTheme="minorHAnsi" w:hAnsiTheme="minorHAnsi" w:cs="Arial"/>
          <w:sz w:val="22"/>
          <w:szCs w:val="22"/>
        </w:rPr>
      </w:pPr>
      <w:r>
        <w:rPr>
          <w:rFonts w:asciiTheme="minorHAnsi" w:hAnsiTheme="minorHAnsi" w:cs="Arial"/>
          <w:sz w:val="22"/>
          <w:szCs w:val="22"/>
        </w:rPr>
        <w:t>Niezależnie od powyższego g</w:t>
      </w:r>
      <w:r w:rsidR="00E84FAA">
        <w:rPr>
          <w:rFonts w:asciiTheme="minorHAnsi" w:hAnsiTheme="minorHAnsi" w:cs="Arial"/>
          <w:sz w:val="22"/>
          <w:szCs w:val="22"/>
        </w:rPr>
        <w:t>mina</w:t>
      </w:r>
      <w:r>
        <w:rPr>
          <w:rFonts w:asciiTheme="minorHAnsi" w:hAnsiTheme="minorHAnsi" w:cs="Arial"/>
          <w:sz w:val="22"/>
          <w:szCs w:val="22"/>
        </w:rPr>
        <w:t xml:space="preserve"> właściwa miejscowo dla inwestycji mieszkaniowej objętej umową </w:t>
      </w:r>
      <w:r w:rsidR="00F1208E">
        <w:rPr>
          <w:rFonts w:asciiTheme="minorHAnsi" w:hAnsiTheme="minorHAnsi" w:cs="Arial"/>
          <w:sz w:val="22"/>
          <w:szCs w:val="22"/>
        </w:rPr>
        <w:br/>
      </w:r>
      <w:r>
        <w:rPr>
          <w:rFonts w:asciiTheme="minorHAnsi" w:hAnsiTheme="minorHAnsi" w:cs="Arial"/>
          <w:sz w:val="22"/>
          <w:szCs w:val="22"/>
        </w:rPr>
        <w:t>z inwestorem</w:t>
      </w:r>
      <w:r w:rsidR="0005174A">
        <w:rPr>
          <w:rFonts w:asciiTheme="minorHAnsi" w:hAnsiTheme="minorHAnsi" w:cs="Arial"/>
          <w:sz w:val="22"/>
          <w:szCs w:val="22"/>
        </w:rPr>
        <w:t xml:space="preserve">, zgodnie z </w:t>
      </w:r>
      <w:r w:rsidR="0005174A" w:rsidRPr="00B6558D">
        <w:rPr>
          <w:rFonts w:asciiTheme="minorHAnsi" w:hAnsiTheme="minorHAnsi" w:cs="Arial"/>
          <w:b/>
          <w:sz w:val="22"/>
          <w:szCs w:val="22"/>
        </w:rPr>
        <w:t>art. 1</w:t>
      </w:r>
      <w:r w:rsidR="00AF086A">
        <w:rPr>
          <w:rFonts w:asciiTheme="minorHAnsi" w:hAnsiTheme="minorHAnsi" w:cs="Arial"/>
          <w:b/>
          <w:sz w:val="22"/>
          <w:szCs w:val="22"/>
        </w:rPr>
        <w:t>3</w:t>
      </w:r>
      <w:r w:rsidR="0005174A">
        <w:rPr>
          <w:rFonts w:asciiTheme="minorHAnsi" w:hAnsiTheme="minorHAnsi" w:cs="Arial"/>
          <w:sz w:val="22"/>
          <w:szCs w:val="22"/>
        </w:rPr>
        <w:t xml:space="preserve">, występuje do Banku Gospodarstwa Krajowego (BGK) z wnioskiem </w:t>
      </w:r>
      <w:r w:rsidR="00F1208E">
        <w:rPr>
          <w:rFonts w:asciiTheme="minorHAnsi" w:hAnsiTheme="minorHAnsi" w:cs="Arial"/>
          <w:sz w:val="22"/>
          <w:szCs w:val="22"/>
        </w:rPr>
        <w:br/>
      </w:r>
      <w:r w:rsidR="0005174A">
        <w:rPr>
          <w:rFonts w:asciiTheme="minorHAnsi" w:hAnsiTheme="minorHAnsi" w:cs="Arial"/>
          <w:sz w:val="22"/>
          <w:szCs w:val="22"/>
        </w:rPr>
        <w:t>o zawarcie umowy w sprawie stosowania dopłat</w:t>
      </w:r>
      <w:r w:rsidR="00A77DC8">
        <w:rPr>
          <w:rFonts w:asciiTheme="minorHAnsi" w:hAnsiTheme="minorHAnsi" w:cs="Arial"/>
          <w:sz w:val="22"/>
          <w:szCs w:val="22"/>
        </w:rPr>
        <w:t xml:space="preserve"> w celu zabezpieczenia środków na dopłaty</w:t>
      </w:r>
      <w:r w:rsidR="0005174A">
        <w:rPr>
          <w:rFonts w:asciiTheme="minorHAnsi" w:hAnsiTheme="minorHAnsi" w:cs="Arial"/>
          <w:sz w:val="22"/>
          <w:szCs w:val="22"/>
        </w:rPr>
        <w:t xml:space="preserve">. Umowa ta stanowi podstawę udzielania w przyszłości przez BGK środków z przeznaczeniem na dopłaty do czynszu. Będzie ona w związku z tym zawierała przede wszystkim </w:t>
      </w:r>
      <w:r w:rsidR="0005174A" w:rsidRPr="003B2E85">
        <w:rPr>
          <w:rFonts w:asciiTheme="minorHAnsi" w:hAnsiTheme="minorHAnsi" w:cs="Arial"/>
          <w:sz w:val="22"/>
          <w:szCs w:val="22"/>
        </w:rPr>
        <w:t>zobowiązanie Banku</w:t>
      </w:r>
      <w:r w:rsidR="0005174A">
        <w:rPr>
          <w:rFonts w:asciiTheme="minorHAnsi" w:hAnsiTheme="minorHAnsi" w:cs="Arial"/>
          <w:sz w:val="22"/>
          <w:szCs w:val="22"/>
        </w:rPr>
        <w:t xml:space="preserve"> </w:t>
      </w:r>
      <w:r w:rsidR="0005174A" w:rsidRPr="003B2E85">
        <w:rPr>
          <w:rFonts w:asciiTheme="minorHAnsi" w:hAnsiTheme="minorHAnsi" w:cs="Arial"/>
          <w:sz w:val="22"/>
          <w:szCs w:val="22"/>
        </w:rPr>
        <w:t xml:space="preserve">do wypłaty </w:t>
      </w:r>
      <w:r w:rsidR="00180794">
        <w:rPr>
          <w:rFonts w:asciiTheme="minorHAnsi" w:hAnsiTheme="minorHAnsi" w:cs="Arial"/>
          <w:sz w:val="22"/>
          <w:szCs w:val="22"/>
        </w:rPr>
        <w:t>gminie</w:t>
      </w:r>
      <w:r w:rsidR="0005174A">
        <w:rPr>
          <w:rFonts w:asciiTheme="minorHAnsi" w:hAnsiTheme="minorHAnsi" w:cs="Arial"/>
          <w:sz w:val="22"/>
          <w:szCs w:val="22"/>
        </w:rPr>
        <w:t xml:space="preserve"> w przyszłości</w:t>
      </w:r>
      <w:r w:rsidR="0005174A" w:rsidRPr="003B2E85">
        <w:rPr>
          <w:rFonts w:asciiTheme="minorHAnsi" w:hAnsiTheme="minorHAnsi" w:cs="Arial"/>
          <w:sz w:val="22"/>
          <w:szCs w:val="22"/>
        </w:rPr>
        <w:t xml:space="preserve"> </w:t>
      </w:r>
      <w:r w:rsidR="0005174A">
        <w:rPr>
          <w:rFonts w:asciiTheme="minorHAnsi" w:hAnsiTheme="minorHAnsi" w:cs="Arial"/>
          <w:sz w:val="22"/>
          <w:szCs w:val="22"/>
        </w:rPr>
        <w:t xml:space="preserve">tych </w:t>
      </w:r>
      <w:r w:rsidR="0005174A" w:rsidRPr="003B2E85">
        <w:rPr>
          <w:rFonts w:asciiTheme="minorHAnsi" w:hAnsiTheme="minorHAnsi" w:cs="Arial"/>
          <w:sz w:val="22"/>
          <w:szCs w:val="22"/>
        </w:rPr>
        <w:t xml:space="preserve">środków w </w:t>
      </w:r>
      <w:r w:rsidR="0005174A">
        <w:rPr>
          <w:rFonts w:asciiTheme="minorHAnsi" w:hAnsiTheme="minorHAnsi" w:cs="Arial"/>
          <w:sz w:val="22"/>
          <w:szCs w:val="22"/>
        </w:rPr>
        <w:t xml:space="preserve">ramach rozliczeń comiesięcznych w </w:t>
      </w:r>
      <w:r w:rsidR="0005174A" w:rsidRPr="003B2E85">
        <w:rPr>
          <w:rFonts w:asciiTheme="minorHAnsi" w:hAnsiTheme="minorHAnsi" w:cs="Arial"/>
          <w:sz w:val="22"/>
          <w:szCs w:val="22"/>
        </w:rPr>
        <w:t xml:space="preserve">wysokości odpowiadającej </w:t>
      </w:r>
      <w:r w:rsidR="0005174A">
        <w:rPr>
          <w:rFonts w:asciiTheme="minorHAnsi" w:hAnsiTheme="minorHAnsi" w:cs="Arial"/>
          <w:sz w:val="22"/>
          <w:szCs w:val="22"/>
        </w:rPr>
        <w:t xml:space="preserve">faktycznemu </w:t>
      </w:r>
      <w:r w:rsidR="0005174A" w:rsidRPr="003B2E85">
        <w:rPr>
          <w:rFonts w:asciiTheme="minorHAnsi" w:hAnsiTheme="minorHAnsi" w:cs="Arial"/>
          <w:sz w:val="22"/>
          <w:szCs w:val="22"/>
        </w:rPr>
        <w:t>zapotrzebowaniu wynikającemu</w:t>
      </w:r>
      <w:r w:rsidR="0005174A">
        <w:rPr>
          <w:rFonts w:asciiTheme="minorHAnsi" w:hAnsiTheme="minorHAnsi" w:cs="Arial"/>
          <w:sz w:val="22"/>
          <w:szCs w:val="22"/>
        </w:rPr>
        <w:t>, co warte podkreślenia,</w:t>
      </w:r>
      <w:r w:rsidR="0005174A" w:rsidRPr="003B2E85">
        <w:rPr>
          <w:rFonts w:asciiTheme="minorHAnsi" w:hAnsiTheme="minorHAnsi" w:cs="Arial"/>
          <w:sz w:val="22"/>
          <w:szCs w:val="22"/>
        </w:rPr>
        <w:t xml:space="preserve"> z wniosków o wypłatę dopłat</w:t>
      </w:r>
      <w:r w:rsidR="0005174A">
        <w:rPr>
          <w:rFonts w:asciiTheme="minorHAnsi" w:hAnsiTheme="minorHAnsi" w:cs="Arial"/>
          <w:sz w:val="22"/>
          <w:szCs w:val="22"/>
        </w:rPr>
        <w:t xml:space="preserve">. Wysokości tej nie należy zatem mylić z wysokością </w:t>
      </w:r>
      <w:r w:rsidR="00392890">
        <w:rPr>
          <w:rFonts w:asciiTheme="minorHAnsi" w:hAnsiTheme="minorHAnsi" w:cs="Arial"/>
          <w:sz w:val="22"/>
          <w:szCs w:val="22"/>
        </w:rPr>
        <w:t>wstępnych kwot</w:t>
      </w:r>
      <w:r w:rsidR="0005174A" w:rsidRPr="003B2E85">
        <w:rPr>
          <w:rFonts w:asciiTheme="minorHAnsi" w:hAnsiTheme="minorHAnsi" w:cs="Arial"/>
          <w:sz w:val="22"/>
          <w:szCs w:val="22"/>
        </w:rPr>
        <w:t xml:space="preserve"> zapotrzebowani</w:t>
      </w:r>
      <w:r w:rsidR="00392890">
        <w:rPr>
          <w:rFonts w:asciiTheme="minorHAnsi" w:hAnsiTheme="minorHAnsi" w:cs="Arial"/>
          <w:sz w:val="22"/>
          <w:szCs w:val="22"/>
        </w:rPr>
        <w:t>a</w:t>
      </w:r>
      <w:r w:rsidR="0005174A" w:rsidRPr="003B2E85">
        <w:rPr>
          <w:rFonts w:asciiTheme="minorHAnsi" w:hAnsiTheme="minorHAnsi" w:cs="Arial"/>
          <w:sz w:val="22"/>
          <w:szCs w:val="22"/>
        </w:rPr>
        <w:t xml:space="preserve"> na środki </w:t>
      </w:r>
      <w:r w:rsidR="00392890">
        <w:rPr>
          <w:rFonts w:asciiTheme="minorHAnsi" w:hAnsiTheme="minorHAnsi" w:cs="Arial"/>
          <w:sz w:val="22"/>
          <w:szCs w:val="22"/>
        </w:rPr>
        <w:t>z</w:t>
      </w:r>
      <w:r w:rsidR="00392890">
        <w:rPr>
          <w:rFonts w:asciiTheme="minorHAnsi" w:hAnsiTheme="minorHAnsi" w:cs="Arial"/>
          <w:sz w:val="22"/>
          <w:szCs w:val="22"/>
        </w:rPr>
        <w:t>a</w:t>
      </w:r>
      <w:r w:rsidR="00392890">
        <w:rPr>
          <w:rFonts w:asciiTheme="minorHAnsi" w:hAnsiTheme="minorHAnsi" w:cs="Arial"/>
          <w:sz w:val="22"/>
          <w:szCs w:val="22"/>
        </w:rPr>
        <w:t xml:space="preserve">bezpieczających stosowanie </w:t>
      </w:r>
      <w:r w:rsidR="0005174A" w:rsidRPr="003B2E85">
        <w:rPr>
          <w:rFonts w:asciiTheme="minorHAnsi" w:hAnsiTheme="minorHAnsi" w:cs="Arial"/>
          <w:sz w:val="22"/>
          <w:szCs w:val="22"/>
        </w:rPr>
        <w:t>dopłat, wskazan</w:t>
      </w:r>
      <w:r w:rsidR="00392890">
        <w:rPr>
          <w:rFonts w:asciiTheme="minorHAnsi" w:hAnsiTheme="minorHAnsi" w:cs="Arial"/>
          <w:sz w:val="22"/>
          <w:szCs w:val="22"/>
        </w:rPr>
        <w:t>ych</w:t>
      </w:r>
      <w:r w:rsidR="0005174A" w:rsidRPr="003B2E85">
        <w:rPr>
          <w:rFonts w:asciiTheme="minorHAnsi" w:hAnsiTheme="minorHAnsi" w:cs="Arial"/>
          <w:sz w:val="22"/>
          <w:szCs w:val="22"/>
        </w:rPr>
        <w:t xml:space="preserve"> przez </w:t>
      </w:r>
      <w:r w:rsidR="00180794">
        <w:rPr>
          <w:rFonts w:asciiTheme="minorHAnsi" w:hAnsiTheme="minorHAnsi" w:cs="Arial"/>
          <w:sz w:val="22"/>
          <w:szCs w:val="22"/>
        </w:rPr>
        <w:t>gminę</w:t>
      </w:r>
      <w:r w:rsidR="00180794" w:rsidRPr="003B2E85">
        <w:rPr>
          <w:rFonts w:asciiTheme="minorHAnsi" w:hAnsiTheme="minorHAnsi" w:cs="Arial"/>
          <w:sz w:val="22"/>
          <w:szCs w:val="22"/>
        </w:rPr>
        <w:t xml:space="preserve"> </w:t>
      </w:r>
      <w:r w:rsidR="0005174A" w:rsidRPr="003B2E85">
        <w:rPr>
          <w:rFonts w:asciiTheme="minorHAnsi" w:hAnsiTheme="minorHAnsi" w:cs="Arial"/>
          <w:sz w:val="22"/>
          <w:szCs w:val="22"/>
        </w:rPr>
        <w:t>we wniosku</w:t>
      </w:r>
      <w:r w:rsidR="0005174A">
        <w:rPr>
          <w:rFonts w:asciiTheme="minorHAnsi" w:hAnsiTheme="minorHAnsi" w:cs="Arial"/>
          <w:sz w:val="22"/>
          <w:szCs w:val="22"/>
        </w:rPr>
        <w:t xml:space="preserve"> o zawarcie umowy. Oparcie </w:t>
      </w:r>
      <w:r w:rsidR="0005174A" w:rsidRPr="003B2E85">
        <w:rPr>
          <w:rFonts w:asciiTheme="minorHAnsi" w:hAnsiTheme="minorHAnsi" w:cs="Arial"/>
          <w:sz w:val="22"/>
          <w:szCs w:val="22"/>
        </w:rPr>
        <w:t xml:space="preserve">się w procedurze zawierania umowy </w:t>
      </w:r>
      <w:r w:rsidR="0005174A">
        <w:rPr>
          <w:rFonts w:asciiTheme="minorHAnsi" w:hAnsiTheme="minorHAnsi" w:cs="Arial"/>
          <w:sz w:val="22"/>
          <w:szCs w:val="22"/>
        </w:rPr>
        <w:t xml:space="preserve">w sprawie stosowania dopłat </w:t>
      </w:r>
      <w:r w:rsidR="0005174A" w:rsidRPr="003B2E85">
        <w:rPr>
          <w:rFonts w:asciiTheme="minorHAnsi" w:hAnsiTheme="minorHAnsi" w:cs="Arial"/>
          <w:sz w:val="22"/>
          <w:szCs w:val="22"/>
        </w:rPr>
        <w:t>jedynie na prognozowanym zap</w:t>
      </w:r>
      <w:r w:rsidR="0005174A" w:rsidRPr="003B2E85">
        <w:rPr>
          <w:rFonts w:asciiTheme="minorHAnsi" w:hAnsiTheme="minorHAnsi" w:cs="Arial"/>
          <w:sz w:val="22"/>
          <w:szCs w:val="22"/>
        </w:rPr>
        <w:t>o</w:t>
      </w:r>
      <w:r w:rsidR="0005174A" w:rsidRPr="003B2E85">
        <w:rPr>
          <w:rFonts w:asciiTheme="minorHAnsi" w:hAnsiTheme="minorHAnsi" w:cs="Arial"/>
          <w:sz w:val="22"/>
          <w:szCs w:val="22"/>
        </w:rPr>
        <w:t>trzebowaniu na środki na dopłaty</w:t>
      </w:r>
      <w:r w:rsidR="0005174A">
        <w:rPr>
          <w:rFonts w:asciiTheme="minorHAnsi" w:hAnsiTheme="minorHAnsi" w:cs="Arial"/>
          <w:sz w:val="22"/>
          <w:szCs w:val="22"/>
        </w:rPr>
        <w:t xml:space="preserve"> stanowi jednak konsekwencję terminu zawarcia tej umowy (która z uwagi na interes stron umowy między inwestorem a </w:t>
      </w:r>
      <w:r w:rsidR="00180794">
        <w:rPr>
          <w:rFonts w:asciiTheme="minorHAnsi" w:hAnsiTheme="minorHAnsi" w:cs="Arial"/>
          <w:sz w:val="22"/>
          <w:szCs w:val="22"/>
        </w:rPr>
        <w:t xml:space="preserve">gminą może </w:t>
      </w:r>
      <w:r w:rsidR="0005174A">
        <w:rPr>
          <w:rFonts w:asciiTheme="minorHAnsi" w:hAnsiTheme="minorHAnsi" w:cs="Arial"/>
          <w:sz w:val="22"/>
          <w:szCs w:val="22"/>
        </w:rPr>
        <w:t xml:space="preserve">być </w:t>
      </w:r>
      <w:r w:rsidR="000C43ED">
        <w:rPr>
          <w:rFonts w:asciiTheme="minorHAnsi" w:hAnsiTheme="minorHAnsi" w:cs="Arial"/>
          <w:sz w:val="22"/>
          <w:szCs w:val="22"/>
        </w:rPr>
        <w:t xml:space="preserve">zawarta </w:t>
      </w:r>
      <w:r w:rsidR="0005174A">
        <w:rPr>
          <w:rFonts w:asciiTheme="minorHAnsi" w:hAnsiTheme="minorHAnsi" w:cs="Arial"/>
          <w:sz w:val="22"/>
          <w:szCs w:val="22"/>
        </w:rPr>
        <w:t>jeszcze przed rozp</w:t>
      </w:r>
      <w:r w:rsidR="0005174A">
        <w:rPr>
          <w:rFonts w:asciiTheme="minorHAnsi" w:hAnsiTheme="minorHAnsi" w:cs="Arial"/>
          <w:sz w:val="22"/>
          <w:szCs w:val="22"/>
        </w:rPr>
        <w:t>o</w:t>
      </w:r>
      <w:r w:rsidR="0005174A">
        <w:rPr>
          <w:rFonts w:asciiTheme="minorHAnsi" w:hAnsiTheme="minorHAnsi" w:cs="Arial"/>
          <w:sz w:val="22"/>
          <w:szCs w:val="22"/>
        </w:rPr>
        <w:t xml:space="preserve">częciem inwestycji mieszkaniowej) oraz konieczności sprawdzenia przez Bank, czy dopuszczenie </w:t>
      </w:r>
      <w:r w:rsidR="00180794">
        <w:rPr>
          <w:rFonts w:asciiTheme="minorHAnsi" w:hAnsiTheme="minorHAnsi" w:cs="Arial"/>
          <w:sz w:val="22"/>
          <w:szCs w:val="22"/>
        </w:rPr>
        <w:t>d</w:t>
      </w:r>
      <w:r w:rsidR="00180794">
        <w:rPr>
          <w:rFonts w:asciiTheme="minorHAnsi" w:hAnsiTheme="minorHAnsi" w:cs="Arial"/>
          <w:sz w:val="22"/>
          <w:szCs w:val="22"/>
        </w:rPr>
        <w:t>a</w:t>
      </w:r>
      <w:r w:rsidR="00180794">
        <w:rPr>
          <w:rFonts w:asciiTheme="minorHAnsi" w:hAnsiTheme="minorHAnsi" w:cs="Arial"/>
          <w:sz w:val="22"/>
          <w:szCs w:val="22"/>
        </w:rPr>
        <w:t>nej gminy</w:t>
      </w:r>
      <w:r w:rsidR="0005174A">
        <w:rPr>
          <w:rFonts w:asciiTheme="minorHAnsi" w:hAnsiTheme="minorHAnsi" w:cs="Arial"/>
          <w:sz w:val="22"/>
          <w:szCs w:val="22"/>
        </w:rPr>
        <w:t xml:space="preserve"> do systemu nie będzie skutkować przekroczeniem </w:t>
      </w:r>
      <w:r w:rsidR="003A6600">
        <w:rPr>
          <w:rFonts w:asciiTheme="minorHAnsi" w:hAnsiTheme="minorHAnsi" w:cs="Arial"/>
          <w:sz w:val="22"/>
          <w:szCs w:val="22"/>
        </w:rPr>
        <w:t xml:space="preserve">aktualnych </w:t>
      </w:r>
      <w:r w:rsidR="0005174A">
        <w:rPr>
          <w:rFonts w:asciiTheme="minorHAnsi" w:hAnsiTheme="minorHAnsi" w:cs="Arial"/>
          <w:sz w:val="22"/>
          <w:szCs w:val="22"/>
        </w:rPr>
        <w:t xml:space="preserve">limitów </w:t>
      </w:r>
      <w:r w:rsidR="003A6600">
        <w:rPr>
          <w:rFonts w:asciiTheme="minorHAnsi" w:hAnsiTheme="minorHAnsi" w:cs="Arial"/>
          <w:sz w:val="22"/>
          <w:szCs w:val="22"/>
        </w:rPr>
        <w:t xml:space="preserve">kwalifikacji </w:t>
      </w:r>
      <w:r w:rsidR="000C43ED">
        <w:rPr>
          <w:rFonts w:asciiTheme="minorHAnsi" w:hAnsiTheme="minorHAnsi" w:cs="Arial"/>
          <w:sz w:val="22"/>
          <w:szCs w:val="22"/>
        </w:rPr>
        <w:t>określ</w:t>
      </w:r>
      <w:r w:rsidR="000C43ED">
        <w:rPr>
          <w:rFonts w:asciiTheme="minorHAnsi" w:hAnsiTheme="minorHAnsi" w:cs="Arial"/>
          <w:sz w:val="22"/>
          <w:szCs w:val="22"/>
        </w:rPr>
        <w:t>a</w:t>
      </w:r>
      <w:r w:rsidR="000C43ED">
        <w:rPr>
          <w:rFonts w:asciiTheme="minorHAnsi" w:hAnsiTheme="minorHAnsi" w:cs="Arial"/>
          <w:sz w:val="22"/>
          <w:szCs w:val="22"/>
        </w:rPr>
        <w:t>jących</w:t>
      </w:r>
      <w:r w:rsidR="003A6600">
        <w:rPr>
          <w:rFonts w:asciiTheme="minorHAnsi" w:hAnsiTheme="minorHAnsi" w:cs="Arial"/>
          <w:sz w:val="22"/>
          <w:szCs w:val="22"/>
        </w:rPr>
        <w:t xml:space="preserve"> możliwości </w:t>
      </w:r>
      <w:r w:rsidR="0005174A">
        <w:rPr>
          <w:rFonts w:asciiTheme="minorHAnsi" w:hAnsiTheme="minorHAnsi" w:cs="Arial"/>
          <w:sz w:val="22"/>
          <w:szCs w:val="22"/>
        </w:rPr>
        <w:t xml:space="preserve">Funduszu Dopłat, co wynika z istoty instrumentu. </w:t>
      </w:r>
    </w:p>
    <w:p w:rsidR="0005174A" w:rsidRDefault="0005174A" w:rsidP="0005174A">
      <w:pPr>
        <w:tabs>
          <w:tab w:val="left" w:pos="540"/>
        </w:tabs>
        <w:spacing w:after="240" w:line="240" w:lineRule="exact"/>
        <w:rPr>
          <w:rFonts w:asciiTheme="minorHAnsi" w:hAnsiTheme="minorHAnsi" w:cs="Arial"/>
          <w:sz w:val="22"/>
          <w:szCs w:val="22"/>
        </w:rPr>
      </w:pPr>
      <w:r>
        <w:rPr>
          <w:rFonts w:asciiTheme="minorHAnsi" w:hAnsiTheme="minorHAnsi" w:cs="Arial"/>
          <w:sz w:val="22"/>
          <w:szCs w:val="22"/>
        </w:rPr>
        <w:t xml:space="preserve">Umowa w sprawie stosowania dopłat będzie ponadto regulowała kwestie proceduralne związane </w:t>
      </w:r>
      <w:r>
        <w:rPr>
          <w:rFonts w:asciiTheme="minorHAnsi" w:hAnsiTheme="minorHAnsi" w:cs="Arial"/>
          <w:sz w:val="22"/>
          <w:szCs w:val="22"/>
        </w:rPr>
        <w:br/>
        <w:t>z wypłacaniem środków na dopłaty w relacjach BGK-</w:t>
      </w:r>
      <w:r w:rsidR="00180794">
        <w:rPr>
          <w:rFonts w:asciiTheme="minorHAnsi" w:hAnsiTheme="minorHAnsi" w:cs="Arial"/>
          <w:sz w:val="22"/>
          <w:szCs w:val="22"/>
        </w:rPr>
        <w:t>gmina</w:t>
      </w:r>
      <w:r>
        <w:rPr>
          <w:rFonts w:asciiTheme="minorHAnsi" w:hAnsiTheme="minorHAnsi" w:cs="Arial"/>
          <w:sz w:val="22"/>
          <w:szCs w:val="22"/>
        </w:rPr>
        <w:t xml:space="preserve">, w tym obowiązki informacyjne stron </w:t>
      </w:r>
      <w:r w:rsidR="00F1208E">
        <w:rPr>
          <w:rFonts w:asciiTheme="minorHAnsi" w:hAnsiTheme="minorHAnsi" w:cs="Arial"/>
          <w:sz w:val="22"/>
          <w:szCs w:val="22"/>
        </w:rPr>
        <w:br/>
      </w:r>
      <w:r>
        <w:rPr>
          <w:rFonts w:asciiTheme="minorHAnsi" w:hAnsiTheme="minorHAnsi" w:cs="Arial"/>
          <w:sz w:val="22"/>
          <w:szCs w:val="22"/>
        </w:rPr>
        <w:t xml:space="preserve">(np. w przypadku rozwiązania umowy między inwestorem a </w:t>
      </w:r>
      <w:r w:rsidR="00180794">
        <w:rPr>
          <w:rFonts w:asciiTheme="minorHAnsi" w:hAnsiTheme="minorHAnsi" w:cs="Arial"/>
          <w:sz w:val="22"/>
          <w:szCs w:val="22"/>
        </w:rPr>
        <w:t>gminą</w:t>
      </w:r>
      <w:r>
        <w:rPr>
          <w:rFonts w:asciiTheme="minorHAnsi" w:hAnsiTheme="minorHAnsi" w:cs="Arial"/>
          <w:sz w:val="22"/>
          <w:szCs w:val="22"/>
        </w:rPr>
        <w:t xml:space="preserve">), uprawnienia </w:t>
      </w:r>
      <w:r w:rsidRPr="004C0007">
        <w:rPr>
          <w:rFonts w:asciiTheme="minorHAnsi" w:hAnsiTheme="minorHAnsi" w:cs="Arial"/>
          <w:sz w:val="22"/>
          <w:szCs w:val="22"/>
        </w:rPr>
        <w:t>Banku do dokon</w:t>
      </w:r>
      <w:r w:rsidRPr="004C0007">
        <w:rPr>
          <w:rFonts w:asciiTheme="minorHAnsi" w:hAnsiTheme="minorHAnsi" w:cs="Arial"/>
          <w:sz w:val="22"/>
          <w:szCs w:val="22"/>
        </w:rPr>
        <w:t>y</w:t>
      </w:r>
      <w:r w:rsidRPr="004C0007">
        <w:rPr>
          <w:rFonts w:asciiTheme="minorHAnsi" w:hAnsiTheme="minorHAnsi" w:cs="Arial"/>
          <w:sz w:val="22"/>
          <w:szCs w:val="22"/>
        </w:rPr>
        <w:t xml:space="preserve">wania kontroli </w:t>
      </w:r>
      <w:r w:rsidR="00392890">
        <w:rPr>
          <w:rFonts w:asciiTheme="minorHAnsi" w:hAnsiTheme="minorHAnsi" w:cs="Arial"/>
          <w:sz w:val="22"/>
          <w:szCs w:val="22"/>
        </w:rPr>
        <w:t>prawidłowości</w:t>
      </w:r>
      <w:r w:rsidRPr="004C0007">
        <w:rPr>
          <w:rFonts w:asciiTheme="minorHAnsi" w:hAnsiTheme="minorHAnsi" w:cs="Arial"/>
          <w:sz w:val="22"/>
          <w:szCs w:val="22"/>
        </w:rPr>
        <w:t xml:space="preserve"> wydatkowania środków na dopłaty </w:t>
      </w:r>
      <w:r>
        <w:rPr>
          <w:rFonts w:asciiTheme="minorHAnsi" w:hAnsiTheme="minorHAnsi" w:cs="Arial"/>
          <w:sz w:val="22"/>
          <w:szCs w:val="22"/>
        </w:rPr>
        <w:t>czy zakres danych zawartych w ewidencji najemców.</w:t>
      </w:r>
    </w:p>
    <w:p w:rsidR="00710DD3" w:rsidRDefault="0005174A" w:rsidP="0005174A">
      <w:pPr>
        <w:tabs>
          <w:tab w:val="left" w:pos="540"/>
        </w:tabs>
        <w:spacing w:after="240" w:line="240" w:lineRule="exact"/>
        <w:rPr>
          <w:rFonts w:asciiTheme="minorHAnsi" w:hAnsiTheme="minorHAnsi" w:cs="Arial"/>
          <w:sz w:val="22"/>
          <w:szCs w:val="22"/>
        </w:rPr>
      </w:pPr>
      <w:r>
        <w:rPr>
          <w:rFonts w:asciiTheme="minorHAnsi" w:hAnsiTheme="minorHAnsi" w:cs="Arial"/>
          <w:sz w:val="22"/>
          <w:szCs w:val="22"/>
        </w:rPr>
        <w:lastRenderedPageBreak/>
        <w:t>Jak wspomniano, w</w:t>
      </w:r>
      <w:r w:rsidRPr="00436936">
        <w:rPr>
          <w:rFonts w:asciiTheme="minorHAnsi" w:hAnsiTheme="minorHAnsi" w:cs="Arial"/>
          <w:sz w:val="22"/>
          <w:szCs w:val="22"/>
        </w:rPr>
        <w:t xml:space="preserve">arunkiem zawarcia umowy w sprawie stosowania dopłat jest stwierdzenie przez </w:t>
      </w:r>
      <w:r>
        <w:rPr>
          <w:rFonts w:asciiTheme="minorHAnsi" w:hAnsiTheme="minorHAnsi" w:cs="Arial"/>
          <w:sz w:val="22"/>
          <w:szCs w:val="22"/>
        </w:rPr>
        <w:t>BGK</w:t>
      </w:r>
      <w:r w:rsidRPr="00436936">
        <w:rPr>
          <w:rFonts w:asciiTheme="minorHAnsi" w:hAnsiTheme="minorHAnsi" w:cs="Arial"/>
          <w:sz w:val="22"/>
          <w:szCs w:val="22"/>
        </w:rPr>
        <w:t>, że wypłata środków przeznaczonych na dopłaty do czynszu najmu mieszkań</w:t>
      </w:r>
      <w:r>
        <w:rPr>
          <w:rFonts w:asciiTheme="minorHAnsi" w:hAnsiTheme="minorHAnsi" w:cs="Arial"/>
          <w:sz w:val="22"/>
          <w:szCs w:val="22"/>
        </w:rPr>
        <w:t xml:space="preserve"> </w:t>
      </w:r>
      <w:r w:rsidRPr="00436936">
        <w:rPr>
          <w:rFonts w:asciiTheme="minorHAnsi" w:hAnsiTheme="minorHAnsi" w:cs="Arial"/>
          <w:sz w:val="22"/>
          <w:szCs w:val="22"/>
        </w:rPr>
        <w:t>w wysokości wynikającej z</w:t>
      </w:r>
      <w:r w:rsidR="00E4237D">
        <w:rPr>
          <w:rFonts w:asciiTheme="minorHAnsi" w:hAnsiTheme="minorHAnsi" w:cs="Arial"/>
          <w:sz w:val="22"/>
          <w:szCs w:val="22"/>
        </w:rPr>
        <w:t>e</w:t>
      </w:r>
      <w:r w:rsidRPr="00436936">
        <w:rPr>
          <w:rFonts w:asciiTheme="minorHAnsi" w:hAnsiTheme="minorHAnsi" w:cs="Arial"/>
          <w:sz w:val="22"/>
          <w:szCs w:val="22"/>
        </w:rPr>
        <w:t xml:space="preserve"> </w:t>
      </w:r>
      <w:r w:rsidR="00E4237D">
        <w:rPr>
          <w:rFonts w:asciiTheme="minorHAnsi" w:hAnsiTheme="minorHAnsi" w:cs="Arial"/>
          <w:sz w:val="22"/>
          <w:szCs w:val="22"/>
        </w:rPr>
        <w:t>wstępnych kwot</w:t>
      </w:r>
      <w:r w:rsidRPr="00436936">
        <w:rPr>
          <w:rFonts w:asciiTheme="minorHAnsi" w:hAnsiTheme="minorHAnsi" w:cs="Arial"/>
          <w:sz w:val="22"/>
          <w:szCs w:val="22"/>
        </w:rPr>
        <w:t xml:space="preserve"> zapotrzebowania wskazan</w:t>
      </w:r>
      <w:r w:rsidR="00E4237D">
        <w:rPr>
          <w:rFonts w:asciiTheme="minorHAnsi" w:hAnsiTheme="minorHAnsi" w:cs="Arial"/>
          <w:sz w:val="22"/>
          <w:szCs w:val="22"/>
        </w:rPr>
        <w:t>ych</w:t>
      </w:r>
      <w:r w:rsidRPr="00436936">
        <w:rPr>
          <w:rFonts w:asciiTheme="minorHAnsi" w:hAnsiTheme="minorHAnsi" w:cs="Arial"/>
          <w:sz w:val="22"/>
          <w:szCs w:val="22"/>
        </w:rPr>
        <w:t xml:space="preserve"> we wniosku</w:t>
      </w:r>
      <w:r>
        <w:rPr>
          <w:rFonts w:asciiTheme="minorHAnsi" w:hAnsiTheme="minorHAnsi" w:cs="Arial"/>
          <w:sz w:val="22"/>
          <w:szCs w:val="22"/>
        </w:rPr>
        <w:t xml:space="preserve"> </w:t>
      </w:r>
      <w:r w:rsidR="00C478DE">
        <w:rPr>
          <w:rFonts w:asciiTheme="minorHAnsi" w:hAnsiTheme="minorHAnsi" w:cs="Arial"/>
          <w:sz w:val="22"/>
          <w:szCs w:val="22"/>
        </w:rPr>
        <w:t>gminy</w:t>
      </w:r>
      <w:r w:rsidR="00C478DE" w:rsidRPr="00436936">
        <w:rPr>
          <w:rFonts w:asciiTheme="minorHAnsi" w:hAnsiTheme="minorHAnsi" w:cs="Arial"/>
          <w:sz w:val="22"/>
          <w:szCs w:val="22"/>
        </w:rPr>
        <w:t xml:space="preserve"> </w:t>
      </w:r>
      <w:r w:rsidRPr="00436936">
        <w:rPr>
          <w:rFonts w:asciiTheme="minorHAnsi" w:hAnsiTheme="minorHAnsi" w:cs="Arial"/>
          <w:sz w:val="22"/>
          <w:szCs w:val="22"/>
        </w:rPr>
        <w:t xml:space="preserve">nie spowoduje przekroczenia </w:t>
      </w:r>
      <w:r w:rsidR="003A6600" w:rsidRPr="003A6600">
        <w:rPr>
          <w:rFonts w:asciiTheme="minorHAnsi" w:hAnsiTheme="minorHAnsi" w:cs="Arial"/>
          <w:sz w:val="22"/>
          <w:szCs w:val="22"/>
        </w:rPr>
        <w:t>aktualnych limitów kwalifikacji wynikających z możliwości</w:t>
      </w:r>
      <w:r w:rsidR="003A6600" w:rsidRPr="003A6600" w:rsidDel="003A6600">
        <w:rPr>
          <w:rFonts w:asciiTheme="minorHAnsi" w:hAnsiTheme="minorHAnsi" w:cs="Arial"/>
          <w:sz w:val="22"/>
          <w:szCs w:val="22"/>
        </w:rPr>
        <w:t xml:space="preserve"> </w:t>
      </w:r>
      <w:r w:rsidRPr="00436936">
        <w:rPr>
          <w:rFonts w:asciiTheme="minorHAnsi" w:hAnsiTheme="minorHAnsi" w:cs="Arial"/>
          <w:sz w:val="22"/>
          <w:szCs w:val="22"/>
        </w:rPr>
        <w:t>Funduszu Dopłat w poszczególnych latach stosowania dopłat.</w:t>
      </w:r>
      <w:r w:rsidR="00C478DE">
        <w:rPr>
          <w:rFonts w:asciiTheme="minorHAnsi" w:hAnsiTheme="minorHAnsi" w:cs="Arial"/>
          <w:sz w:val="22"/>
          <w:szCs w:val="22"/>
        </w:rPr>
        <w:t xml:space="preserve"> </w:t>
      </w:r>
    </w:p>
    <w:p w:rsidR="00710DD3" w:rsidRPr="00710DD3" w:rsidRDefault="00710DD3" w:rsidP="00710DD3">
      <w:pPr>
        <w:tabs>
          <w:tab w:val="left" w:pos="540"/>
        </w:tabs>
        <w:spacing w:after="240" w:line="240" w:lineRule="exact"/>
        <w:rPr>
          <w:rFonts w:asciiTheme="minorHAnsi" w:hAnsiTheme="minorHAnsi" w:cs="Arial"/>
          <w:sz w:val="22"/>
          <w:szCs w:val="22"/>
        </w:rPr>
      </w:pPr>
      <w:r>
        <w:rPr>
          <w:rFonts w:asciiTheme="minorHAnsi" w:hAnsiTheme="minorHAnsi" w:cs="Arial"/>
          <w:sz w:val="22"/>
          <w:szCs w:val="22"/>
        </w:rPr>
        <w:t xml:space="preserve">W kontekście omawianej problematyki należy odnieść się również do </w:t>
      </w:r>
      <w:r w:rsidR="00306B83">
        <w:rPr>
          <w:rFonts w:asciiTheme="minorHAnsi" w:hAnsiTheme="minorHAnsi" w:cs="Arial"/>
          <w:sz w:val="22"/>
          <w:szCs w:val="22"/>
        </w:rPr>
        <w:t xml:space="preserve">problemu pozostawienia </w:t>
      </w:r>
      <w:r>
        <w:rPr>
          <w:rFonts w:asciiTheme="minorHAnsi" w:hAnsiTheme="minorHAnsi" w:cs="Arial"/>
          <w:sz w:val="22"/>
          <w:szCs w:val="22"/>
        </w:rPr>
        <w:t xml:space="preserve">wniosku gminy </w:t>
      </w:r>
      <w:r w:rsidR="00306B83">
        <w:rPr>
          <w:rFonts w:asciiTheme="minorHAnsi" w:hAnsiTheme="minorHAnsi" w:cs="Arial"/>
          <w:sz w:val="22"/>
          <w:szCs w:val="22"/>
        </w:rPr>
        <w:t>bez rozpatrzenia w sytuacji, gdy nabór wniosków</w:t>
      </w:r>
      <w:r>
        <w:rPr>
          <w:rFonts w:asciiTheme="minorHAnsi" w:hAnsiTheme="minorHAnsi" w:cs="Arial"/>
          <w:sz w:val="22"/>
          <w:szCs w:val="22"/>
        </w:rPr>
        <w:t xml:space="preserve"> o zawarcie umowy najmu </w:t>
      </w:r>
      <w:r w:rsidR="00306B83">
        <w:rPr>
          <w:rFonts w:asciiTheme="minorHAnsi" w:hAnsiTheme="minorHAnsi" w:cs="Arial"/>
          <w:sz w:val="22"/>
          <w:szCs w:val="22"/>
        </w:rPr>
        <w:t xml:space="preserve">został już przeprowadzony </w:t>
      </w:r>
      <w:r>
        <w:rPr>
          <w:rFonts w:asciiTheme="minorHAnsi" w:hAnsiTheme="minorHAnsi" w:cs="Arial"/>
          <w:sz w:val="22"/>
          <w:szCs w:val="22"/>
        </w:rPr>
        <w:t xml:space="preserve">przez gminę. W </w:t>
      </w:r>
      <w:r w:rsidR="00306B83">
        <w:rPr>
          <w:rFonts w:asciiTheme="minorHAnsi" w:hAnsiTheme="minorHAnsi" w:cs="Arial"/>
          <w:sz w:val="22"/>
          <w:szCs w:val="22"/>
        </w:rPr>
        <w:t xml:space="preserve">takim </w:t>
      </w:r>
      <w:r>
        <w:rPr>
          <w:rFonts w:asciiTheme="minorHAnsi" w:hAnsiTheme="minorHAnsi" w:cs="Arial"/>
          <w:sz w:val="22"/>
          <w:szCs w:val="22"/>
        </w:rPr>
        <w:t xml:space="preserve">przypadku </w:t>
      </w:r>
      <w:r w:rsidRPr="00710DD3">
        <w:rPr>
          <w:rFonts w:asciiTheme="minorHAnsi" w:hAnsiTheme="minorHAnsi" w:cs="Arial"/>
          <w:sz w:val="22"/>
          <w:szCs w:val="22"/>
        </w:rPr>
        <w:t xml:space="preserve">wnioski o </w:t>
      </w:r>
      <w:r w:rsidR="00306B83">
        <w:rPr>
          <w:rFonts w:asciiTheme="minorHAnsi" w:hAnsiTheme="minorHAnsi" w:cs="Arial"/>
          <w:sz w:val="22"/>
          <w:szCs w:val="22"/>
        </w:rPr>
        <w:t>zawarcie umowy najmu</w:t>
      </w:r>
      <w:r w:rsidRPr="00710DD3">
        <w:rPr>
          <w:rFonts w:asciiTheme="minorHAnsi" w:hAnsiTheme="minorHAnsi" w:cs="Arial"/>
          <w:sz w:val="22"/>
          <w:szCs w:val="22"/>
        </w:rPr>
        <w:t xml:space="preserve"> nie </w:t>
      </w:r>
      <w:r w:rsidR="00306B83">
        <w:rPr>
          <w:rFonts w:asciiTheme="minorHAnsi" w:hAnsiTheme="minorHAnsi" w:cs="Arial"/>
          <w:sz w:val="22"/>
          <w:szCs w:val="22"/>
        </w:rPr>
        <w:t>będą</w:t>
      </w:r>
      <w:r w:rsidRPr="00710DD3">
        <w:rPr>
          <w:rFonts w:asciiTheme="minorHAnsi" w:hAnsiTheme="minorHAnsi" w:cs="Arial"/>
          <w:sz w:val="22"/>
          <w:szCs w:val="22"/>
        </w:rPr>
        <w:t xml:space="preserve"> procedowane w trybie uregulowanym w projektowanej ustawie. Z uwagi na to, że nie zostały jeszcze zawarte umowy najmu, przedmiotowy przypadek nie ma </w:t>
      </w:r>
      <w:r w:rsidR="00306B83">
        <w:rPr>
          <w:rFonts w:asciiTheme="minorHAnsi" w:hAnsiTheme="minorHAnsi" w:cs="Arial"/>
          <w:sz w:val="22"/>
          <w:szCs w:val="22"/>
        </w:rPr>
        <w:t xml:space="preserve">jednak </w:t>
      </w:r>
      <w:r w:rsidRPr="00710DD3">
        <w:rPr>
          <w:rFonts w:asciiTheme="minorHAnsi" w:hAnsiTheme="minorHAnsi" w:cs="Arial"/>
          <w:sz w:val="22"/>
          <w:szCs w:val="22"/>
        </w:rPr>
        <w:t xml:space="preserve">wpływu na prawo do dopłat (powstające z chwilą zawarcia umowy najmu). </w:t>
      </w:r>
    </w:p>
    <w:p w:rsidR="00710DD3" w:rsidRDefault="00710DD3" w:rsidP="0005174A">
      <w:pPr>
        <w:tabs>
          <w:tab w:val="left" w:pos="540"/>
        </w:tabs>
        <w:spacing w:after="240" w:line="240" w:lineRule="exact"/>
        <w:rPr>
          <w:rFonts w:asciiTheme="minorHAnsi" w:hAnsiTheme="minorHAnsi" w:cs="Arial"/>
          <w:sz w:val="22"/>
          <w:szCs w:val="22"/>
        </w:rPr>
      </w:pPr>
      <w:r w:rsidRPr="00710DD3">
        <w:rPr>
          <w:rFonts w:asciiTheme="minorHAnsi" w:hAnsiTheme="minorHAnsi" w:cs="Arial"/>
          <w:sz w:val="22"/>
          <w:szCs w:val="22"/>
        </w:rPr>
        <w:t xml:space="preserve">Niezależnie od powyższego należy zauważyć, że pozostawienie wniosku gminy bez rozpoznania nie oznacza wyłączenia inwestycji </w:t>
      </w:r>
      <w:r w:rsidR="00306B83">
        <w:rPr>
          <w:rFonts w:asciiTheme="minorHAnsi" w:hAnsiTheme="minorHAnsi" w:cs="Arial"/>
          <w:sz w:val="22"/>
          <w:szCs w:val="22"/>
        </w:rPr>
        <w:t xml:space="preserve">mieszkaniowej </w:t>
      </w:r>
      <w:r w:rsidRPr="00710DD3">
        <w:rPr>
          <w:rFonts w:asciiTheme="minorHAnsi" w:hAnsiTheme="minorHAnsi" w:cs="Arial"/>
          <w:sz w:val="22"/>
          <w:szCs w:val="22"/>
        </w:rPr>
        <w:t>z systemu dopłat. Gmina może bowiem złożyć nowy wniosek w przypadku dostępności limitów kwalifikacji w późniejszym terminie, np. wskutek mniejszego zapotrzebowania na środki niż wynikało to ze wstępnych kwot zapotrzebowania wskazanych we wnioskach inn</w:t>
      </w:r>
      <w:r w:rsidR="00306B83">
        <w:rPr>
          <w:rFonts w:asciiTheme="minorHAnsi" w:hAnsiTheme="minorHAnsi" w:cs="Arial"/>
          <w:sz w:val="22"/>
          <w:szCs w:val="22"/>
        </w:rPr>
        <w:t xml:space="preserve">ych gmin. </w:t>
      </w:r>
      <w:r w:rsidRPr="00710DD3">
        <w:rPr>
          <w:rFonts w:asciiTheme="minorHAnsi" w:hAnsiTheme="minorHAnsi" w:cs="Arial"/>
          <w:sz w:val="22"/>
          <w:szCs w:val="22"/>
        </w:rPr>
        <w:t xml:space="preserve">Ingerowanie na poziomie ustawy w treść umowy między gminą i inwestorem byłoby </w:t>
      </w:r>
      <w:r w:rsidR="00306B83">
        <w:rPr>
          <w:rFonts w:asciiTheme="minorHAnsi" w:hAnsiTheme="minorHAnsi" w:cs="Arial"/>
          <w:sz w:val="22"/>
          <w:szCs w:val="22"/>
        </w:rPr>
        <w:t xml:space="preserve">w tym kontekście </w:t>
      </w:r>
      <w:r w:rsidRPr="00710DD3">
        <w:rPr>
          <w:rFonts w:asciiTheme="minorHAnsi" w:hAnsiTheme="minorHAnsi" w:cs="Arial"/>
          <w:sz w:val="22"/>
          <w:szCs w:val="22"/>
        </w:rPr>
        <w:t>niezasadne</w:t>
      </w:r>
      <w:r w:rsidR="00306B83">
        <w:rPr>
          <w:rFonts w:asciiTheme="minorHAnsi" w:hAnsiTheme="minorHAnsi" w:cs="Arial"/>
          <w:sz w:val="22"/>
          <w:szCs w:val="22"/>
        </w:rPr>
        <w:t xml:space="preserve"> również </w:t>
      </w:r>
      <w:r w:rsidRPr="00710DD3">
        <w:rPr>
          <w:rFonts w:asciiTheme="minorHAnsi" w:hAnsiTheme="minorHAnsi" w:cs="Arial"/>
          <w:sz w:val="22"/>
          <w:szCs w:val="22"/>
        </w:rPr>
        <w:t>z powodu rynkowego charakteru inwestycji. W ocenie stron kontynuacja realizacji inwestycji może być bowiem opłacalna mimo braku pozytywnie rozpatrzonego wniosku gwarantującego dopłaty. Wyłączenie inwestycji z systemu nie ma wpływu na prawo do dopłat. Do czasu podpisania umowy najmu prawo do dopłat nie powstaje.</w:t>
      </w:r>
    </w:p>
    <w:p w:rsidR="0005174A" w:rsidRDefault="00710DD3" w:rsidP="0005174A">
      <w:pPr>
        <w:tabs>
          <w:tab w:val="left" w:pos="540"/>
        </w:tabs>
        <w:spacing w:after="240" w:line="240" w:lineRule="exact"/>
        <w:rPr>
          <w:rFonts w:asciiTheme="minorHAnsi" w:hAnsiTheme="minorHAnsi" w:cs="Arial"/>
          <w:sz w:val="22"/>
          <w:szCs w:val="22"/>
        </w:rPr>
      </w:pPr>
      <w:r>
        <w:rPr>
          <w:rFonts w:asciiTheme="minorHAnsi" w:hAnsiTheme="minorHAnsi" w:cs="Arial"/>
          <w:sz w:val="22"/>
          <w:szCs w:val="22"/>
        </w:rPr>
        <w:t>S</w:t>
      </w:r>
      <w:r w:rsidR="00C478DE">
        <w:rPr>
          <w:rFonts w:asciiTheme="minorHAnsi" w:hAnsiTheme="minorHAnsi" w:cs="Arial"/>
          <w:sz w:val="22"/>
          <w:szCs w:val="22"/>
        </w:rPr>
        <w:t xml:space="preserve">trony </w:t>
      </w:r>
      <w:r>
        <w:rPr>
          <w:rFonts w:asciiTheme="minorHAnsi" w:hAnsiTheme="minorHAnsi" w:cs="Arial"/>
          <w:sz w:val="22"/>
          <w:szCs w:val="22"/>
        </w:rPr>
        <w:t>umowy w sprawie stosowania dopłat będą mogły</w:t>
      </w:r>
      <w:r w:rsidR="00C478DE">
        <w:rPr>
          <w:rFonts w:asciiTheme="minorHAnsi" w:hAnsiTheme="minorHAnsi" w:cs="Arial"/>
          <w:sz w:val="22"/>
          <w:szCs w:val="22"/>
        </w:rPr>
        <w:t xml:space="preserve"> dokon</w:t>
      </w:r>
      <w:r w:rsidR="006708BB">
        <w:rPr>
          <w:rFonts w:asciiTheme="minorHAnsi" w:hAnsiTheme="minorHAnsi" w:cs="Arial"/>
          <w:sz w:val="22"/>
          <w:szCs w:val="22"/>
        </w:rPr>
        <w:t>yw</w:t>
      </w:r>
      <w:r w:rsidR="00C478DE">
        <w:rPr>
          <w:rFonts w:asciiTheme="minorHAnsi" w:hAnsiTheme="minorHAnsi" w:cs="Arial"/>
          <w:sz w:val="22"/>
          <w:szCs w:val="22"/>
        </w:rPr>
        <w:t>ać zmian</w:t>
      </w:r>
      <w:r w:rsidR="006708BB">
        <w:rPr>
          <w:rFonts w:asciiTheme="minorHAnsi" w:hAnsiTheme="minorHAnsi" w:cs="Arial"/>
          <w:sz w:val="22"/>
          <w:szCs w:val="22"/>
        </w:rPr>
        <w:t xml:space="preserve"> przedmiotowej umowy, np. w przypadku, gdy w toku realizacji inwestycji zwiększona zostanie liczba lokali objętych możliwością stosowania dopłat. Warunkiem dokonania zmian w umowie w sprawie stosowania dopłat jest jednak nieprzekroczenie aktualnych limitów kwalifikacji w żadnym roku stosowania dopłat.</w:t>
      </w:r>
    </w:p>
    <w:p w:rsidR="00A23DFD" w:rsidRDefault="007A5596" w:rsidP="00730411">
      <w:pPr>
        <w:tabs>
          <w:tab w:val="left" w:pos="540"/>
        </w:tabs>
        <w:spacing w:after="240" w:line="240" w:lineRule="exact"/>
        <w:rPr>
          <w:rFonts w:asciiTheme="minorHAnsi" w:hAnsiTheme="minorHAnsi" w:cs="Arial"/>
          <w:sz w:val="22"/>
          <w:szCs w:val="22"/>
        </w:rPr>
      </w:pPr>
      <w:r>
        <w:rPr>
          <w:rFonts w:asciiTheme="minorHAnsi" w:hAnsiTheme="minorHAnsi" w:cs="Arial"/>
          <w:sz w:val="22"/>
          <w:szCs w:val="22"/>
        </w:rPr>
        <w:t xml:space="preserve">Zgodnie z </w:t>
      </w:r>
      <w:r w:rsidRPr="007A5596">
        <w:rPr>
          <w:rFonts w:asciiTheme="minorHAnsi" w:hAnsiTheme="minorHAnsi" w:cs="Arial"/>
          <w:b/>
          <w:sz w:val="22"/>
          <w:szCs w:val="22"/>
        </w:rPr>
        <w:t>art. 1</w:t>
      </w:r>
      <w:r w:rsidR="006708BB">
        <w:rPr>
          <w:rFonts w:asciiTheme="minorHAnsi" w:hAnsiTheme="minorHAnsi" w:cs="Arial"/>
          <w:b/>
          <w:sz w:val="22"/>
          <w:szCs w:val="22"/>
        </w:rPr>
        <w:t>4</w:t>
      </w:r>
      <w:r>
        <w:rPr>
          <w:rFonts w:asciiTheme="minorHAnsi" w:hAnsiTheme="minorHAnsi" w:cs="Arial"/>
          <w:sz w:val="22"/>
          <w:szCs w:val="22"/>
        </w:rPr>
        <w:t xml:space="preserve"> p</w:t>
      </w:r>
      <w:r w:rsidR="00A77DC8">
        <w:rPr>
          <w:rFonts w:asciiTheme="minorHAnsi" w:hAnsiTheme="minorHAnsi" w:cs="Arial"/>
          <w:sz w:val="22"/>
          <w:szCs w:val="22"/>
        </w:rPr>
        <w:t xml:space="preserve">o stworzeniu listy </w:t>
      </w:r>
      <w:r>
        <w:rPr>
          <w:rFonts w:asciiTheme="minorHAnsi" w:hAnsiTheme="minorHAnsi" w:cs="Arial"/>
          <w:sz w:val="22"/>
          <w:szCs w:val="22"/>
        </w:rPr>
        <w:t xml:space="preserve">najemców </w:t>
      </w:r>
      <w:r w:rsidR="006708BB">
        <w:rPr>
          <w:rFonts w:asciiTheme="minorHAnsi" w:hAnsiTheme="minorHAnsi" w:cs="Arial"/>
          <w:sz w:val="22"/>
          <w:szCs w:val="22"/>
        </w:rPr>
        <w:t xml:space="preserve">gmina </w:t>
      </w:r>
      <w:r w:rsidR="00A77DC8">
        <w:rPr>
          <w:rFonts w:asciiTheme="minorHAnsi" w:hAnsiTheme="minorHAnsi" w:cs="Arial"/>
          <w:sz w:val="22"/>
          <w:szCs w:val="22"/>
        </w:rPr>
        <w:t xml:space="preserve">przekazuje </w:t>
      </w:r>
      <w:r w:rsidR="004B2E5C">
        <w:rPr>
          <w:rFonts w:asciiTheme="minorHAnsi" w:hAnsiTheme="minorHAnsi" w:cs="Arial"/>
          <w:sz w:val="22"/>
          <w:szCs w:val="22"/>
        </w:rPr>
        <w:t>listę</w:t>
      </w:r>
      <w:r w:rsidR="00A77DC8">
        <w:rPr>
          <w:rFonts w:asciiTheme="minorHAnsi" w:hAnsiTheme="minorHAnsi" w:cs="Arial"/>
          <w:sz w:val="22"/>
          <w:szCs w:val="22"/>
        </w:rPr>
        <w:t xml:space="preserve"> niezwłocznie wynajmującemu wraz z wnioskami kandydatów</w:t>
      </w:r>
      <w:r w:rsidR="006708BB">
        <w:rPr>
          <w:rFonts w:asciiTheme="minorHAnsi" w:hAnsiTheme="minorHAnsi" w:cs="Arial"/>
          <w:sz w:val="22"/>
          <w:szCs w:val="22"/>
        </w:rPr>
        <w:t xml:space="preserve"> do zawarcia umów najmu</w:t>
      </w:r>
      <w:r w:rsidR="00A77DC8">
        <w:rPr>
          <w:rFonts w:asciiTheme="minorHAnsi" w:hAnsiTheme="minorHAnsi" w:cs="Arial"/>
          <w:sz w:val="22"/>
          <w:szCs w:val="22"/>
        </w:rPr>
        <w:t>.</w:t>
      </w:r>
      <w:r w:rsidR="004B2E5C">
        <w:rPr>
          <w:rFonts w:asciiTheme="minorHAnsi" w:hAnsiTheme="minorHAnsi" w:cs="Arial"/>
          <w:sz w:val="22"/>
          <w:szCs w:val="22"/>
        </w:rPr>
        <w:t xml:space="preserve"> </w:t>
      </w:r>
      <w:r w:rsidR="006708BB">
        <w:rPr>
          <w:rFonts w:asciiTheme="minorHAnsi" w:hAnsiTheme="minorHAnsi" w:cs="Arial"/>
          <w:sz w:val="22"/>
          <w:szCs w:val="22"/>
        </w:rPr>
        <w:t>W</w:t>
      </w:r>
      <w:r w:rsidR="0005174A">
        <w:rPr>
          <w:rFonts w:asciiTheme="minorHAnsi" w:hAnsiTheme="minorHAnsi" w:cs="Arial"/>
          <w:sz w:val="22"/>
          <w:szCs w:val="22"/>
        </w:rPr>
        <w:t xml:space="preserve">ynajmujący </w:t>
      </w:r>
      <w:r w:rsidR="004B2E5C">
        <w:rPr>
          <w:rFonts w:asciiTheme="minorHAnsi" w:hAnsiTheme="minorHAnsi" w:cs="Arial"/>
          <w:sz w:val="22"/>
          <w:szCs w:val="22"/>
        </w:rPr>
        <w:t xml:space="preserve">lokale </w:t>
      </w:r>
      <w:r w:rsidR="0005174A">
        <w:rPr>
          <w:rFonts w:asciiTheme="minorHAnsi" w:hAnsiTheme="minorHAnsi" w:cs="Arial"/>
          <w:sz w:val="22"/>
          <w:szCs w:val="22"/>
        </w:rPr>
        <w:t xml:space="preserve">związane z możliwością stosowania dopłat zawiera </w:t>
      </w:r>
      <w:r w:rsidR="006708BB">
        <w:rPr>
          <w:rFonts w:asciiTheme="minorHAnsi" w:hAnsiTheme="minorHAnsi" w:cs="Arial"/>
          <w:sz w:val="22"/>
          <w:szCs w:val="22"/>
        </w:rPr>
        <w:t xml:space="preserve">jednak </w:t>
      </w:r>
      <w:r w:rsidR="0005174A">
        <w:rPr>
          <w:rFonts w:asciiTheme="minorHAnsi" w:hAnsiTheme="minorHAnsi" w:cs="Arial"/>
          <w:sz w:val="22"/>
          <w:szCs w:val="22"/>
        </w:rPr>
        <w:t xml:space="preserve">umowy najmu </w:t>
      </w:r>
      <w:r w:rsidR="006708BB">
        <w:rPr>
          <w:rFonts w:asciiTheme="minorHAnsi" w:hAnsiTheme="minorHAnsi" w:cs="Arial"/>
          <w:sz w:val="22"/>
          <w:szCs w:val="22"/>
        </w:rPr>
        <w:t xml:space="preserve">dopiero po zawarciu przez gminę z BGK umowy </w:t>
      </w:r>
      <w:r w:rsidR="005B5623">
        <w:rPr>
          <w:rFonts w:asciiTheme="minorHAnsi" w:hAnsiTheme="minorHAnsi" w:cs="Arial"/>
          <w:sz w:val="22"/>
          <w:szCs w:val="22"/>
        </w:rPr>
        <w:br/>
      </w:r>
      <w:r w:rsidR="006708BB">
        <w:rPr>
          <w:rFonts w:asciiTheme="minorHAnsi" w:hAnsiTheme="minorHAnsi" w:cs="Arial"/>
          <w:sz w:val="22"/>
          <w:szCs w:val="22"/>
        </w:rPr>
        <w:t xml:space="preserve">w sprawie stosowania dopłat. Jest to motywowane potrzebą zapewnienia kandydatom na najemców wiedzy, że zawarcie umowy najmu gwarantuje im możliwość ubiegania się o dopłaty oraz ich otrzymanie, jeśli gospodarstwo domowe spełnia warunki określone w ustawie. Wynajmujący zawiera umowy najmu </w:t>
      </w:r>
      <w:r w:rsidR="0005174A">
        <w:rPr>
          <w:rFonts w:asciiTheme="minorHAnsi" w:hAnsiTheme="minorHAnsi" w:cs="Arial"/>
          <w:sz w:val="22"/>
          <w:szCs w:val="22"/>
        </w:rPr>
        <w:t xml:space="preserve">z kandydatami wskazanymi na przekazanej przez </w:t>
      </w:r>
      <w:r w:rsidR="006708BB">
        <w:rPr>
          <w:rFonts w:asciiTheme="minorHAnsi" w:hAnsiTheme="minorHAnsi" w:cs="Arial"/>
          <w:sz w:val="22"/>
          <w:szCs w:val="22"/>
        </w:rPr>
        <w:t xml:space="preserve">gminę </w:t>
      </w:r>
      <w:r w:rsidR="0005174A">
        <w:rPr>
          <w:rFonts w:asciiTheme="minorHAnsi" w:hAnsiTheme="minorHAnsi" w:cs="Arial"/>
          <w:sz w:val="22"/>
          <w:szCs w:val="22"/>
        </w:rPr>
        <w:t xml:space="preserve">liście pod warunkiem posiadania przez nich zdolności czynszowej (warunki dotyczące spełniania tego warunku są precyzowane, jak wcześniej wspomniano, w umowie między inwestorem a </w:t>
      </w:r>
      <w:r w:rsidR="006708BB">
        <w:rPr>
          <w:rFonts w:asciiTheme="minorHAnsi" w:hAnsiTheme="minorHAnsi" w:cs="Arial"/>
          <w:sz w:val="22"/>
          <w:szCs w:val="22"/>
        </w:rPr>
        <w:t>gminą</w:t>
      </w:r>
      <w:r w:rsidR="0005174A">
        <w:rPr>
          <w:rFonts w:asciiTheme="minorHAnsi" w:hAnsiTheme="minorHAnsi" w:cs="Arial"/>
          <w:sz w:val="22"/>
          <w:szCs w:val="22"/>
        </w:rPr>
        <w:t xml:space="preserve">). Umowy najmu są zawierane w kolejności wynikającej z listy. </w:t>
      </w:r>
    </w:p>
    <w:p w:rsidR="002C0C99" w:rsidRDefault="0005174A" w:rsidP="00730411">
      <w:pPr>
        <w:tabs>
          <w:tab w:val="left" w:pos="540"/>
        </w:tabs>
        <w:spacing w:after="240" w:line="240" w:lineRule="exact"/>
        <w:rPr>
          <w:rFonts w:asciiTheme="minorHAnsi" w:hAnsiTheme="minorHAnsi" w:cs="Arial"/>
          <w:sz w:val="22"/>
          <w:szCs w:val="22"/>
        </w:rPr>
      </w:pPr>
      <w:r>
        <w:rPr>
          <w:rFonts w:asciiTheme="minorHAnsi" w:hAnsiTheme="minorHAnsi" w:cs="Arial"/>
          <w:sz w:val="22"/>
          <w:szCs w:val="22"/>
        </w:rPr>
        <w:t>Projektodawca odniósł się w tym kontekście również do sytuacji, w której po zbadaniu przez wynajmującego zdolności czynszowej kandydatów wskazanych na liście okaże się, że liczba kandydatów posiadających taką zdolność jest mniejsza niż liczba dostępnych mieszkań</w:t>
      </w:r>
      <w:r w:rsidR="00665F84">
        <w:rPr>
          <w:rFonts w:asciiTheme="minorHAnsi" w:hAnsiTheme="minorHAnsi" w:cs="Arial"/>
          <w:sz w:val="22"/>
          <w:szCs w:val="22"/>
        </w:rPr>
        <w:t xml:space="preserve"> (bądź gdy już lista przekazana przez gminę zawierała mniejszą liczbę zainteresowanych niż możliwości wynajmującego)</w:t>
      </w:r>
      <w:r>
        <w:rPr>
          <w:rFonts w:asciiTheme="minorHAnsi" w:hAnsiTheme="minorHAnsi" w:cs="Arial"/>
          <w:sz w:val="22"/>
          <w:szCs w:val="22"/>
        </w:rPr>
        <w:t xml:space="preserve">. W takim przypadku wynajmujący może zawrzeć umowy najmu nieobsadzonych mieszkań z osobami niewskazanymi na liście przekazanej przez </w:t>
      </w:r>
      <w:r w:rsidR="00665F84">
        <w:rPr>
          <w:rFonts w:asciiTheme="minorHAnsi" w:hAnsiTheme="minorHAnsi" w:cs="Arial"/>
          <w:sz w:val="22"/>
          <w:szCs w:val="22"/>
        </w:rPr>
        <w:t>gminę</w:t>
      </w:r>
      <w:r w:rsidR="00CE17D2">
        <w:rPr>
          <w:rFonts w:asciiTheme="minorHAnsi" w:hAnsiTheme="minorHAnsi" w:cs="Arial"/>
          <w:sz w:val="22"/>
          <w:szCs w:val="22"/>
        </w:rPr>
        <w:t>, ale mającymi zdolność czynszową</w:t>
      </w:r>
      <w:r>
        <w:rPr>
          <w:rFonts w:asciiTheme="minorHAnsi" w:hAnsiTheme="minorHAnsi" w:cs="Arial"/>
          <w:sz w:val="22"/>
          <w:szCs w:val="22"/>
        </w:rPr>
        <w:t xml:space="preserve">. </w:t>
      </w:r>
      <w:r w:rsidR="00665F84">
        <w:rPr>
          <w:rFonts w:asciiTheme="minorHAnsi" w:hAnsiTheme="minorHAnsi" w:cs="Arial"/>
          <w:sz w:val="22"/>
          <w:szCs w:val="22"/>
        </w:rPr>
        <w:t>W takim przypadku kryteria pierwszeństwa nie są już stosowane.</w:t>
      </w:r>
      <w:r w:rsidR="000D543F">
        <w:rPr>
          <w:rFonts w:asciiTheme="minorHAnsi" w:hAnsiTheme="minorHAnsi" w:cs="Arial"/>
          <w:sz w:val="22"/>
          <w:szCs w:val="22"/>
        </w:rPr>
        <w:t xml:space="preserve"> </w:t>
      </w:r>
      <w:r w:rsidR="002C0C99">
        <w:rPr>
          <w:rFonts w:asciiTheme="minorHAnsi" w:hAnsiTheme="minorHAnsi" w:cs="Arial"/>
          <w:sz w:val="22"/>
          <w:szCs w:val="22"/>
        </w:rPr>
        <w:t>Byłoby to nieuzasadnione z uwagi na fakt, że to</w:t>
      </w:r>
      <w:r w:rsidR="002C0C99" w:rsidRPr="002C0C99">
        <w:rPr>
          <w:rFonts w:asciiTheme="minorHAnsi" w:hAnsiTheme="minorHAnsi" w:cs="Arial"/>
          <w:sz w:val="22"/>
          <w:szCs w:val="22"/>
        </w:rPr>
        <w:t xml:space="preserve"> </w:t>
      </w:r>
      <w:r w:rsidR="005B5623">
        <w:rPr>
          <w:rFonts w:asciiTheme="minorHAnsi" w:hAnsiTheme="minorHAnsi" w:cs="Arial"/>
          <w:sz w:val="22"/>
          <w:szCs w:val="22"/>
        </w:rPr>
        <w:br/>
      </w:r>
      <w:r w:rsidR="002C0C99" w:rsidRPr="002C0C99">
        <w:rPr>
          <w:rFonts w:asciiTheme="minorHAnsi" w:hAnsiTheme="minorHAnsi" w:cs="Arial"/>
          <w:sz w:val="22"/>
          <w:szCs w:val="22"/>
        </w:rPr>
        <w:t xml:space="preserve">m. in. w wyniku ich stosowania lista osób ubiegających się o najem zostanie ograniczona. </w:t>
      </w:r>
    </w:p>
    <w:p w:rsidR="0005174A" w:rsidRDefault="002C0C99" w:rsidP="00730411">
      <w:pPr>
        <w:tabs>
          <w:tab w:val="left" w:pos="540"/>
        </w:tabs>
        <w:spacing w:after="240" w:line="240" w:lineRule="exact"/>
        <w:rPr>
          <w:rFonts w:asciiTheme="minorHAnsi" w:hAnsiTheme="minorHAnsi" w:cs="Arial"/>
          <w:sz w:val="22"/>
          <w:szCs w:val="22"/>
        </w:rPr>
      </w:pPr>
      <w:r>
        <w:rPr>
          <w:rFonts w:asciiTheme="minorHAnsi" w:hAnsiTheme="minorHAnsi" w:cs="Arial"/>
          <w:sz w:val="22"/>
          <w:szCs w:val="22"/>
        </w:rPr>
        <w:t>Omawiając tematykę naboru organizowanego przez wynajmującego, nie należy zapominać, że i</w:t>
      </w:r>
      <w:r w:rsidRPr="002C0C99">
        <w:rPr>
          <w:rFonts w:asciiTheme="minorHAnsi" w:hAnsiTheme="minorHAnsi" w:cs="Arial"/>
          <w:sz w:val="22"/>
          <w:szCs w:val="22"/>
        </w:rPr>
        <w:t xml:space="preserve">nwestycje mieszkaniowe będą realizowane na zasadach rynkowych. Stosowanie kryteriów pierwszeństwa </w:t>
      </w:r>
      <w:r>
        <w:rPr>
          <w:rFonts w:asciiTheme="minorHAnsi" w:hAnsiTheme="minorHAnsi" w:cs="Arial"/>
          <w:sz w:val="22"/>
          <w:szCs w:val="22"/>
        </w:rPr>
        <w:t xml:space="preserve">przez gminy </w:t>
      </w:r>
      <w:r w:rsidRPr="002C0C99">
        <w:rPr>
          <w:rFonts w:asciiTheme="minorHAnsi" w:hAnsiTheme="minorHAnsi" w:cs="Arial"/>
          <w:sz w:val="22"/>
          <w:szCs w:val="22"/>
        </w:rPr>
        <w:t>gwarantuje kierowanie mieszkań w pierwszej kolejności do osób, które w danym regionie mają największe trudności w samodzielnym zaspokajaniu potrzeb mieszkaniowych, umożliwia</w:t>
      </w:r>
      <w:r>
        <w:rPr>
          <w:rFonts w:asciiTheme="minorHAnsi" w:hAnsiTheme="minorHAnsi" w:cs="Arial"/>
          <w:sz w:val="22"/>
          <w:szCs w:val="22"/>
        </w:rPr>
        <w:t>jąc</w:t>
      </w:r>
      <w:r w:rsidRPr="002C0C99">
        <w:rPr>
          <w:rFonts w:asciiTheme="minorHAnsi" w:hAnsiTheme="minorHAnsi" w:cs="Arial"/>
          <w:sz w:val="22"/>
          <w:szCs w:val="22"/>
        </w:rPr>
        <w:t xml:space="preserve"> realizację społecznych celów projektowanej ustawy. Z uwagi na charakter inwestycji zasadne jest jednak, by po wyczerpaniu tej ścieżki inwestor miał prawo samodzielnie decydować o sposobie naboru najemców. Takie przesądzenie nie ma wpływu na prawo do dopłat, gdyż najemcy wybrani w ten sposób, spełniający warunki ustawowe, b</w:t>
      </w:r>
      <w:r>
        <w:rPr>
          <w:rFonts w:asciiTheme="minorHAnsi" w:hAnsiTheme="minorHAnsi" w:cs="Arial"/>
          <w:sz w:val="22"/>
          <w:szCs w:val="22"/>
        </w:rPr>
        <w:t xml:space="preserve">ędą się mogli ubiegać o dopłaty, nawet </w:t>
      </w:r>
      <w:r w:rsidR="000D543F">
        <w:rPr>
          <w:rFonts w:asciiTheme="minorHAnsi" w:hAnsiTheme="minorHAnsi" w:cs="Arial"/>
          <w:sz w:val="22"/>
          <w:szCs w:val="22"/>
        </w:rPr>
        <w:t xml:space="preserve">w </w:t>
      </w:r>
      <w:r w:rsidR="00FB76BD">
        <w:rPr>
          <w:rFonts w:asciiTheme="minorHAnsi" w:hAnsiTheme="minorHAnsi" w:cs="Arial"/>
          <w:sz w:val="22"/>
          <w:szCs w:val="22"/>
        </w:rPr>
        <w:t>sytuacji</w:t>
      </w:r>
      <w:r w:rsidR="000D543F">
        <w:rPr>
          <w:rFonts w:asciiTheme="minorHAnsi" w:hAnsiTheme="minorHAnsi" w:cs="Arial"/>
          <w:sz w:val="22"/>
          <w:szCs w:val="22"/>
        </w:rPr>
        <w:t>, gdy rozwiązana zostanie umowa między inwestorem a gminą.</w:t>
      </w:r>
      <w:r w:rsidR="00FB76BD">
        <w:rPr>
          <w:rFonts w:asciiTheme="minorHAnsi" w:hAnsiTheme="minorHAnsi" w:cs="Arial"/>
          <w:sz w:val="22"/>
          <w:szCs w:val="22"/>
        </w:rPr>
        <w:t xml:space="preserve"> </w:t>
      </w:r>
    </w:p>
    <w:p w:rsidR="0002078A" w:rsidRPr="0002078A" w:rsidRDefault="0002078A" w:rsidP="0002078A">
      <w:pPr>
        <w:tabs>
          <w:tab w:val="left" w:pos="540"/>
        </w:tabs>
        <w:spacing w:after="240" w:line="240" w:lineRule="exact"/>
        <w:rPr>
          <w:rFonts w:asciiTheme="minorHAnsi" w:hAnsiTheme="minorHAnsi" w:cs="Arial"/>
          <w:sz w:val="22"/>
          <w:szCs w:val="22"/>
        </w:rPr>
      </w:pPr>
      <w:r>
        <w:rPr>
          <w:rFonts w:asciiTheme="minorHAnsi" w:hAnsiTheme="minorHAnsi" w:cs="Arial"/>
          <w:sz w:val="22"/>
          <w:szCs w:val="22"/>
        </w:rPr>
        <w:t>Podsumowując powyższe omówienie, należy zauważyć, że zgodnie z intencją projektodawcy p</w:t>
      </w:r>
      <w:r w:rsidRPr="0002078A">
        <w:rPr>
          <w:rFonts w:asciiTheme="minorHAnsi" w:hAnsiTheme="minorHAnsi" w:cs="Arial"/>
          <w:sz w:val="22"/>
          <w:szCs w:val="22"/>
        </w:rPr>
        <w:t xml:space="preserve">rzepisy </w:t>
      </w:r>
      <w:r>
        <w:rPr>
          <w:rFonts w:asciiTheme="minorHAnsi" w:hAnsiTheme="minorHAnsi" w:cs="Arial"/>
          <w:sz w:val="22"/>
          <w:szCs w:val="22"/>
        </w:rPr>
        <w:t xml:space="preserve">projektowanej </w:t>
      </w:r>
      <w:r w:rsidRPr="0002078A">
        <w:rPr>
          <w:rFonts w:asciiTheme="minorHAnsi" w:hAnsiTheme="minorHAnsi" w:cs="Arial"/>
          <w:sz w:val="22"/>
          <w:szCs w:val="22"/>
        </w:rPr>
        <w:t xml:space="preserve">ustawy </w:t>
      </w:r>
      <w:r>
        <w:rPr>
          <w:rFonts w:asciiTheme="minorHAnsi" w:hAnsiTheme="minorHAnsi" w:cs="Arial"/>
          <w:sz w:val="22"/>
          <w:szCs w:val="22"/>
        </w:rPr>
        <w:t>zostały skonstruowane w takim sposób, by zapewnić</w:t>
      </w:r>
      <w:r w:rsidRPr="0002078A">
        <w:rPr>
          <w:rFonts w:asciiTheme="minorHAnsi" w:hAnsiTheme="minorHAnsi" w:cs="Arial"/>
          <w:sz w:val="22"/>
          <w:szCs w:val="22"/>
        </w:rPr>
        <w:t xml:space="preserve"> niez</w:t>
      </w:r>
      <w:r>
        <w:rPr>
          <w:rFonts w:asciiTheme="minorHAnsi" w:hAnsiTheme="minorHAnsi" w:cs="Arial"/>
          <w:sz w:val="22"/>
          <w:szCs w:val="22"/>
        </w:rPr>
        <w:t xml:space="preserve">będną elastyczność </w:t>
      </w:r>
      <w:r w:rsidR="005B5623">
        <w:rPr>
          <w:rFonts w:asciiTheme="minorHAnsi" w:hAnsiTheme="minorHAnsi" w:cs="Arial"/>
          <w:sz w:val="22"/>
          <w:szCs w:val="22"/>
        </w:rPr>
        <w:br/>
      </w:r>
      <w:r w:rsidRPr="0002078A">
        <w:rPr>
          <w:rFonts w:asciiTheme="minorHAnsi" w:hAnsiTheme="minorHAnsi" w:cs="Arial"/>
          <w:sz w:val="22"/>
          <w:szCs w:val="22"/>
        </w:rPr>
        <w:t xml:space="preserve">w zakresie terminów dokonywania poszczególnych czynności przewidzianych w </w:t>
      </w:r>
      <w:r>
        <w:rPr>
          <w:rFonts w:asciiTheme="minorHAnsi" w:hAnsiTheme="minorHAnsi" w:cs="Arial"/>
          <w:sz w:val="22"/>
          <w:szCs w:val="22"/>
        </w:rPr>
        <w:t xml:space="preserve">tej ustawie. W związku z tym możliwe jest </w:t>
      </w:r>
      <w:r w:rsidRPr="0002078A">
        <w:rPr>
          <w:rFonts w:asciiTheme="minorHAnsi" w:hAnsiTheme="minorHAnsi" w:cs="Arial"/>
          <w:sz w:val="22"/>
          <w:szCs w:val="22"/>
        </w:rPr>
        <w:t>np. rozpoczęcie inwestycji (na ryzyko inwestora) jeszcze przed złożeniem wniosku do BGK zabezpieczającego przyszłe dopłaty</w:t>
      </w:r>
      <w:r>
        <w:rPr>
          <w:rFonts w:asciiTheme="minorHAnsi" w:hAnsiTheme="minorHAnsi" w:cs="Arial"/>
          <w:sz w:val="22"/>
          <w:szCs w:val="22"/>
        </w:rPr>
        <w:t xml:space="preserve"> lub podjęcie jej dopiero po podpisaniu umowy w sprawie stosowania dopłat</w:t>
      </w:r>
      <w:r w:rsidRPr="0002078A">
        <w:rPr>
          <w:rFonts w:asciiTheme="minorHAnsi" w:hAnsiTheme="minorHAnsi" w:cs="Arial"/>
          <w:sz w:val="22"/>
          <w:szCs w:val="22"/>
        </w:rPr>
        <w:t>. Możliwe jest również przeprowadzenie nab</w:t>
      </w:r>
      <w:r>
        <w:rPr>
          <w:rFonts w:asciiTheme="minorHAnsi" w:hAnsiTheme="minorHAnsi" w:cs="Arial"/>
          <w:sz w:val="22"/>
          <w:szCs w:val="22"/>
        </w:rPr>
        <w:t xml:space="preserve">oru najemców zarówno przed jak </w:t>
      </w:r>
      <w:r w:rsidRPr="0002078A">
        <w:rPr>
          <w:rFonts w:asciiTheme="minorHAnsi" w:hAnsiTheme="minorHAnsi" w:cs="Arial"/>
          <w:sz w:val="22"/>
          <w:szCs w:val="22"/>
        </w:rPr>
        <w:t>i po złożeniu wniosku do BGK.</w:t>
      </w:r>
    </w:p>
    <w:p w:rsidR="00546F7F" w:rsidRDefault="00E24FED" w:rsidP="00730411">
      <w:pPr>
        <w:tabs>
          <w:tab w:val="left" w:pos="540"/>
        </w:tabs>
        <w:spacing w:after="240" w:line="240" w:lineRule="exact"/>
        <w:rPr>
          <w:rFonts w:asciiTheme="minorHAnsi" w:hAnsiTheme="minorHAnsi" w:cs="Arial"/>
          <w:sz w:val="22"/>
          <w:szCs w:val="22"/>
        </w:rPr>
      </w:pPr>
      <w:r w:rsidRPr="00E24FED">
        <w:rPr>
          <w:rFonts w:asciiTheme="minorHAnsi" w:hAnsiTheme="minorHAnsi" w:cs="Arial"/>
          <w:sz w:val="22"/>
          <w:szCs w:val="22"/>
        </w:rPr>
        <w:t xml:space="preserve">Zgodnie z </w:t>
      </w:r>
      <w:r w:rsidRPr="00E24FED">
        <w:rPr>
          <w:rFonts w:asciiTheme="minorHAnsi" w:hAnsiTheme="minorHAnsi" w:cs="Arial"/>
          <w:b/>
          <w:sz w:val="22"/>
          <w:szCs w:val="22"/>
        </w:rPr>
        <w:t>art. 1</w:t>
      </w:r>
      <w:r w:rsidR="00D521C1">
        <w:rPr>
          <w:rFonts w:asciiTheme="minorHAnsi" w:hAnsiTheme="minorHAnsi" w:cs="Arial"/>
          <w:b/>
          <w:sz w:val="22"/>
          <w:szCs w:val="22"/>
        </w:rPr>
        <w:t>5</w:t>
      </w:r>
      <w:r w:rsidRPr="00E24FED">
        <w:rPr>
          <w:rFonts w:asciiTheme="minorHAnsi" w:hAnsiTheme="minorHAnsi" w:cs="Arial"/>
          <w:b/>
          <w:sz w:val="22"/>
          <w:szCs w:val="22"/>
        </w:rPr>
        <w:t xml:space="preserve"> </w:t>
      </w:r>
      <w:r>
        <w:rPr>
          <w:rFonts w:asciiTheme="minorHAnsi" w:hAnsiTheme="minorHAnsi" w:cs="Arial"/>
          <w:sz w:val="22"/>
          <w:szCs w:val="22"/>
        </w:rPr>
        <w:t>dopłaty</w:t>
      </w:r>
      <w:r w:rsidR="003A0BC4">
        <w:rPr>
          <w:rFonts w:asciiTheme="minorHAnsi" w:hAnsiTheme="minorHAnsi" w:cs="Arial"/>
          <w:sz w:val="22"/>
          <w:szCs w:val="22"/>
        </w:rPr>
        <w:t xml:space="preserve"> </w:t>
      </w:r>
      <w:r w:rsidR="003A0BC4" w:rsidRPr="003A0BC4">
        <w:rPr>
          <w:rFonts w:asciiTheme="minorHAnsi" w:hAnsiTheme="minorHAnsi" w:cs="Arial"/>
          <w:sz w:val="22"/>
          <w:szCs w:val="22"/>
        </w:rPr>
        <w:t xml:space="preserve">przysługują na pisemny wniosek najemcy, złożony </w:t>
      </w:r>
      <w:r w:rsidR="00D521C1">
        <w:rPr>
          <w:rFonts w:asciiTheme="minorHAnsi" w:hAnsiTheme="minorHAnsi" w:cs="Arial"/>
          <w:sz w:val="22"/>
          <w:szCs w:val="22"/>
        </w:rPr>
        <w:t>w urzędzie gminy właściwej ze względu na położenie mieszkania, będącej stroną umowy w sprawie stosowania dopłat</w:t>
      </w:r>
      <w:r w:rsidR="003A0BC4">
        <w:rPr>
          <w:rFonts w:asciiTheme="minorHAnsi" w:hAnsiTheme="minorHAnsi" w:cs="Arial"/>
          <w:sz w:val="22"/>
          <w:szCs w:val="22"/>
        </w:rPr>
        <w:t xml:space="preserve">. </w:t>
      </w:r>
      <w:r w:rsidR="00D521C1">
        <w:rPr>
          <w:rFonts w:asciiTheme="minorHAnsi" w:hAnsiTheme="minorHAnsi" w:cs="Arial"/>
          <w:sz w:val="22"/>
          <w:szCs w:val="22"/>
        </w:rPr>
        <w:t xml:space="preserve">W przypadku gdy najemcą są małżonkowie, wniosek składa jeden z nich (złożenie wniosku jest równoznaczne ze zgodą współmałżonka na ubieganie się o dopłaty z konsekwencją w postaci uruchomienia w przypadku przyznania dopłat okresu ich stosowania wobec obu małżonków). </w:t>
      </w:r>
    </w:p>
    <w:p w:rsidR="00AE1163" w:rsidRDefault="003A0BC4" w:rsidP="00730411">
      <w:pPr>
        <w:tabs>
          <w:tab w:val="left" w:pos="540"/>
        </w:tabs>
        <w:spacing w:after="240" w:line="240" w:lineRule="exact"/>
        <w:rPr>
          <w:rFonts w:asciiTheme="minorHAnsi" w:hAnsiTheme="minorHAnsi" w:cs="Arial"/>
          <w:sz w:val="22"/>
          <w:szCs w:val="22"/>
        </w:rPr>
      </w:pPr>
      <w:r>
        <w:rPr>
          <w:rFonts w:asciiTheme="minorHAnsi" w:hAnsiTheme="minorHAnsi" w:cs="Arial"/>
          <w:sz w:val="22"/>
          <w:szCs w:val="22"/>
        </w:rPr>
        <w:t xml:space="preserve">Do wniosku konieczne jest dołączenie </w:t>
      </w:r>
      <w:r w:rsidR="00B36920">
        <w:rPr>
          <w:rFonts w:asciiTheme="minorHAnsi" w:hAnsiTheme="minorHAnsi" w:cs="Arial"/>
          <w:sz w:val="22"/>
          <w:szCs w:val="22"/>
        </w:rPr>
        <w:t>dokumentów</w:t>
      </w:r>
      <w:r>
        <w:rPr>
          <w:rFonts w:asciiTheme="minorHAnsi" w:hAnsiTheme="minorHAnsi" w:cs="Arial"/>
          <w:sz w:val="22"/>
          <w:szCs w:val="22"/>
        </w:rPr>
        <w:t xml:space="preserve"> pozwalających na ustalenie prawa ubiegającego się do dopłat, obejmujących m. in. kopię umowy najmu mieszkania</w:t>
      </w:r>
      <w:r w:rsidR="00A75881">
        <w:rPr>
          <w:rFonts w:asciiTheme="minorHAnsi" w:hAnsiTheme="minorHAnsi" w:cs="Arial"/>
          <w:sz w:val="22"/>
          <w:szCs w:val="22"/>
        </w:rPr>
        <w:t xml:space="preserve"> (z której wynika np. powierzchnia wynajmowanego mieszkania</w:t>
      </w:r>
      <w:r w:rsidR="00546F7F">
        <w:rPr>
          <w:rFonts w:asciiTheme="minorHAnsi" w:hAnsiTheme="minorHAnsi" w:cs="Arial"/>
          <w:sz w:val="22"/>
          <w:szCs w:val="22"/>
        </w:rPr>
        <w:t xml:space="preserve"> oraz dane współmałżonka będącego współnajemcą</w:t>
      </w:r>
      <w:r w:rsidR="00A75881">
        <w:rPr>
          <w:rFonts w:asciiTheme="minorHAnsi" w:hAnsiTheme="minorHAnsi" w:cs="Arial"/>
          <w:sz w:val="22"/>
          <w:szCs w:val="22"/>
        </w:rPr>
        <w:t>)</w:t>
      </w:r>
      <w:r>
        <w:rPr>
          <w:rFonts w:asciiTheme="minorHAnsi" w:hAnsiTheme="minorHAnsi" w:cs="Arial"/>
          <w:sz w:val="22"/>
          <w:szCs w:val="22"/>
        </w:rPr>
        <w:t xml:space="preserve">, </w:t>
      </w:r>
      <w:r w:rsidRPr="003A0BC4">
        <w:rPr>
          <w:rFonts w:asciiTheme="minorHAnsi" w:hAnsiTheme="minorHAnsi" w:cs="Arial"/>
          <w:sz w:val="22"/>
          <w:szCs w:val="22"/>
        </w:rPr>
        <w:t>oświadczenie o liczbie osób wchodzących w skła</w:t>
      </w:r>
      <w:r>
        <w:rPr>
          <w:rFonts w:asciiTheme="minorHAnsi" w:hAnsiTheme="minorHAnsi" w:cs="Arial"/>
          <w:sz w:val="22"/>
          <w:szCs w:val="22"/>
        </w:rPr>
        <w:t xml:space="preserve">d gospodarstwa domowego najemcy, </w:t>
      </w:r>
      <w:r w:rsidRPr="003A0BC4">
        <w:rPr>
          <w:rFonts w:asciiTheme="minorHAnsi" w:hAnsiTheme="minorHAnsi" w:cs="Arial"/>
          <w:sz w:val="22"/>
          <w:szCs w:val="22"/>
        </w:rPr>
        <w:t xml:space="preserve">oświadczenie o wysokości dochodów gospodarstwa za </w:t>
      </w:r>
      <w:r w:rsidR="00AE6A27">
        <w:rPr>
          <w:rFonts w:asciiTheme="minorHAnsi" w:hAnsiTheme="minorHAnsi" w:cs="Arial"/>
          <w:sz w:val="22"/>
          <w:szCs w:val="22"/>
        </w:rPr>
        <w:t>okres podlegający badaniu wskazany w art. 5 ust. 2</w:t>
      </w:r>
      <w:r>
        <w:rPr>
          <w:rFonts w:asciiTheme="minorHAnsi" w:hAnsiTheme="minorHAnsi" w:cs="Arial"/>
          <w:sz w:val="22"/>
          <w:szCs w:val="22"/>
        </w:rPr>
        <w:t xml:space="preserve"> (z wyodrębnieniem dochodów poszczególnych jego członków</w:t>
      </w:r>
      <w:r w:rsidR="00AE6A27">
        <w:rPr>
          <w:rFonts w:asciiTheme="minorHAnsi" w:hAnsiTheme="minorHAnsi" w:cs="Arial"/>
          <w:sz w:val="22"/>
          <w:szCs w:val="22"/>
        </w:rPr>
        <w:t xml:space="preserve"> oraz informacj</w:t>
      </w:r>
      <w:r w:rsidR="00AA3D60">
        <w:rPr>
          <w:rFonts w:asciiTheme="minorHAnsi" w:hAnsiTheme="minorHAnsi" w:cs="Arial"/>
          <w:sz w:val="22"/>
          <w:szCs w:val="22"/>
        </w:rPr>
        <w:t>i</w:t>
      </w:r>
      <w:r w:rsidR="00AE6A27">
        <w:rPr>
          <w:rFonts w:asciiTheme="minorHAnsi" w:hAnsiTheme="minorHAnsi" w:cs="Arial"/>
          <w:sz w:val="22"/>
          <w:szCs w:val="22"/>
        </w:rPr>
        <w:t xml:space="preserve"> w zakresie dochodów uzyskanych lub utraconych</w:t>
      </w:r>
      <w:r w:rsidR="00546F7F">
        <w:rPr>
          <w:rFonts w:asciiTheme="minorHAnsi" w:hAnsiTheme="minorHAnsi" w:cs="Arial"/>
          <w:sz w:val="22"/>
          <w:szCs w:val="22"/>
        </w:rPr>
        <w:t xml:space="preserve"> </w:t>
      </w:r>
      <w:r w:rsidR="005B5623">
        <w:rPr>
          <w:rFonts w:asciiTheme="minorHAnsi" w:hAnsiTheme="minorHAnsi" w:cs="Arial"/>
          <w:sz w:val="22"/>
          <w:szCs w:val="22"/>
        </w:rPr>
        <w:br/>
      </w:r>
      <w:r w:rsidR="00ED6D85">
        <w:rPr>
          <w:rFonts w:asciiTheme="minorHAnsi" w:hAnsiTheme="minorHAnsi" w:cs="Arial"/>
          <w:sz w:val="22"/>
          <w:szCs w:val="22"/>
        </w:rPr>
        <w:t>z uwzględnieniem obowiązku ustalenia, czy uwzględniany dochód jest nadal uzyskiwany</w:t>
      </w:r>
      <w:r>
        <w:rPr>
          <w:rFonts w:asciiTheme="minorHAnsi" w:hAnsiTheme="minorHAnsi" w:cs="Arial"/>
          <w:sz w:val="22"/>
          <w:szCs w:val="22"/>
        </w:rPr>
        <w:t>), oświadczenia w zakresie ograniczeń majątkowych oraz oświadczenia motywowane szczególnymi przypadkami stosowania dopłat uregulowanymi w projektowanej ustawie (np. wspólnym zamieszkiwaniem z osobą, która</w:t>
      </w:r>
      <w:r w:rsidR="0041314A">
        <w:rPr>
          <w:rFonts w:asciiTheme="minorHAnsi" w:hAnsiTheme="minorHAnsi" w:cs="Arial"/>
          <w:sz w:val="22"/>
          <w:szCs w:val="22"/>
        </w:rPr>
        <w:t xml:space="preserve"> była w przeszłości najemcą lokalu, w związku z najmem którego były stosowane dopłaty</w:t>
      </w:r>
      <w:r>
        <w:rPr>
          <w:rFonts w:asciiTheme="minorHAnsi" w:hAnsiTheme="minorHAnsi" w:cs="Arial"/>
          <w:sz w:val="22"/>
          <w:szCs w:val="22"/>
        </w:rPr>
        <w:t>).</w:t>
      </w:r>
      <w:r w:rsidR="00C11AE6">
        <w:rPr>
          <w:rFonts w:asciiTheme="minorHAnsi" w:hAnsiTheme="minorHAnsi" w:cs="Arial"/>
          <w:sz w:val="22"/>
          <w:szCs w:val="22"/>
        </w:rPr>
        <w:t xml:space="preserve"> </w:t>
      </w:r>
      <w:r w:rsidR="0041314A">
        <w:rPr>
          <w:rFonts w:asciiTheme="minorHAnsi" w:hAnsiTheme="minorHAnsi" w:cs="Arial"/>
          <w:sz w:val="22"/>
          <w:szCs w:val="22"/>
        </w:rPr>
        <w:t xml:space="preserve">Wzory wymienionych dokumentów będą określone w rozporządzeniu ministra właściwego do spraw budownictwa, planowania i zagospodarowania przestrzennego oraz mieszkalnictwa. Ma to zagwarantować poprawność i kompletność danych przekazywanych przez najemców oraz uzyskanie danych (w tym danych osobowych i danych o sytuacji rodzinnej najemcy) niezbędnych z punktu widzenia ewaluacji celów instrumentu, dokonywanej na podstawie art. </w:t>
      </w:r>
      <w:r w:rsidR="004D7AFB">
        <w:rPr>
          <w:rFonts w:asciiTheme="minorHAnsi" w:hAnsiTheme="minorHAnsi" w:cs="Arial"/>
          <w:sz w:val="22"/>
          <w:szCs w:val="22"/>
        </w:rPr>
        <w:t xml:space="preserve">24 i </w:t>
      </w:r>
      <w:r w:rsidR="0041314A">
        <w:rPr>
          <w:rFonts w:asciiTheme="minorHAnsi" w:hAnsiTheme="minorHAnsi" w:cs="Arial"/>
          <w:sz w:val="22"/>
          <w:szCs w:val="22"/>
        </w:rPr>
        <w:t xml:space="preserve">34. </w:t>
      </w:r>
      <w:r w:rsidR="00C11AE6">
        <w:rPr>
          <w:rFonts w:asciiTheme="minorHAnsi" w:hAnsiTheme="minorHAnsi" w:cs="Arial"/>
          <w:sz w:val="22"/>
          <w:szCs w:val="22"/>
        </w:rPr>
        <w:t xml:space="preserve">Dokumenty i oświadczenia </w:t>
      </w:r>
      <w:r w:rsidR="0041314A">
        <w:rPr>
          <w:rFonts w:asciiTheme="minorHAnsi" w:hAnsiTheme="minorHAnsi" w:cs="Arial"/>
          <w:sz w:val="22"/>
          <w:szCs w:val="22"/>
        </w:rPr>
        <w:t xml:space="preserve">będą </w:t>
      </w:r>
      <w:r w:rsidR="00C11AE6">
        <w:rPr>
          <w:rFonts w:asciiTheme="minorHAnsi" w:hAnsiTheme="minorHAnsi" w:cs="Arial"/>
          <w:sz w:val="22"/>
          <w:szCs w:val="22"/>
        </w:rPr>
        <w:t xml:space="preserve">składane pod rygorem odpowiedzialności karnej za fałszywe zeznania. </w:t>
      </w:r>
      <w:r w:rsidR="00AE6A27">
        <w:rPr>
          <w:rFonts w:asciiTheme="minorHAnsi" w:hAnsiTheme="minorHAnsi" w:cs="Arial"/>
          <w:sz w:val="22"/>
          <w:szCs w:val="22"/>
        </w:rPr>
        <w:t>P</w:t>
      </w:r>
      <w:r w:rsidR="00111E3A">
        <w:rPr>
          <w:rFonts w:asciiTheme="minorHAnsi" w:hAnsiTheme="minorHAnsi" w:cs="Arial"/>
          <w:sz w:val="22"/>
          <w:szCs w:val="22"/>
        </w:rPr>
        <w:t xml:space="preserve">rojektodawca uregulował </w:t>
      </w:r>
      <w:r w:rsidR="00AE6A27">
        <w:rPr>
          <w:rFonts w:asciiTheme="minorHAnsi" w:hAnsiTheme="minorHAnsi" w:cs="Arial"/>
          <w:sz w:val="22"/>
          <w:szCs w:val="22"/>
        </w:rPr>
        <w:t xml:space="preserve">przy tym </w:t>
      </w:r>
      <w:r w:rsidR="00111E3A">
        <w:rPr>
          <w:rFonts w:asciiTheme="minorHAnsi" w:hAnsiTheme="minorHAnsi" w:cs="Arial"/>
          <w:sz w:val="22"/>
          <w:szCs w:val="22"/>
        </w:rPr>
        <w:t xml:space="preserve">sytuację, w której </w:t>
      </w:r>
      <w:r w:rsidR="0041314A">
        <w:rPr>
          <w:rFonts w:asciiTheme="minorHAnsi" w:hAnsiTheme="minorHAnsi" w:cs="Arial"/>
          <w:sz w:val="22"/>
          <w:szCs w:val="22"/>
        </w:rPr>
        <w:t>organ właściwy</w:t>
      </w:r>
      <w:r w:rsidR="00111E3A">
        <w:rPr>
          <w:rFonts w:asciiTheme="minorHAnsi" w:hAnsiTheme="minorHAnsi" w:cs="Arial"/>
          <w:sz w:val="22"/>
          <w:szCs w:val="22"/>
        </w:rPr>
        <w:t xml:space="preserve"> ma uzasadnione wątpliwości co do prawdziwości danych zawartych </w:t>
      </w:r>
      <w:r w:rsidR="005B5623">
        <w:rPr>
          <w:rFonts w:asciiTheme="minorHAnsi" w:hAnsiTheme="minorHAnsi" w:cs="Arial"/>
          <w:sz w:val="22"/>
          <w:szCs w:val="22"/>
        </w:rPr>
        <w:br/>
      </w:r>
      <w:r w:rsidR="00111E3A">
        <w:rPr>
          <w:rFonts w:asciiTheme="minorHAnsi" w:hAnsiTheme="minorHAnsi" w:cs="Arial"/>
          <w:sz w:val="22"/>
          <w:szCs w:val="22"/>
        </w:rPr>
        <w:t xml:space="preserve">w oświadczeniu o dochodach. </w:t>
      </w:r>
      <w:r w:rsidR="00111E3A" w:rsidRPr="00111E3A">
        <w:rPr>
          <w:rFonts w:asciiTheme="minorHAnsi" w:hAnsiTheme="minorHAnsi" w:cs="Arial"/>
          <w:sz w:val="22"/>
          <w:szCs w:val="22"/>
        </w:rPr>
        <w:t xml:space="preserve">W </w:t>
      </w:r>
      <w:r w:rsidR="00111E3A">
        <w:rPr>
          <w:rFonts w:asciiTheme="minorHAnsi" w:hAnsiTheme="minorHAnsi" w:cs="Arial"/>
          <w:sz w:val="22"/>
          <w:szCs w:val="22"/>
        </w:rPr>
        <w:t xml:space="preserve">takim </w:t>
      </w:r>
      <w:r w:rsidR="00111E3A" w:rsidRPr="00111E3A">
        <w:rPr>
          <w:rFonts w:asciiTheme="minorHAnsi" w:hAnsiTheme="minorHAnsi" w:cs="Arial"/>
          <w:sz w:val="22"/>
          <w:szCs w:val="22"/>
        </w:rPr>
        <w:t>przypadku wzywa na</w:t>
      </w:r>
      <w:r w:rsidR="00111E3A">
        <w:rPr>
          <w:rFonts w:asciiTheme="minorHAnsi" w:hAnsiTheme="minorHAnsi" w:cs="Arial"/>
          <w:sz w:val="22"/>
          <w:szCs w:val="22"/>
        </w:rPr>
        <w:t>jemcę do przedstawienia zaświad</w:t>
      </w:r>
      <w:r w:rsidR="00111E3A" w:rsidRPr="00111E3A">
        <w:rPr>
          <w:rFonts w:asciiTheme="minorHAnsi" w:hAnsiTheme="minorHAnsi" w:cs="Arial"/>
          <w:sz w:val="22"/>
          <w:szCs w:val="22"/>
        </w:rPr>
        <w:t>czeń potwierdzających wysokość dochodów poszczególnych os</w:t>
      </w:r>
      <w:r w:rsidR="00111E3A">
        <w:rPr>
          <w:rFonts w:asciiTheme="minorHAnsi" w:hAnsiTheme="minorHAnsi" w:cs="Arial"/>
          <w:sz w:val="22"/>
          <w:szCs w:val="22"/>
        </w:rPr>
        <w:t>ób wchodzących w skład gospodarstwa domowego,</w:t>
      </w:r>
      <w:r w:rsidR="00A75881">
        <w:rPr>
          <w:rFonts w:asciiTheme="minorHAnsi" w:hAnsiTheme="minorHAnsi" w:cs="Arial"/>
          <w:sz w:val="22"/>
          <w:szCs w:val="22"/>
        </w:rPr>
        <w:t xml:space="preserve"> </w:t>
      </w:r>
      <w:r w:rsidR="00111E3A">
        <w:rPr>
          <w:rFonts w:asciiTheme="minorHAnsi" w:hAnsiTheme="minorHAnsi" w:cs="Arial"/>
          <w:sz w:val="22"/>
          <w:szCs w:val="22"/>
        </w:rPr>
        <w:t xml:space="preserve">a w przypadku niemożności upewnienia się co do danych w tym trybie, występuje </w:t>
      </w:r>
      <w:r w:rsidR="00111E3A" w:rsidRPr="00111E3A">
        <w:rPr>
          <w:rFonts w:asciiTheme="minorHAnsi" w:hAnsiTheme="minorHAnsi" w:cs="Arial"/>
          <w:sz w:val="22"/>
          <w:szCs w:val="22"/>
        </w:rPr>
        <w:t>do wskazanych w projektowanej ustawie organów</w:t>
      </w:r>
      <w:r w:rsidR="00BE1AAA">
        <w:rPr>
          <w:rFonts w:asciiTheme="minorHAnsi" w:hAnsiTheme="minorHAnsi" w:cs="Arial"/>
          <w:sz w:val="22"/>
          <w:szCs w:val="22"/>
        </w:rPr>
        <w:t xml:space="preserve"> </w:t>
      </w:r>
      <w:r w:rsidR="00111E3A">
        <w:rPr>
          <w:rFonts w:asciiTheme="minorHAnsi" w:hAnsiTheme="minorHAnsi" w:cs="Arial"/>
          <w:sz w:val="22"/>
          <w:szCs w:val="22"/>
        </w:rPr>
        <w:t xml:space="preserve">o przedstawienie stosownych informacji. </w:t>
      </w:r>
      <w:r w:rsidR="007B06D7">
        <w:rPr>
          <w:rFonts w:asciiTheme="minorHAnsi" w:hAnsiTheme="minorHAnsi" w:cs="Arial"/>
          <w:sz w:val="22"/>
          <w:szCs w:val="22"/>
        </w:rPr>
        <w:t>Mechanizmy weryfikacji w tym kontekście nawiązują do rozwiązań przyjętych w zakresie świadczenia udzielanego w ramach programu „Rodzina 500+”.</w:t>
      </w:r>
    </w:p>
    <w:p w:rsidR="00303863" w:rsidRDefault="00410B28" w:rsidP="00730411">
      <w:pPr>
        <w:tabs>
          <w:tab w:val="left" w:pos="540"/>
        </w:tabs>
        <w:spacing w:after="240" w:line="240" w:lineRule="exact"/>
        <w:rPr>
          <w:rFonts w:asciiTheme="minorHAnsi" w:hAnsiTheme="minorHAnsi" w:cs="Arial"/>
          <w:sz w:val="22"/>
          <w:szCs w:val="22"/>
        </w:rPr>
      </w:pPr>
      <w:r w:rsidRPr="00410B28">
        <w:rPr>
          <w:rFonts w:asciiTheme="minorHAnsi" w:hAnsiTheme="minorHAnsi" w:cs="Arial"/>
          <w:b/>
          <w:sz w:val="22"/>
          <w:szCs w:val="22"/>
        </w:rPr>
        <w:t>Art. 1</w:t>
      </w:r>
      <w:r w:rsidR="00A21718">
        <w:rPr>
          <w:rFonts w:asciiTheme="minorHAnsi" w:hAnsiTheme="minorHAnsi" w:cs="Arial"/>
          <w:b/>
          <w:sz w:val="22"/>
          <w:szCs w:val="22"/>
        </w:rPr>
        <w:t>6</w:t>
      </w:r>
      <w:r>
        <w:rPr>
          <w:rFonts w:asciiTheme="minorHAnsi" w:hAnsiTheme="minorHAnsi" w:cs="Arial"/>
          <w:sz w:val="22"/>
          <w:szCs w:val="22"/>
        </w:rPr>
        <w:t xml:space="preserve"> </w:t>
      </w:r>
      <w:r w:rsidR="001B1005">
        <w:rPr>
          <w:rFonts w:asciiTheme="minorHAnsi" w:hAnsiTheme="minorHAnsi" w:cs="Arial"/>
          <w:sz w:val="22"/>
          <w:szCs w:val="22"/>
        </w:rPr>
        <w:t xml:space="preserve">reguluje materię </w:t>
      </w:r>
      <w:r w:rsidR="00303863">
        <w:rPr>
          <w:rFonts w:asciiTheme="minorHAnsi" w:hAnsiTheme="minorHAnsi" w:cs="Arial"/>
          <w:sz w:val="22"/>
          <w:szCs w:val="22"/>
        </w:rPr>
        <w:t xml:space="preserve">trybu przyznawania dopłat w drodze </w:t>
      </w:r>
      <w:r w:rsidR="001B1005">
        <w:rPr>
          <w:rFonts w:asciiTheme="minorHAnsi" w:hAnsiTheme="minorHAnsi" w:cs="Arial"/>
          <w:sz w:val="22"/>
          <w:szCs w:val="22"/>
        </w:rPr>
        <w:t>decyzji administracyjn</w:t>
      </w:r>
      <w:r w:rsidR="00D136F7">
        <w:rPr>
          <w:rFonts w:asciiTheme="minorHAnsi" w:hAnsiTheme="minorHAnsi" w:cs="Arial"/>
          <w:sz w:val="22"/>
          <w:szCs w:val="22"/>
        </w:rPr>
        <w:t xml:space="preserve">ej. Wydaje ją </w:t>
      </w:r>
      <w:r w:rsidR="00D136F7" w:rsidRPr="00D136F7">
        <w:rPr>
          <w:rFonts w:asciiTheme="minorHAnsi" w:hAnsiTheme="minorHAnsi" w:cs="Arial"/>
          <w:sz w:val="22"/>
          <w:szCs w:val="22"/>
        </w:rPr>
        <w:t>wójt, burmistrz lub prezydent miasta właściwy ze względu na miejsce położenia mieszkania</w:t>
      </w:r>
      <w:r w:rsidR="00D136F7">
        <w:rPr>
          <w:rFonts w:asciiTheme="minorHAnsi" w:hAnsiTheme="minorHAnsi" w:cs="Arial"/>
          <w:sz w:val="22"/>
          <w:szCs w:val="22"/>
        </w:rPr>
        <w:t xml:space="preserve"> </w:t>
      </w:r>
      <w:r w:rsidR="00D136F7" w:rsidRPr="00D136F7">
        <w:rPr>
          <w:rFonts w:asciiTheme="minorHAnsi" w:hAnsiTheme="minorHAnsi" w:cs="Arial"/>
          <w:sz w:val="22"/>
          <w:szCs w:val="22"/>
        </w:rPr>
        <w:t xml:space="preserve">w terminie miesiąca od dnia </w:t>
      </w:r>
      <w:r w:rsidR="00303863">
        <w:rPr>
          <w:rFonts w:asciiTheme="minorHAnsi" w:hAnsiTheme="minorHAnsi" w:cs="Arial"/>
          <w:sz w:val="22"/>
          <w:szCs w:val="22"/>
        </w:rPr>
        <w:t>wpływu</w:t>
      </w:r>
      <w:r w:rsidR="00303863" w:rsidRPr="00D136F7">
        <w:rPr>
          <w:rFonts w:asciiTheme="minorHAnsi" w:hAnsiTheme="minorHAnsi" w:cs="Arial"/>
          <w:sz w:val="22"/>
          <w:szCs w:val="22"/>
        </w:rPr>
        <w:t xml:space="preserve"> </w:t>
      </w:r>
      <w:r w:rsidR="00D136F7" w:rsidRPr="00D136F7">
        <w:rPr>
          <w:rFonts w:asciiTheme="minorHAnsi" w:hAnsiTheme="minorHAnsi" w:cs="Arial"/>
          <w:sz w:val="22"/>
          <w:szCs w:val="22"/>
        </w:rPr>
        <w:t>wniosku o dopłaty</w:t>
      </w:r>
      <w:r w:rsidR="00303863">
        <w:rPr>
          <w:rFonts w:asciiTheme="minorHAnsi" w:hAnsiTheme="minorHAnsi" w:cs="Arial"/>
          <w:sz w:val="22"/>
          <w:szCs w:val="22"/>
        </w:rPr>
        <w:t xml:space="preserve"> do organu</w:t>
      </w:r>
      <w:r w:rsidR="00D136F7">
        <w:rPr>
          <w:rFonts w:asciiTheme="minorHAnsi" w:hAnsiTheme="minorHAnsi" w:cs="Arial"/>
          <w:sz w:val="22"/>
          <w:szCs w:val="22"/>
        </w:rPr>
        <w:t xml:space="preserve">. </w:t>
      </w:r>
      <w:r w:rsidR="00080654">
        <w:rPr>
          <w:rFonts w:asciiTheme="minorHAnsi" w:hAnsiTheme="minorHAnsi" w:cs="Arial"/>
          <w:sz w:val="22"/>
          <w:szCs w:val="22"/>
        </w:rPr>
        <w:t xml:space="preserve">Decyzja dotyczy dziewięcioletniego okresu stosowania dopłat. </w:t>
      </w:r>
      <w:r w:rsidR="00303863">
        <w:rPr>
          <w:rFonts w:asciiTheme="minorHAnsi" w:hAnsiTheme="minorHAnsi" w:cs="Arial"/>
          <w:sz w:val="22"/>
          <w:szCs w:val="22"/>
        </w:rPr>
        <w:t>W przypadku wcześniejszego rozwiązania umow</w:t>
      </w:r>
      <w:r w:rsidR="00642853">
        <w:rPr>
          <w:rFonts w:asciiTheme="minorHAnsi" w:hAnsiTheme="minorHAnsi" w:cs="Arial"/>
          <w:sz w:val="22"/>
          <w:szCs w:val="22"/>
        </w:rPr>
        <w:t>y najmu</w:t>
      </w:r>
      <w:r w:rsidR="00303863">
        <w:rPr>
          <w:rFonts w:asciiTheme="minorHAnsi" w:hAnsiTheme="minorHAnsi" w:cs="Arial"/>
          <w:sz w:val="22"/>
          <w:szCs w:val="22"/>
        </w:rPr>
        <w:t xml:space="preserve"> ulega wygaśnięciu. </w:t>
      </w:r>
    </w:p>
    <w:p w:rsidR="001E08AF" w:rsidRPr="005A08D4" w:rsidRDefault="001E08AF" w:rsidP="005A08D4">
      <w:pPr>
        <w:tabs>
          <w:tab w:val="left" w:pos="540"/>
        </w:tabs>
        <w:spacing w:after="240" w:line="240" w:lineRule="exact"/>
        <w:rPr>
          <w:rFonts w:asciiTheme="minorHAnsi" w:hAnsiTheme="minorHAnsi" w:cs="Arial"/>
          <w:sz w:val="22"/>
          <w:szCs w:val="22"/>
        </w:rPr>
      </w:pPr>
      <w:r>
        <w:rPr>
          <w:rFonts w:asciiTheme="minorHAnsi" w:hAnsiTheme="minorHAnsi" w:cs="Arial"/>
          <w:sz w:val="22"/>
          <w:szCs w:val="22"/>
        </w:rPr>
        <w:t xml:space="preserve">Niezależnie od powyższego charakter dopłat i przyjęte w projektowanej ustawie rozwiązania będą wymagały od wynajmującego, w zależności od czynności podejmowanych przez organ właściwy, dokonywania korekt w wysokości czynszu uiszczanego bezpośrednio przez najemcę. Z tego względu w projekcie zawarto przepisy nakładające na organ właściwy obowiązek informowania wynajmującego </w:t>
      </w:r>
      <w:r w:rsidR="005B5623">
        <w:rPr>
          <w:rFonts w:asciiTheme="minorHAnsi" w:hAnsiTheme="minorHAnsi" w:cs="Arial"/>
          <w:sz w:val="22"/>
          <w:szCs w:val="22"/>
        </w:rPr>
        <w:br/>
      </w:r>
      <w:r>
        <w:rPr>
          <w:rFonts w:asciiTheme="minorHAnsi" w:hAnsiTheme="minorHAnsi" w:cs="Arial"/>
          <w:sz w:val="22"/>
          <w:szCs w:val="22"/>
        </w:rPr>
        <w:t xml:space="preserve">o wszystkich czynnościach wpływających na wysokość </w:t>
      </w:r>
      <w:r w:rsidR="005A08D4">
        <w:rPr>
          <w:rFonts w:asciiTheme="minorHAnsi" w:hAnsiTheme="minorHAnsi" w:cs="Arial"/>
          <w:sz w:val="22"/>
          <w:szCs w:val="22"/>
        </w:rPr>
        <w:t xml:space="preserve">opłaty w związku ze stosowaniem dopłat. Dokonywana przez wynajmującego korekta, w zależności od przypadku, będzie mogła polegać </w:t>
      </w:r>
      <w:r w:rsidR="005A08D4" w:rsidRPr="005A08D4">
        <w:rPr>
          <w:rFonts w:asciiTheme="minorHAnsi" w:hAnsiTheme="minorHAnsi" w:cs="Arial"/>
          <w:sz w:val="22"/>
          <w:szCs w:val="22"/>
        </w:rPr>
        <w:t>na pomniejszeniu wysokości miesięcznego czynszu uiszczan</w:t>
      </w:r>
      <w:r w:rsidR="005A08D4">
        <w:rPr>
          <w:rFonts w:asciiTheme="minorHAnsi" w:hAnsiTheme="minorHAnsi" w:cs="Arial"/>
          <w:sz w:val="22"/>
          <w:szCs w:val="22"/>
        </w:rPr>
        <w:t xml:space="preserve">ego bezpośrednio przez najemcę </w:t>
      </w:r>
      <w:r w:rsidR="005A08D4" w:rsidRPr="005A08D4">
        <w:rPr>
          <w:rFonts w:asciiTheme="minorHAnsi" w:hAnsiTheme="minorHAnsi" w:cs="Arial"/>
          <w:sz w:val="22"/>
          <w:szCs w:val="22"/>
        </w:rPr>
        <w:t xml:space="preserve">o wartość dopłaty </w:t>
      </w:r>
      <w:r w:rsidR="005B5623">
        <w:rPr>
          <w:rFonts w:asciiTheme="minorHAnsi" w:hAnsiTheme="minorHAnsi" w:cs="Arial"/>
          <w:sz w:val="22"/>
          <w:szCs w:val="22"/>
        </w:rPr>
        <w:br/>
      </w:r>
      <w:r w:rsidR="005A08D4" w:rsidRPr="005A08D4">
        <w:rPr>
          <w:rFonts w:asciiTheme="minorHAnsi" w:hAnsiTheme="minorHAnsi" w:cs="Arial"/>
          <w:sz w:val="22"/>
          <w:szCs w:val="22"/>
        </w:rPr>
        <w:t xml:space="preserve">(w przypadku </w:t>
      </w:r>
      <w:r w:rsidR="005A08D4">
        <w:rPr>
          <w:rFonts w:asciiTheme="minorHAnsi" w:hAnsiTheme="minorHAnsi" w:cs="Arial"/>
          <w:sz w:val="22"/>
          <w:szCs w:val="22"/>
        </w:rPr>
        <w:t>stosowania dopłat wobec</w:t>
      </w:r>
      <w:r w:rsidR="005A08D4" w:rsidRPr="005A08D4">
        <w:rPr>
          <w:rFonts w:asciiTheme="minorHAnsi" w:hAnsiTheme="minorHAnsi" w:cs="Arial"/>
          <w:sz w:val="22"/>
          <w:szCs w:val="22"/>
        </w:rPr>
        <w:t xml:space="preserve"> najemcy), powrotu do pełnej wysokości czynszu uiszczanego bezpośrednio przez najemcę (w przypadku pozbawienia go dopłat), </w:t>
      </w:r>
      <w:r w:rsidR="005A08D4">
        <w:rPr>
          <w:rFonts w:asciiTheme="minorHAnsi" w:hAnsiTheme="minorHAnsi" w:cs="Arial"/>
          <w:sz w:val="22"/>
          <w:szCs w:val="22"/>
        </w:rPr>
        <w:t>zmianie</w:t>
      </w:r>
      <w:r w:rsidR="005A08D4" w:rsidRPr="005A08D4">
        <w:rPr>
          <w:rFonts w:asciiTheme="minorHAnsi" w:hAnsiTheme="minorHAnsi" w:cs="Arial"/>
          <w:sz w:val="22"/>
          <w:szCs w:val="22"/>
        </w:rPr>
        <w:t xml:space="preserve"> wartości pomniejszenia ww. czynszu (w sytuacji zmiany wysokości dopłaty np. z powodu zwiększenia liczby członków gospodarstwa).</w:t>
      </w:r>
    </w:p>
    <w:p w:rsidR="00410B28" w:rsidRPr="00E24FED" w:rsidRDefault="00D136F7" w:rsidP="00730411">
      <w:pPr>
        <w:tabs>
          <w:tab w:val="left" w:pos="540"/>
        </w:tabs>
        <w:spacing w:after="240" w:line="240" w:lineRule="exact"/>
        <w:rPr>
          <w:rFonts w:asciiTheme="minorHAnsi" w:hAnsiTheme="minorHAnsi" w:cs="Arial"/>
          <w:sz w:val="22"/>
          <w:szCs w:val="22"/>
        </w:rPr>
      </w:pPr>
      <w:r>
        <w:rPr>
          <w:rFonts w:asciiTheme="minorHAnsi" w:hAnsiTheme="minorHAnsi" w:cs="Arial"/>
          <w:sz w:val="22"/>
          <w:szCs w:val="22"/>
        </w:rPr>
        <w:t xml:space="preserve">W kontekście </w:t>
      </w:r>
      <w:r w:rsidR="006E5A8C">
        <w:rPr>
          <w:rFonts w:asciiTheme="minorHAnsi" w:hAnsiTheme="minorHAnsi" w:cs="Arial"/>
          <w:sz w:val="22"/>
          <w:szCs w:val="22"/>
        </w:rPr>
        <w:t xml:space="preserve">trybu przyznawania dopłat </w:t>
      </w:r>
      <w:r>
        <w:rPr>
          <w:rFonts w:asciiTheme="minorHAnsi" w:hAnsiTheme="minorHAnsi" w:cs="Arial"/>
          <w:sz w:val="22"/>
          <w:szCs w:val="22"/>
        </w:rPr>
        <w:t>należy uzupełnić, że projektodawca uregulował również sytuację, w której stwierdzone zostanie</w:t>
      </w:r>
      <w:r w:rsidRPr="00D136F7">
        <w:rPr>
          <w:rFonts w:asciiTheme="minorHAnsi" w:hAnsiTheme="minorHAnsi" w:cs="Arial"/>
          <w:sz w:val="22"/>
          <w:szCs w:val="22"/>
        </w:rPr>
        <w:t>, że dopłaty przyznano na podstawie fałszywych oświadczeń lub dokumentów albo w innych przypadkach świadomego wprowadze</w:t>
      </w:r>
      <w:r>
        <w:rPr>
          <w:rFonts w:asciiTheme="minorHAnsi" w:hAnsiTheme="minorHAnsi" w:cs="Arial"/>
          <w:sz w:val="22"/>
          <w:szCs w:val="22"/>
        </w:rPr>
        <w:t xml:space="preserve">nia organu w błąd przez najemcę. </w:t>
      </w:r>
      <w:r w:rsidR="00566EFF" w:rsidRPr="00566EFF">
        <w:rPr>
          <w:rFonts w:asciiTheme="minorHAnsi" w:hAnsiTheme="minorHAnsi" w:cs="Arial"/>
          <w:sz w:val="22"/>
          <w:szCs w:val="22"/>
        </w:rPr>
        <w:t xml:space="preserve">W omawianym przypadku przyjęto rozwiązane sprawdzone w ramach procedury </w:t>
      </w:r>
      <w:r w:rsidR="00566EFF">
        <w:rPr>
          <w:rFonts w:asciiTheme="minorHAnsi" w:hAnsiTheme="minorHAnsi" w:cs="Arial"/>
          <w:sz w:val="22"/>
          <w:szCs w:val="22"/>
        </w:rPr>
        <w:t>przyznawania dodatku mieszkaniowego</w:t>
      </w:r>
      <w:r w:rsidR="00566EFF" w:rsidRPr="00566EFF">
        <w:rPr>
          <w:rFonts w:asciiTheme="minorHAnsi" w:hAnsiTheme="minorHAnsi" w:cs="Arial"/>
          <w:sz w:val="22"/>
          <w:szCs w:val="22"/>
        </w:rPr>
        <w:t xml:space="preserve">. </w:t>
      </w:r>
      <w:r>
        <w:rPr>
          <w:rFonts w:asciiTheme="minorHAnsi" w:hAnsiTheme="minorHAnsi" w:cs="Arial"/>
          <w:sz w:val="22"/>
          <w:szCs w:val="22"/>
        </w:rPr>
        <w:t xml:space="preserve">W </w:t>
      </w:r>
      <w:r w:rsidR="00566EFF">
        <w:rPr>
          <w:rFonts w:asciiTheme="minorHAnsi" w:hAnsiTheme="minorHAnsi" w:cs="Arial"/>
          <w:sz w:val="22"/>
          <w:szCs w:val="22"/>
        </w:rPr>
        <w:t>takiej sytuacji</w:t>
      </w:r>
      <w:r w:rsidR="00566EFF" w:rsidRPr="00D136F7">
        <w:rPr>
          <w:rFonts w:asciiTheme="minorHAnsi" w:hAnsiTheme="minorHAnsi" w:cs="Arial"/>
          <w:sz w:val="22"/>
          <w:szCs w:val="22"/>
        </w:rPr>
        <w:t xml:space="preserve"> </w:t>
      </w:r>
      <w:r w:rsidRPr="00D136F7">
        <w:rPr>
          <w:rFonts w:asciiTheme="minorHAnsi" w:hAnsiTheme="minorHAnsi" w:cs="Arial"/>
          <w:sz w:val="22"/>
          <w:szCs w:val="22"/>
        </w:rPr>
        <w:t xml:space="preserve">najemca </w:t>
      </w:r>
      <w:r w:rsidR="00566EFF">
        <w:rPr>
          <w:rFonts w:asciiTheme="minorHAnsi" w:hAnsiTheme="minorHAnsi" w:cs="Arial"/>
          <w:sz w:val="22"/>
          <w:szCs w:val="22"/>
        </w:rPr>
        <w:t>będzie</w:t>
      </w:r>
      <w:r w:rsidR="00566EFF" w:rsidRPr="00D136F7">
        <w:rPr>
          <w:rFonts w:asciiTheme="minorHAnsi" w:hAnsiTheme="minorHAnsi" w:cs="Arial"/>
          <w:sz w:val="22"/>
          <w:szCs w:val="22"/>
        </w:rPr>
        <w:t xml:space="preserve"> </w:t>
      </w:r>
      <w:r>
        <w:rPr>
          <w:rFonts w:asciiTheme="minorHAnsi" w:hAnsiTheme="minorHAnsi" w:cs="Arial"/>
          <w:sz w:val="22"/>
          <w:szCs w:val="22"/>
        </w:rPr>
        <w:t>z</w:t>
      </w:r>
      <w:r w:rsidRPr="00D136F7">
        <w:rPr>
          <w:rFonts w:asciiTheme="minorHAnsi" w:hAnsiTheme="minorHAnsi" w:cs="Arial"/>
          <w:sz w:val="22"/>
          <w:szCs w:val="22"/>
        </w:rPr>
        <w:t xml:space="preserve">obowiązany do zwrotu nienależnie pobranych </w:t>
      </w:r>
      <w:r>
        <w:rPr>
          <w:rFonts w:asciiTheme="minorHAnsi" w:hAnsiTheme="minorHAnsi" w:cs="Arial"/>
          <w:sz w:val="22"/>
          <w:szCs w:val="22"/>
        </w:rPr>
        <w:t>dopłat</w:t>
      </w:r>
      <w:r w:rsidRPr="00D136F7">
        <w:rPr>
          <w:rFonts w:asciiTheme="minorHAnsi" w:hAnsiTheme="minorHAnsi" w:cs="Arial"/>
          <w:sz w:val="22"/>
          <w:szCs w:val="22"/>
        </w:rPr>
        <w:t xml:space="preserve"> wraz z odsetkami ustawowymi</w:t>
      </w:r>
      <w:r w:rsidR="00303863">
        <w:rPr>
          <w:rFonts w:asciiTheme="minorHAnsi" w:hAnsiTheme="minorHAnsi" w:cs="Arial"/>
          <w:sz w:val="22"/>
          <w:szCs w:val="22"/>
        </w:rPr>
        <w:t xml:space="preserve"> na wezwanie organu</w:t>
      </w:r>
      <w:r>
        <w:rPr>
          <w:rFonts w:asciiTheme="minorHAnsi" w:hAnsiTheme="minorHAnsi" w:cs="Arial"/>
          <w:sz w:val="22"/>
          <w:szCs w:val="22"/>
        </w:rPr>
        <w:t xml:space="preserve">. </w:t>
      </w:r>
      <w:r w:rsidR="00A75881">
        <w:rPr>
          <w:rFonts w:asciiTheme="minorHAnsi" w:hAnsiTheme="minorHAnsi" w:cs="Arial"/>
          <w:sz w:val="22"/>
          <w:szCs w:val="22"/>
        </w:rPr>
        <w:t xml:space="preserve">Zwrócone dopłaty stanowią </w:t>
      </w:r>
      <w:r w:rsidR="00197836">
        <w:rPr>
          <w:rFonts w:asciiTheme="minorHAnsi" w:hAnsiTheme="minorHAnsi" w:cs="Arial"/>
          <w:sz w:val="22"/>
          <w:szCs w:val="22"/>
        </w:rPr>
        <w:t xml:space="preserve">przychód </w:t>
      </w:r>
      <w:r w:rsidR="00A75881">
        <w:rPr>
          <w:rFonts w:asciiTheme="minorHAnsi" w:hAnsiTheme="minorHAnsi" w:cs="Arial"/>
          <w:sz w:val="22"/>
          <w:szCs w:val="22"/>
        </w:rPr>
        <w:t xml:space="preserve">Funduszu Dopłat. </w:t>
      </w:r>
    </w:p>
    <w:p w:rsidR="0005174A" w:rsidRDefault="0005174A" w:rsidP="0005174A">
      <w:pPr>
        <w:tabs>
          <w:tab w:val="left" w:pos="540"/>
        </w:tabs>
        <w:spacing w:after="240" w:line="240" w:lineRule="exact"/>
        <w:rPr>
          <w:rFonts w:asciiTheme="minorHAnsi" w:hAnsiTheme="minorHAnsi" w:cs="Arial"/>
          <w:sz w:val="22"/>
          <w:szCs w:val="22"/>
        </w:rPr>
      </w:pPr>
      <w:r w:rsidRPr="00C633D5">
        <w:rPr>
          <w:rFonts w:asciiTheme="minorHAnsi" w:hAnsiTheme="minorHAnsi" w:cs="Arial"/>
          <w:b/>
          <w:sz w:val="22"/>
          <w:szCs w:val="22"/>
        </w:rPr>
        <w:t xml:space="preserve">Art. </w:t>
      </w:r>
      <w:r w:rsidR="00A535CC">
        <w:rPr>
          <w:rFonts w:asciiTheme="minorHAnsi" w:hAnsiTheme="minorHAnsi" w:cs="Arial"/>
          <w:b/>
          <w:sz w:val="22"/>
          <w:szCs w:val="22"/>
        </w:rPr>
        <w:t>1</w:t>
      </w:r>
      <w:r w:rsidR="00642853">
        <w:rPr>
          <w:rFonts w:asciiTheme="minorHAnsi" w:hAnsiTheme="minorHAnsi" w:cs="Arial"/>
          <w:b/>
          <w:sz w:val="22"/>
          <w:szCs w:val="22"/>
        </w:rPr>
        <w:t>7</w:t>
      </w:r>
      <w:r w:rsidRPr="00C633D5">
        <w:rPr>
          <w:rFonts w:asciiTheme="minorHAnsi" w:hAnsiTheme="minorHAnsi" w:cs="Arial"/>
          <w:sz w:val="22"/>
          <w:szCs w:val="22"/>
        </w:rPr>
        <w:t xml:space="preserve"> wprowadza obowiązek </w:t>
      </w:r>
      <w:r>
        <w:rPr>
          <w:rFonts w:asciiTheme="minorHAnsi" w:hAnsiTheme="minorHAnsi" w:cs="Arial"/>
          <w:sz w:val="22"/>
          <w:szCs w:val="22"/>
        </w:rPr>
        <w:t xml:space="preserve">dokonywania co 3 lata weryfikacji dochodów gospodarstwa domowego najemcy uzyskującego dopłaty (wybór trzyletniego okresu pomiędzy kolejnymi weryfikacjami jest motywowany potrzebą zapewnienia stabilności użytkowania mieszkań i poczucia bezpieczeństwa najemców w zakresie ponoszenia obciążeń z tytułu umowy najmu, szczególnie istotnego w kontekście osób należących do grupy docelowej instrumentu, np. ludzi młodych). Taką weryfikację przeprowadza </w:t>
      </w:r>
      <w:r w:rsidR="000C1DD6">
        <w:rPr>
          <w:rFonts w:asciiTheme="minorHAnsi" w:hAnsiTheme="minorHAnsi" w:cs="Arial"/>
          <w:sz w:val="22"/>
          <w:szCs w:val="22"/>
        </w:rPr>
        <w:t>organ właściwy</w:t>
      </w:r>
      <w:r>
        <w:rPr>
          <w:rFonts w:asciiTheme="minorHAnsi" w:hAnsiTheme="minorHAnsi" w:cs="Arial"/>
          <w:sz w:val="22"/>
          <w:szCs w:val="22"/>
        </w:rPr>
        <w:t xml:space="preserve"> na podstawie oświadczenia</w:t>
      </w:r>
      <w:r w:rsidRPr="00C633D5">
        <w:rPr>
          <w:rFonts w:asciiTheme="minorHAnsi" w:hAnsiTheme="minorHAnsi" w:cs="Arial"/>
          <w:sz w:val="22"/>
          <w:szCs w:val="22"/>
        </w:rPr>
        <w:t xml:space="preserve"> o wysokości dochodów gospodarstwa domowego najemcy za rok </w:t>
      </w:r>
      <w:r w:rsidR="000C1DD6">
        <w:rPr>
          <w:rFonts w:asciiTheme="minorHAnsi" w:hAnsiTheme="minorHAnsi" w:cs="Arial"/>
          <w:sz w:val="22"/>
          <w:szCs w:val="22"/>
        </w:rPr>
        <w:t>kalendarzowy wskazany w projektowanej ustawie, uzależniony od miesiąca składania oświadczenia</w:t>
      </w:r>
      <w:r w:rsidRPr="00C633D5">
        <w:rPr>
          <w:rFonts w:asciiTheme="minorHAnsi" w:hAnsiTheme="minorHAnsi" w:cs="Arial"/>
          <w:sz w:val="22"/>
          <w:szCs w:val="22"/>
        </w:rPr>
        <w:t xml:space="preserve">, </w:t>
      </w:r>
      <w:r w:rsidR="005B5623">
        <w:rPr>
          <w:rFonts w:asciiTheme="minorHAnsi" w:hAnsiTheme="minorHAnsi" w:cs="Arial"/>
          <w:sz w:val="22"/>
          <w:szCs w:val="22"/>
        </w:rPr>
        <w:br/>
      </w:r>
      <w:r w:rsidRPr="00C633D5">
        <w:rPr>
          <w:rFonts w:asciiTheme="minorHAnsi" w:hAnsiTheme="minorHAnsi" w:cs="Arial"/>
          <w:sz w:val="22"/>
          <w:szCs w:val="22"/>
        </w:rPr>
        <w:t>z wyodrębnieniem dochodów poszczególnych członków gospodar</w:t>
      </w:r>
      <w:r>
        <w:rPr>
          <w:rFonts w:asciiTheme="minorHAnsi" w:hAnsiTheme="minorHAnsi" w:cs="Arial"/>
          <w:sz w:val="22"/>
          <w:szCs w:val="22"/>
        </w:rPr>
        <w:t>stwa domowego</w:t>
      </w:r>
      <w:r w:rsidR="007F0C11">
        <w:rPr>
          <w:rFonts w:asciiTheme="minorHAnsi" w:hAnsiTheme="minorHAnsi" w:cs="Arial"/>
          <w:sz w:val="22"/>
          <w:szCs w:val="22"/>
        </w:rPr>
        <w:t xml:space="preserve"> i informacj</w:t>
      </w:r>
      <w:r w:rsidR="00077480">
        <w:rPr>
          <w:rFonts w:asciiTheme="minorHAnsi" w:hAnsiTheme="minorHAnsi" w:cs="Arial"/>
          <w:sz w:val="22"/>
          <w:szCs w:val="22"/>
        </w:rPr>
        <w:t>i</w:t>
      </w:r>
      <w:r w:rsidR="007F0C11">
        <w:rPr>
          <w:rFonts w:asciiTheme="minorHAnsi" w:hAnsiTheme="minorHAnsi" w:cs="Arial"/>
          <w:sz w:val="22"/>
          <w:szCs w:val="22"/>
        </w:rPr>
        <w:t xml:space="preserve"> w zakresie dochodów utraconych lub uzyskanych</w:t>
      </w:r>
      <w:r w:rsidR="00642853">
        <w:rPr>
          <w:rFonts w:asciiTheme="minorHAnsi" w:hAnsiTheme="minorHAnsi" w:cs="Arial"/>
          <w:sz w:val="22"/>
          <w:szCs w:val="22"/>
        </w:rPr>
        <w:t xml:space="preserve"> (pozwalających na ustalenie, czy uwzględniany dochód jest nadal uzyskiwany)</w:t>
      </w:r>
      <w:r>
        <w:rPr>
          <w:rFonts w:asciiTheme="minorHAnsi" w:hAnsiTheme="minorHAnsi" w:cs="Arial"/>
          <w:sz w:val="22"/>
          <w:szCs w:val="22"/>
        </w:rPr>
        <w:t>, oraz oświadczenia</w:t>
      </w:r>
      <w:r w:rsidRPr="00C633D5">
        <w:rPr>
          <w:rFonts w:asciiTheme="minorHAnsi" w:hAnsiTheme="minorHAnsi" w:cs="Arial"/>
          <w:sz w:val="22"/>
          <w:szCs w:val="22"/>
        </w:rPr>
        <w:t xml:space="preserve"> o liczbie osób wchodzących w skład tego gospodarstwa</w:t>
      </w:r>
      <w:r>
        <w:rPr>
          <w:rFonts w:asciiTheme="minorHAnsi" w:hAnsiTheme="minorHAnsi" w:cs="Arial"/>
          <w:sz w:val="22"/>
          <w:szCs w:val="22"/>
        </w:rPr>
        <w:t xml:space="preserve">, złożonych przez najemcę (pod rygorem odpowiedzialności karnej za składanie fałszywych zeznań) nie wcześniej niż w terminie 2 miesięcy, ale nie później niż w terminie </w:t>
      </w:r>
      <w:r w:rsidRPr="00266856">
        <w:rPr>
          <w:rFonts w:asciiTheme="minorHAnsi" w:hAnsiTheme="minorHAnsi" w:cs="Arial"/>
          <w:sz w:val="22"/>
          <w:szCs w:val="22"/>
        </w:rPr>
        <w:t xml:space="preserve">miesiąca przed upływem każdego kolejnego trzyletniego okresu </w:t>
      </w:r>
      <w:r w:rsidR="00642853">
        <w:rPr>
          <w:rFonts w:asciiTheme="minorHAnsi" w:hAnsiTheme="minorHAnsi" w:cs="Arial"/>
          <w:sz w:val="22"/>
          <w:szCs w:val="22"/>
        </w:rPr>
        <w:t>stosowania</w:t>
      </w:r>
      <w:r w:rsidR="00642853" w:rsidRPr="00266856">
        <w:rPr>
          <w:rFonts w:asciiTheme="minorHAnsi" w:hAnsiTheme="minorHAnsi" w:cs="Arial"/>
          <w:sz w:val="22"/>
          <w:szCs w:val="22"/>
        </w:rPr>
        <w:t xml:space="preserve"> </w:t>
      </w:r>
      <w:r w:rsidRPr="00266856">
        <w:rPr>
          <w:rFonts w:asciiTheme="minorHAnsi" w:hAnsiTheme="minorHAnsi" w:cs="Arial"/>
          <w:sz w:val="22"/>
          <w:szCs w:val="22"/>
        </w:rPr>
        <w:t>dopłat</w:t>
      </w:r>
      <w:r>
        <w:rPr>
          <w:rFonts w:asciiTheme="minorHAnsi" w:hAnsiTheme="minorHAnsi" w:cs="Arial"/>
          <w:sz w:val="22"/>
          <w:szCs w:val="22"/>
        </w:rPr>
        <w:t xml:space="preserve"> (tj. przed upływem 3 i 6 lat od daty dokonania pierwszej wpłaty dopłaty na rachunek wynajmującego). </w:t>
      </w:r>
      <w:r w:rsidR="00642853">
        <w:rPr>
          <w:rFonts w:asciiTheme="minorHAnsi" w:hAnsiTheme="minorHAnsi" w:cs="Arial"/>
          <w:sz w:val="22"/>
          <w:szCs w:val="22"/>
        </w:rPr>
        <w:t xml:space="preserve">W przypadku małżonków będących współnajemcami mieszkania oświadczenia składa osoba, która wcześniej złożyła wniosek o dopłaty. </w:t>
      </w:r>
      <w:r>
        <w:rPr>
          <w:rFonts w:asciiTheme="minorHAnsi" w:hAnsiTheme="minorHAnsi" w:cs="Arial"/>
          <w:sz w:val="22"/>
          <w:szCs w:val="22"/>
        </w:rPr>
        <w:t xml:space="preserve">Projektodawca wprowadza </w:t>
      </w:r>
      <w:r w:rsidR="00642853">
        <w:rPr>
          <w:rFonts w:asciiTheme="minorHAnsi" w:hAnsiTheme="minorHAnsi" w:cs="Arial"/>
          <w:sz w:val="22"/>
          <w:szCs w:val="22"/>
        </w:rPr>
        <w:t>przy tym</w:t>
      </w:r>
      <w:r>
        <w:rPr>
          <w:rFonts w:asciiTheme="minorHAnsi" w:hAnsiTheme="minorHAnsi" w:cs="Arial"/>
          <w:sz w:val="22"/>
          <w:szCs w:val="22"/>
        </w:rPr>
        <w:t xml:space="preserve"> sankcję za niezłożenie oświadczeń w terminie, która polega na </w:t>
      </w:r>
      <w:r w:rsidR="00642853">
        <w:rPr>
          <w:rFonts w:asciiTheme="minorHAnsi" w:hAnsiTheme="minorHAnsi" w:cs="Arial"/>
          <w:sz w:val="22"/>
          <w:szCs w:val="22"/>
        </w:rPr>
        <w:t>wstrzymaniu dopłat</w:t>
      </w:r>
      <w:r w:rsidR="00721D29">
        <w:rPr>
          <w:rFonts w:asciiTheme="minorHAnsi" w:hAnsiTheme="minorHAnsi" w:cs="Arial"/>
          <w:sz w:val="22"/>
          <w:szCs w:val="22"/>
        </w:rPr>
        <w:t xml:space="preserve"> (o tym fakcie informowany jest również wynajmujący)</w:t>
      </w:r>
      <w:r>
        <w:rPr>
          <w:rFonts w:asciiTheme="minorHAnsi" w:hAnsiTheme="minorHAnsi" w:cs="Arial"/>
          <w:sz w:val="22"/>
          <w:szCs w:val="22"/>
        </w:rPr>
        <w:t xml:space="preserve">. </w:t>
      </w:r>
      <w:r w:rsidR="007F0C11">
        <w:rPr>
          <w:rFonts w:asciiTheme="minorHAnsi" w:hAnsiTheme="minorHAnsi" w:cs="Arial"/>
          <w:sz w:val="22"/>
          <w:szCs w:val="22"/>
        </w:rPr>
        <w:t>Organ właściwy</w:t>
      </w:r>
      <w:r>
        <w:rPr>
          <w:rFonts w:asciiTheme="minorHAnsi" w:hAnsiTheme="minorHAnsi" w:cs="Arial"/>
          <w:sz w:val="22"/>
          <w:szCs w:val="22"/>
        </w:rPr>
        <w:t xml:space="preserve"> dokonuje jednak tego dopiero po bezskutecznym upływie terminu na złożenie przez najemcę oświadczeń po wezwaniu organu. </w:t>
      </w:r>
    </w:p>
    <w:p w:rsidR="0005174A" w:rsidRDefault="0005174A" w:rsidP="0005174A">
      <w:pPr>
        <w:tabs>
          <w:tab w:val="left" w:pos="540"/>
        </w:tabs>
        <w:spacing w:after="240" w:line="240" w:lineRule="exact"/>
        <w:rPr>
          <w:rFonts w:asciiTheme="minorHAnsi" w:hAnsiTheme="minorHAnsi" w:cs="Arial"/>
          <w:sz w:val="22"/>
          <w:szCs w:val="22"/>
        </w:rPr>
      </w:pPr>
      <w:r>
        <w:rPr>
          <w:rFonts w:asciiTheme="minorHAnsi" w:hAnsiTheme="minorHAnsi" w:cs="Arial"/>
          <w:sz w:val="22"/>
          <w:szCs w:val="22"/>
        </w:rPr>
        <w:t xml:space="preserve">W toku weryfikacji </w:t>
      </w:r>
      <w:r w:rsidR="007F0C11">
        <w:rPr>
          <w:rFonts w:asciiTheme="minorHAnsi" w:hAnsiTheme="minorHAnsi" w:cs="Arial"/>
          <w:sz w:val="22"/>
          <w:szCs w:val="22"/>
        </w:rPr>
        <w:t>organ</w:t>
      </w:r>
      <w:r>
        <w:rPr>
          <w:rFonts w:asciiTheme="minorHAnsi" w:hAnsiTheme="minorHAnsi" w:cs="Arial"/>
          <w:sz w:val="22"/>
          <w:szCs w:val="22"/>
        </w:rPr>
        <w:t xml:space="preserve"> sprawdza, czy średni miesięczny dochód gospodarstwa domowego za rok </w:t>
      </w:r>
      <w:r w:rsidR="007F0C11">
        <w:rPr>
          <w:rFonts w:asciiTheme="minorHAnsi" w:hAnsiTheme="minorHAnsi" w:cs="Arial"/>
          <w:sz w:val="22"/>
          <w:szCs w:val="22"/>
        </w:rPr>
        <w:t xml:space="preserve">kalendarzowy podlegający analizie </w:t>
      </w:r>
      <w:r>
        <w:rPr>
          <w:rFonts w:asciiTheme="minorHAnsi" w:hAnsiTheme="minorHAnsi" w:cs="Arial"/>
          <w:sz w:val="22"/>
          <w:szCs w:val="22"/>
        </w:rPr>
        <w:t xml:space="preserve">mieści się w limicie dochodowym dla beneficjentów dopłat (należy przy tym podkreślić, że do dochodu nie wlicza się dopłat; jednocześnie przy weryfikacji dochodów weryfikowana jest </w:t>
      </w:r>
      <w:r w:rsidRPr="008936CB">
        <w:rPr>
          <w:rFonts w:asciiTheme="minorHAnsi" w:hAnsiTheme="minorHAnsi" w:cs="Arial"/>
          <w:sz w:val="22"/>
          <w:szCs w:val="22"/>
        </w:rPr>
        <w:t>podstawa doty</w:t>
      </w:r>
      <w:r>
        <w:rPr>
          <w:rFonts w:asciiTheme="minorHAnsi" w:hAnsiTheme="minorHAnsi" w:cs="Arial"/>
          <w:sz w:val="22"/>
          <w:szCs w:val="22"/>
        </w:rPr>
        <w:t xml:space="preserve">cząca powierzchni normatywnej, która w przeciwieństwie do </w:t>
      </w:r>
      <w:r w:rsidRPr="008936CB">
        <w:rPr>
          <w:rFonts w:asciiTheme="minorHAnsi" w:hAnsiTheme="minorHAnsi" w:cs="Arial"/>
          <w:sz w:val="22"/>
          <w:szCs w:val="22"/>
        </w:rPr>
        <w:t>wskaźnik</w:t>
      </w:r>
      <w:r>
        <w:rPr>
          <w:rFonts w:asciiTheme="minorHAnsi" w:hAnsiTheme="minorHAnsi" w:cs="Arial"/>
          <w:sz w:val="22"/>
          <w:szCs w:val="22"/>
        </w:rPr>
        <w:t xml:space="preserve">a przeliczeniowego odpowiadającego dacie wniosku o dopłaty i współczynnika dopłaty jest uzależniona </w:t>
      </w:r>
      <w:r w:rsidRPr="008936CB">
        <w:rPr>
          <w:rFonts w:asciiTheme="minorHAnsi" w:hAnsiTheme="minorHAnsi" w:cs="Arial"/>
          <w:sz w:val="22"/>
          <w:szCs w:val="22"/>
        </w:rPr>
        <w:t>od liczby osób</w:t>
      </w:r>
      <w:r>
        <w:rPr>
          <w:rFonts w:asciiTheme="minorHAnsi" w:hAnsiTheme="minorHAnsi" w:cs="Arial"/>
          <w:sz w:val="22"/>
          <w:szCs w:val="22"/>
        </w:rPr>
        <w:t xml:space="preserve"> w gospodarstwie domowym; zmiana tej liczby, co do zasady, wpływa zatem na wysokość dopłaty, z zastrzeżeniem ograniczeń związanych z przekroczeniem przez powierzchnię normatywną powierzchni użytkowej mieszkania). </w:t>
      </w:r>
      <w:r w:rsidRPr="008936CB">
        <w:rPr>
          <w:rFonts w:asciiTheme="minorHAnsi" w:hAnsiTheme="minorHAnsi" w:cs="Arial"/>
          <w:sz w:val="22"/>
          <w:szCs w:val="22"/>
        </w:rPr>
        <w:t>W przypadku powzięcia uzasadnionych wątpliwości co do prawdziwości danych zawartych w oświadczeniu</w:t>
      </w:r>
      <w:r>
        <w:rPr>
          <w:rFonts w:asciiTheme="minorHAnsi" w:hAnsiTheme="minorHAnsi" w:cs="Arial"/>
          <w:sz w:val="22"/>
          <w:szCs w:val="22"/>
        </w:rPr>
        <w:t xml:space="preserve"> o dochodach </w:t>
      </w:r>
      <w:r w:rsidR="007B06D7">
        <w:rPr>
          <w:rFonts w:asciiTheme="minorHAnsi" w:hAnsiTheme="minorHAnsi" w:cs="Arial"/>
          <w:sz w:val="22"/>
          <w:szCs w:val="22"/>
        </w:rPr>
        <w:t>organ</w:t>
      </w:r>
      <w:r w:rsidRPr="008936CB">
        <w:rPr>
          <w:rFonts w:asciiTheme="minorHAnsi" w:hAnsiTheme="minorHAnsi" w:cs="Arial"/>
          <w:sz w:val="22"/>
          <w:szCs w:val="22"/>
        </w:rPr>
        <w:t xml:space="preserve"> wzywa najemcę do przedstawienia zaświadczeń potwierdzających wysokość dochodów poszczególnych osób wchodzącyc</w:t>
      </w:r>
      <w:r>
        <w:rPr>
          <w:rFonts w:asciiTheme="minorHAnsi" w:hAnsiTheme="minorHAnsi" w:cs="Arial"/>
          <w:sz w:val="22"/>
          <w:szCs w:val="22"/>
        </w:rPr>
        <w:t xml:space="preserve">h w skład gospodarstwa domowego. W przypadku niemożności dopełnienia przez najemcę </w:t>
      </w:r>
      <w:r w:rsidRPr="00FB52B3">
        <w:rPr>
          <w:rFonts w:asciiTheme="minorHAnsi" w:hAnsiTheme="minorHAnsi" w:cs="Arial"/>
          <w:sz w:val="22"/>
          <w:szCs w:val="22"/>
        </w:rPr>
        <w:t xml:space="preserve">obowiązku </w:t>
      </w:r>
      <w:r>
        <w:rPr>
          <w:rFonts w:asciiTheme="minorHAnsi" w:hAnsiTheme="minorHAnsi" w:cs="Arial"/>
          <w:sz w:val="22"/>
          <w:szCs w:val="22"/>
        </w:rPr>
        <w:t>z przyczyn od niego</w:t>
      </w:r>
      <w:r w:rsidRPr="00FB52B3">
        <w:t xml:space="preserve"> </w:t>
      </w:r>
      <w:r w:rsidRPr="00FB52B3">
        <w:rPr>
          <w:rFonts w:asciiTheme="minorHAnsi" w:hAnsiTheme="minorHAnsi" w:cs="Arial"/>
          <w:sz w:val="22"/>
          <w:szCs w:val="22"/>
        </w:rPr>
        <w:t xml:space="preserve">niezależnych </w:t>
      </w:r>
      <w:r>
        <w:rPr>
          <w:rFonts w:asciiTheme="minorHAnsi" w:hAnsiTheme="minorHAnsi" w:cs="Arial"/>
          <w:sz w:val="22"/>
          <w:szCs w:val="22"/>
        </w:rPr>
        <w:t xml:space="preserve">lub utrzymywania się </w:t>
      </w:r>
      <w:r w:rsidRPr="00FB52B3">
        <w:rPr>
          <w:rFonts w:asciiTheme="minorHAnsi" w:hAnsiTheme="minorHAnsi" w:cs="Arial"/>
          <w:sz w:val="22"/>
          <w:szCs w:val="22"/>
        </w:rPr>
        <w:t xml:space="preserve">uzasadnionych </w:t>
      </w:r>
      <w:r>
        <w:rPr>
          <w:rFonts w:asciiTheme="minorHAnsi" w:hAnsiTheme="minorHAnsi" w:cs="Arial"/>
          <w:sz w:val="22"/>
          <w:szCs w:val="22"/>
        </w:rPr>
        <w:t xml:space="preserve">wątpliwości </w:t>
      </w:r>
      <w:r w:rsidR="007B06D7">
        <w:rPr>
          <w:rFonts w:asciiTheme="minorHAnsi" w:hAnsiTheme="minorHAnsi" w:cs="Arial"/>
          <w:sz w:val="22"/>
          <w:szCs w:val="22"/>
        </w:rPr>
        <w:t>organ</w:t>
      </w:r>
      <w:r>
        <w:rPr>
          <w:rFonts w:asciiTheme="minorHAnsi" w:hAnsiTheme="minorHAnsi" w:cs="Arial"/>
          <w:sz w:val="22"/>
          <w:szCs w:val="22"/>
        </w:rPr>
        <w:t xml:space="preserve"> dodatkowo weryfikuje informacje, występując do wskazanych w projektowanej ustawie organów o przedstawienie stosownych danych. </w:t>
      </w:r>
    </w:p>
    <w:p w:rsidR="0005174A" w:rsidRDefault="0005174A" w:rsidP="0005174A">
      <w:pPr>
        <w:tabs>
          <w:tab w:val="left" w:pos="540"/>
        </w:tabs>
        <w:spacing w:after="240" w:line="240" w:lineRule="exact"/>
        <w:rPr>
          <w:rFonts w:asciiTheme="minorHAnsi" w:hAnsiTheme="minorHAnsi" w:cs="Arial"/>
          <w:sz w:val="22"/>
          <w:szCs w:val="22"/>
        </w:rPr>
      </w:pPr>
      <w:r>
        <w:rPr>
          <w:rFonts w:asciiTheme="minorHAnsi" w:hAnsiTheme="minorHAnsi" w:cs="Arial"/>
          <w:sz w:val="22"/>
          <w:szCs w:val="22"/>
        </w:rPr>
        <w:t xml:space="preserve">Jeżeli </w:t>
      </w:r>
      <w:r w:rsidR="007B06D7">
        <w:rPr>
          <w:rFonts w:asciiTheme="minorHAnsi" w:hAnsiTheme="minorHAnsi" w:cs="Arial"/>
          <w:sz w:val="22"/>
          <w:szCs w:val="22"/>
        </w:rPr>
        <w:t>organ</w:t>
      </w:r>
      <w:r>
        <w:rPr>
          <w:rFonts w:asciiTheme="minorHAnsi" w:hAnsiTheme="minorHAnsi" w:cs="Arial"/>
          <w:sz w:val="22"/>
          <w:szCs w:val="22"/>
        </w:rPr>
        <w:t xml:space="preserve"> stwierdzi, że gospodarstwo domowe najemcy spełnia warunki dochodowe, informuje </w:t>
      </w:r>
      <w:r w:rsidR="004C25C9">
        <w:rPr>
          <w:rFonts w:asciiTheme="minorHAnsi" w:hAnsiTheme="minorHAnsi" w:cs="Arial"/>
          <w:sz w:val="22"/>
          <w:szCs w:val="22"/>
        </w:rPr>
        <w:br/>
      </w:r>
      <w:r>
        <w:rPr>
          <w:rFonts w:asciiTheme="minorHAnsi" w:hAnsiTheme="minorHAnsi" w:cs="Arial"/>
          <w:sz w:val="22"/>
          <w:szCs w:val="22"/>
        </w:rPr>
        <w:t xml:space="preserve">o tym najemcę i wynajmującego. Wyjątkiem jest sytuacja zmiany liczby osób w gospodarstwie domowym wpływająca na wartość podstawy do obliczenia wysokości dopłaty. W takim przypadku </w:t>
      </w:r>
      <w:r w:rsidR="007B06D7">
        <w:rPr>
          <w:rFonts w:asciiTheme="minorHAnsi" w:hAnsiTheme="minorHAnsi" w:cs="Arial"/>
          <w:sz w:val="22"/>
          <w:szCs w:val="22"/>
        </w:rPr>
        <w:t>zmieniana jest</w:t>
      </w:r>
      <w:r>
        <w:rPr>
          <w:rFonts w:asciiTheme="minorHAnsi" w:hAnsiTheme="minorHAnsi" w:cs="Arial"/>
          <w:sz w:val="22"/>
          <w:szCs w:val="22"/>
        </w:rPr>
        <w:t xml:space="preserve"> decyzja w sprawie dopłat</w:t>
      </w:r>
      <w:r w:rsidR="007B06D7">
        <w:rPr>
          <w:rFonts w:asciiTheme="minorHAnsi" w:hAnsiTheme="minorHAnsi" w:cs="Arial"/>
          <w:sz w:val="22"/>
          <w:szCs w:val="22"/>
        </w:rPr>
        <w:t xml:space="preserve"> poprzez uwzględnienie zmiany</w:t>
      </w:r>
      <w:r>
        <w:rPr>
          <w:rFonts w:asciiTheme="minorHAnsi" w:hAnsiTheme="minorHAnsi" w:cs="Arial"/>
          <w:sz w:val="22"/>
          <w:szCs w:val="22"/>
        </w:rPr>
        <w:t xml:space="preserve"> w podstawie obliczenia dopłaty w zakresie powierzchni normatywnej. Jeżeli natomiast gospodarstwo domowe nie spełnia warunku dochodowego, </w:t>
      </w:r>
      <w:r w:rsidR="007B06D7">
        <w:rPr>
          <w:rFonts w:asciiTheme="minorHAnsi" w:hAnsiTheme="minorHAnsi" w:cs="Arial"/>
          <w:sz w:val="22"/>
          <w:szCs w:val="22"/>
        </w:rPr>
        <w:t>organ</w:t>
      </w:r>
      <w:r>
        <w:rPr>
          <w:rFonts w:asciiTheme="minorHAnsi" w:hAnsiTheme="minorHAnsi" w:cs="Arial"/>
          <w:sz w:val="22"/>
          <w:szCs w:val="22"/>
        </w:rPr>
        <w:t xml:space="preserve"> wydaje decyzję w sprawie </w:t>
      </w:r>
      <w:r w:rsidR="00FB0657">
        <w:rPr>
          <w:rFonts w:asciiTheme="minorHAnsi" w:hAnsiTheme="minorHAnsi" w:cs="Arial"/>
          <w:sz w:val="22"/>
          <w:szCs w:val="22"/>
        </w:rPr>
        <w:t>pozbawienia prawa do</w:t>
      </w:r>
      <w:r>
        <w:rPr>
          <w:rFonts w:asciiTheme="minorHAnsi" w:hAnsiTheme="minorHAnsi" w:cs="Arial"/>
          <w:sz w:val="22"/>
          <w:szCs w:val="22"/>
        </w:rPr>
        <w:t xml:space="preserve"> dopłat.</w:t>
      </w:r>
    </w:p>
    <w:p w:rsidR="008A7C90" w:rsidRPr="008A7C90" w:rsidRDefault="008A7C90" w:rsidP="008A7C90">
      <w:pPr>
        <w:tabs>
          <w:tab w:val="left" w:pos="540"/>
        </w:tabs>
        <w:spacing w:after="240" w:line="240" w:lineRule="exact"/>
        <w:rPr>
          <w:rFonts w:asciiTheme="minorHAnsi" w:hAnsiTheme="minorHAnsi" w:cs="Arial"/>
          <w:sz w:val="22"/>
          <w:szCs w:val="22"/>
        </w:rPr>
      </w:pPr>
      <w:r>
        <w:rPr>
          <w:rFonts w:asciiTheme="minorHAnsi" w:hAnsiTheme="minorHAnsi" w:cs="Arial"/>
          <w:sz w:val="22"/>
          <w:szCs w:val="22"/>
        </w:rPr>
        <w:t>Odnosząc się w kontekście weryfikacji spełnienia warunku dochodowego do rezygnacji z bieżącego monitorowania sytuacji finansowej gospodarstwa domowego, należy podkreślić, że p</w:t>
      </w:r>
      <w:r w:rsidRPr="008A7C90">
        <w:rPr>
          <w:rFonts w:asciiTheme="minorHAnsi" w:hAnsiTheme="minorHAnsi" w:cs="Arial"/>
          <w:sz w:val="22"/>
          <w:szCs w:val="22"/>
        </w:rPr>
        <w:t xml:space="preserve">roponowane rozwiązania zostały zaprojektowane w taki sposób, by </w:t>
      </w:r>
      <w:r>
        <w:rPr>
          <w:rFonts w:asciiTheme="minorHAnsi" w:hAnsiTheme="minorHAnsi" w:cs="Arial"/>
          <w:sz w:val="22"/>
          <w:szCs w:val="22"/>
        </w:rPr>
        <w:t>zapewnić najemcy jak największą</w:t>
      </w:r>
      <w:r w:rsidRPr="008A7C90">
        <w:rPr>
          <w:rFonts w:asciiTheme="minorHAnsi" w:hAnsiTheme="minorHAnsi" w:cs="Arial"/>
          <w:sz w:val="22"/>
          <w:szCs w:val="22"/>
        </w:rPr>
        <w:t xml:space="preserve"> stabilność </w:t>
      </w:r>
      <w:r w:rsidR="005B5623">
        <w:rPr>
          <w:rFonts w:asciiTheme="minorHAnsi" w:hAnsiTheme="minorHAnsi" w:cs="Arial"/>
          <w:sz w:val="22"/>
          <w:szCs w:val="22"/>
        </w:rPr>
        <w:br/>
      </w:r>
      <w:r w:rsidRPr="008A7C90">
        <w:rPr>
          <w:rFonts w:asciiTheme="minorHAnsi" w:hAnsiTheme="minorHAnsi" w:cs="Arial"/>
          <w:sz w:val="22"/>
          <w:szCs w:val="22"/>
        </w:rPr>
        <w:t xml:space="preserve">w utrzymaniu mieszkania w okresie stosowania dopłat, a tym samym umożliwić mu ustabilizowanie sytuacji finansowej gospodarstwa domowego. Z tego względu decyzja w sprawie dopłat wydawana </w:t>
      </w:r>
      <w:r>
        <w:rPr>
          <w:rFonts w:asciiTheme="minorHAnsi" w:hAnsiTheme="minorHAnsi" w:cs="Arial"/>
          <w:sz w:val="22"/>
          <w:szCs w:val="22"/>
        </w:rPr>
        <w:t>będzie</w:t>
      </w:r>
      <w:r w:rsidRPr="008A7C90">
        <w:rPr>
          <w:rFonts w:asciiTheme="minorHAnsi" w:hAnsiTheme="minorHAnsi" w:cs="Arial"/>
          <w:sz w:val="22"/>
          <w:szCs w:val="22"/>
        </w:rPr>
        <w:t xml:space="preserve"> na maksymalny możliwy okres stosowania dopłat wobec danej osoby. W ocenie projektodawcy najemca powinien mieć pewność, że decydując się na najem lokalu objętego możliwością stosowania dopłat, będzie uzyskiwał dopłaty w określonej i z góry przewidzianej wysokości przez cały okres, na jaki wydana została decyzja. Z tego względu niezasadne wydaje się rozwiązanie polegające na bieżącym monitorowaniu sytuacji dochodowej gospodarstwa domowego. Może bowiem prowadzić do sytuacji, w której stosowanie dopłat będzie uzależnione od przejściowych wahań w strukturze dochodowej beneficjentów, przyczyniając się również do zwiększenia pracochłonności organów wydających decyzje.</w:t>
      </w:r>
    </w:p>
    <w:p w:rsidR="008A7C90" w:rsidRDefault="008A7C90" w:rsidP="008A7C90">
      <w:pPr>
        <w:tabs>
          <w:tab w:val="left" w:pos="540"/>
        </w:tabs>
        <w:spacing w:after="240" w:line="240" w:lineRule="exact"/>
        <w:rPr>
          <w:rFonts w:asciiTheme="minorHAnsi" w:hAnsiTheme="minorHAnsi" w:cs="Arial"/>
          <w:sz w:val="22"/>
          <w:szCs w:val="22"/>
        </w:rPr>
      </w:pPr>
      <w:r w:rsidRPr="008A7C90">
        <w:rPr>
          <w:rFonts w:asciiTheme="minorHAnsi" w:hAnsiTheme="minorHAnsi" w:cs="Arial"/>
          <w:sz w:val="22"/>
          <w:szCs w:val="22"/>
        </w:rPr>
        <w:t xml:space="preserve">Ewentualnej aktualizacji podstawy wysokości dopłaty służy </w:t>
      </w:r>
      <w:r>
        <w:rPr>
          <w:rFonts w:asciiTheme="minorHAnsi" w:hAnsiTheme="minorHAnsi" w:cs="Arial"/>
          <w:sz w:val="22"/>
          <w:szCs w:val="22"/>
        </w:rPr>
        <w:t xml:space="preserve">właśnie </w:t>
      </w:r>
      <w:r w:rsidRPr="008A7C90">
        <w:rPr>
          <w:rFonts w:asciiTheme="minorHAnsi" w:hAnsiTheme="minorHAnsi" w:cs="Arial"/>
          <w:sz w:val="22"/>
          <w:szCs w:val="22"/>
        </w:rPr>
        <w:t>przeprowadzana co 3 lata weryfikacja, a także weryfikacja na wniosek, dokonywana w przypadku wskazanej w projektowanej ustawie zmiany liczby członków gospodarstwa domowego. Należy jeszcze raz podkreślić, że pomoc w ramach programu ma mieć charakter przejściowy, pozwalający na ustabilizowanie w ciągu kilku lat sytuacji życiowej i zawodowej. Takie rozwiązanie gwarantuje przy tym większą stabilność w zakresie wynajmu inwestorom decydującym się na podjęcie ryzyka budowy i zarządzania budynkiem mieszkalnym, co wpływa pozytywnie na realizację proinwestycyjnego celu regulacji.</w:t>
      </w:r>
    </w:p>
    <w:p w:rsidR="0005174A" w:rsidRDefault="0005174A" w:rsidP="0005174A">
      <w:pPr>
        <w:tabs>
          <w:tab w:val="left" w:pos="540"/>
        </w:tabs>
        <w:spacing w:after="240" w:line="240" w:lineRule="exact"/>
        <w:rPr>
          <w:rFonts w:asciiTheme="minorHAnsi" w:hAnsiTheme="minorHAnsi" w:cs="Arial"/>
          <w:sz w:val="22"/>
          <w:szCs w:val="22"/>
        </w:rPr>
      </w:pPr>
      <w:r>
        <w:rPr>
          <w:rFonts w:asciiTheme="minorHAnsi" w:hAnsiTheme="minorHAnsi" w:cs="Arial"/>
          <w:sz w:val="22"/>
          <w:szCs w:val="22"/>
        </w:rPr>
        <w:t xml:space="preserve">Zgodnie z </w:t>
      </w:r>
      <w:r w:rsidRPr="000043A7">
        <w:rPr>
          <w:rFonts w:asciiTheme="minorHAnsi" w:hAnsiTheme="minorHAnsi" w:cs="Arial"/>
          <w:b/>
          <w:sz w:val="22"/>
          <w:szCs w:val="22"/>
        </w:rPr>
        <w:t xml:space="preserve">art. </w:t>
      </w:r>
      <w:r w:rsidR="007B06D7">
        <w:rPr>
          <w:rFonts w:asciiTheme="minorHAnsi" w:hAnsiTheme="minorHAnsi" w:cs="Arial"/>
          <w:b/>
          <w:sz w:val="22"/>
          <w:szCs w:val="22"/>
        </w:rPr>
        <w:t>1</w:t>
      </w:r>
      <w:r w:rsidR="00CC0EF8">
        <w:rPr>
          <w:rFonts w:asciiTheme="minorHAnsi" w:hAnsiTheme="minorHAnsi" w:cs="Arial"/>
          <w:b/>
          <w:sz w:val="22"/>
          <w:szCs w:val="22"/>
        </w:rPr>
        <w:t>8</w:t>
      </w:r>
      <w:r>
        <w:rPr>
          <w:rFonts w:asciiTheme="minorHAnsi" w:hAnsiTheme="minorHAnsi" w:cs="Arial"/>
          <w:sz w:val="22"/>
          <w:szCs w:val="22"/>
        </w:rPr>
        <w:t xml:space="preserve"> </w:t>
      </w:r>
      <w:r w:rsidR="007B06D7">
        <w:rPr>
          <w:rFonts w:asciiTheme="minorHAnsi" w:hAnsiTheme="minorHAnsi" w:cs="Arial"/>
          <w:sz w:val="22"/>
          <w:szCs w:val="22"/>
        </w:rPr>
        <w:t>organ</w:t>
      </w:r>
      <w:r>
        <w:rPr>
          <w:rFonts w:asciiTheme="minorHAnsi" w:hAnsiTheme="minorHAnsi" w:cs="Arial"/>
          <w:sz w:val="22"/>
          <w:szCs w:val="22"/>
        </w:rPr>
        <w:t xml:space="preserve"> dokonuje weryfikacji dochodów (i </w:t>
      </w:r>
      <w:r w:rsidRPr="00043168">
        <w:rPr>
          <w:rFonts w:asciiTheme="minorHAnsi" w:hAnsiTheme="minorHAnsi" w:cs="Arial"/>
          <w:i/>
          <w:sz w:val="22"/>
          <w:szCs w:val="22"/>
        </w:rPr>
        <w:t>de facto</w:t>
      </w:r>
      <w:r>
        <w:rPr>
          <w:rFonts w:asciiTheme="minorHAnsi" w:hAnsiTheme="minorHAnsi" w:cs="Arial"/>
          <w:sz w:val="22"/>
          <w:szCs w:val="22"/>
        </w:rPr>
        <w:t xml:space="preserve"> także podstawy obliczenia wysokości dopłaty w zakresie powierzchni normatywnej) również na wniosek najemcy </w:t>
      </w:r>
      <w:r w:rsidR="00A62723">
        <w:rPr>
          <w:rFonts w:asciiTheme="minorHAnsi" w:hAnsiTheme="minorHAnsi" w:cs="Arial"/>
          <w:sz w:val="22"/>
          <w:szCs w:val="22"/>
        </w:rPr>
        <w:t xml:space="preserve">(w przypadku małżonków jako najemców osoby, która wcześniej złożyła wniosek o dopłaty) </w:t>
      </w:r>
      <w:r>
        <w:rPr>
          <w:rFonts w:asciiTheme="minorHAnsi" w:hAnsiTheme="minorHAnsi" w:cs="Arial"/>
          <w:sz w:val="22"/>
          <w:szCs w:val="22"/>
        </w:rPr>
        <w:t xml:space="preserve">złożony w przypadku </w:t>
      </w:r>
      <w:r w:rsidRPr="00043168">
        <w:rPr>
          <w:rFonts w:asciiTheme="minorHAnsi" w:hAnsiTheme="minorHAnsi" w:cs="Arial"/>
          <w:sz w:val="22"/>
          <w:szCs w:val="22"/>
        </w:rPr>
        <w:t>zmiany liczby osób wchodzących w skład gospodarstwa</w:t>
      </w:r>
      <w:r w:rsidR="008F1D24">
        <w:rPr>
          <w:rFonts w:asciiTheme="minorHAnsi" w:hAnsiTheme="minorHAnsi" w:cs="Arial"/>
          <w:sz w:val="22"/>
          <w:szCs w:val="22"/>
        </w:rPr>
        <w:t xml:space="preserve"> w związku z urodzeniem lub przysposobieniem dziecka lub dzieci</w:t>
      </w:r>
      <w:r>
        <w:rPr>
          <w:rFonts w:asciiTheme="minorHAnsi" w:hAnsiTheme="minorHAnsi" w:cs="Arial"/>
          <w:sz w:val="22"/>
          <w:szCs w:val="22"/>
        </w:rPr>
        <w:t>.</w:t>
      </w:r>
      <w:r w:rsidR="008F1D24">
        <w:rPr>
          <w:rFonts w:asciiTheme="minorHAnsi" w:hAnsiTheme="minorHAnsi" w:cs="Arial"/>
          <w:sz w:val="22"/>
          <w:szCs w:val="22"/>
        </w:rPr>
        <w:t xml:space="preserve"> Jest to rozwiązanie o charakterze prorodzinnym</w:t>
      </w:r>
      <w:r w:rsidR="001733B6">
        <w:rPr>
          <w:rFonts w:asciiTheme="minorHAnsi" w:hAnsiTheme="minorHAnsi" w:cs="Arial"/>
          <w:sz w:val="22"/>
          <w:szCs w:val="22"/>
        </w:rPr>
        <w:t>, wprowadzające szczególne warunki dla osób, które zdecydowały się na powiększenie rodziny</w:t>
      </w:r>
      <w:r w:rsidR="008F1D24">
        <w:rPr>
          <w:rFonts w:asciiTheme="minorHAnsi" w:hAnsiTheme="minorHAnsi" w:cs="Arial"/>
          <w:sz w:val="22"/>
          <w:szCs w:val="22"/>
        </w:rPr>
        <w:t>.</w:t>
      </w:r>
      <w:r w:rsidR="007B06D7">
        <w:rPr>
          <w:rFonts w:asciiTheme="minorHAnsi" w:hAnsiTheme="minorHAnsi" w:cs="Arial"/>
          <w:sz w:val="22"/>
          <w:szCs w:val="22"/>
        </w:rPr>
        <w:t xml:space="preserve"> </w:t>
      </w:r>
      <w:r w:rsidR="00A62723">
        <w:rPr>
          <w:rFonts w:asciiTheme="minorHAnsi" w:hAnsiTheme="minorHAnsi" w:cs="Arial"/>
          <w:sz w:val="22"/>
          <w:szCs w:val="22"/>
        </w:rPr>
        <w:t>Zmiana liczby członków gospodarstwa domowego m</w:t>
      </w:r>
      <w:r>
        <w:rPr>
          <w:rFonts w:asciiTheme="minorHAnsi" w:hAnsiTheme="minorHAnsi" w:cs="Arial"/>
          <w:sz w:val="22"/>
          <w:szCs w:val="22"/>
        </w:rPr>
        <w:t>oże</w:t>
      </w:r>
      <w:r w:rsidR="007B06D7">
        <w:rPr>
          <w:rFonts w:asciiTheme="minorHAnsi" w:hAnsiTheme="minorHAnsi" w:cs="Arial"/>
          <w:sz w:val="22"/>
          <w:szCs w:val="22"/>
        </w:rPr>
        <w:t xml:space="preserve"> </w:t>
      </w:r>
      <w:r>
        <w:rPr>
          <w:rFonts w:asciiTheme="minorHAnsi" w:hAnsiTheme="minorHAnsi" w:cs="Arial"/>
          <w:sz w:val="22"/>
          <w:szCs w:val="22"/>
        </w:rPr>
        <w:t>bowiem spowodować zwiększenie powierzchni przyjmowanej do obliczenia wysokości dopłaty, a tym samym zwiększeni</w:t>
      </w:r>
      <w:r w:rsidR="001733B6">
        <w:rPr>
          <w:rFonts w:asciiTheme="minorHAnsi" w:hAnsiTheme="minorHAnsi" w:cs="Arial"/>
          <w:sz w:val="22"/>
          <w:szCs w:val="22"/>
        </w:rPr>
        <w:t>e</w:t>
      </w:r>
      <w:r>
        <w:rPr>
          <w:rFonts w:asciiTheme="minorHAnsi" w:hAnsiTheme="minorHAnsi" w:cs="Arial"/>
          <w:sz w:val="22"/>
          <w:szCs w:val="22"/>
        </w:rPr>
        <w:t xml:space="preserve"> wysokości samej dopłaty. Taki wniosek nie może być jednak złożony </w:t>
      </w:r>
      <w:r w:rsidRPr="00043168">
        <w:rPr>
          <w:rFonts w:asciiTheme="minorHAnsi" w:hAnsiTheme="minorHAnsi" w:cs="Arial"/>
          <w:sz w:val="22"/>
          <w:szCs w:val="22"/>
        </w:rPr>
        <w:t>wcześniej niż po upływie 12 miesięcy od dnia złożenia poprzedniego wniosku o dokonanie weryfikacji lub wniosku o dopłaty</w:t>
      </w:r>
      <w:r>
        <w:rPr>
          <w:rFonts w:asciiTheme="minorHAnsi" w:hAnsiTheme="minorHAnsi" w:cs="Arial"/>
          <w:sz w:val="22"/>
          <w:szCs w:val="22"/>
        </w:rPr>
        <w:t>.</w:t>
      </w:r>
    </w:p>
    <w:p w:rsidR="001634A4" w:rsidRDefault="0005174A" w:rsidP="0005174A">
      <w:pPr>
        <w:tabs>
          <w:tab w:val="left" w:pos="540"/>
        </w:tabs>
        <w:spacing w:after="240" w:line="240" w:lineRule="exact"/>
        <w:rPr>
          <w:rFonts w:asciiTheme="minorHAnsi" w:hAnsiTheme="minorHAnsi" w:cs="Arial"/>
          <w:sz w:val="22"/>
          <w:szCs w:val="22"/>
        </w:rPr>
      </w:pPr>
      <w:r>
        <w:rPr>
          <w:rFonts w:asciiTheme="minorHAnsi" w:hAnsiTheme="minorHAnsi" w:cs="Arial"/>
          <w:sz w:val="22"/>
          <w:szCs w:val="22"/>
        </w:rPr>
        <w:t xml:space="preserve">W </w:t>
      </w:r>
      <w:r>
        <w:rPr>
          <w:rFonts w:asciiTheme="minorHAnsi" w:hAnsiTheme="minorHAnsi" w:cs="Arial"/>
          <w:b/>
          <w:sz w:val="22"/>
          <w:szCs w:val="22"/>
        </w:rPr>
        <w:t>art. 1</w:t>
      </w:r>
      <w:r w:rsidR="005A2C9E">
        <w:rPr>
          <w:rFonts w:asciiTheme="minorHAnsi" w:hAnsiTheme="minorHAnsi" w:cs="Arial"/>
          <w:b/>
          <w:sz w:val="22"/>
          <w:szCs w:val="22"/>
        </w:rPr>
        <w:t>9</w:t>
      </w:r>
      <w:r>
        <w:rPr>
          <w:rFonts w:asciiTheme="minorHAnsi" w:hAnsiTheme="minorHAnsi" w:cs="Arial"/>
          <w:sz w:val="22"/>
          <w:szCs w:val="22"/>
        </w:rPr>
        <w:t xml:space="preserve"> uregulowano obowiązek zwrotu przez najemcę dopłat w przypadku niespełnienia przez niego lub innego członka gospodarstwa domowego warunku wynikającego z ograniczeń majątko</w:t>
      </w:r>
      <w:r w:rsidR="00BE1AAA">
        <w:rPr>
          <w:rFonts w:asciiTheme="minorHAnsi" w:hAnsiTheme="minorHAnsi" w:cs="Arial"/>
          <w:sz w:val="22"/>
          <w:szCs w:val="22"/>
        </w:rPr>
        <w:t xml:space="preserve">wych. </w:t>
      </w:r>
      <w:r w:rsidR="005B5623">
        <w:rPr>
          <w:rFonts w:asciiTheme="minorHAnsi" w:hAnsiTheme="minorHAnsi" w:cs="Arial"/>
          <w:sz w:val="22"/>
          <w:szCs w:val="22"/>
        </w:rPr>
        <w:br/>
      </w:r>
      <w:r>
        <w:rPr>
          <w:rFonts w:asciiTheme="minorHAnsi" w:hAnsiTheme="minorHAnsi" w:cs="Arial"/>
          <w:sz w:val="22"/>
          <w:szCs w:val="22"/>
        </w:rPr>
        <w:t>W takim przypadku n</w:t>
      </w:r>
      <w:r w:rsidRPr="00861D23">
        <w:rPr>
          <w:rFonts w:asciiTheme="minorHAnsi" w:hAnsiTheme="minorHAnsi" w:cs="Arial"/>
          <w:sz w:val="22"/>
          <w:szCs w:val="22"/>
        </w:rPr>
        <w:t xml:space="preserve">ajemca </w:t>
      </w:r>
      <w:r>
        <w:rPr>
          <w:rFonts w:asciiTheme="minorHAnsi" w:hAnsiTheme="minorHAnsi" w:cs="Arial"/>
          <w:sz w:val="22"/>
          <w:szCs w:val="22"/>
        </w:rPr>
        <w:t>zobowiązany jest poinformować</w:t>
      </w:r>
      <w:r w:rsidRPr="00861D23">
        <w:rPr>
          <w:rFonts w:asciiTheme="minorHAnsi" w:hAnsiTheme="minorHAnsi" w:cs="Arial"/>
          <w:sz w:val="22"/>
          <w:szCs w:val="22"/>
        </w:rPr>
        <w:t xml:space="preserve"> w formie pisemnej </w:t>
      </w:r>
      <w:r w:rsidR="006103BA">
        <w:rPr>
          <w:rFonts w:asciiTheme="minorHAnsi" w:hAnsiTheme="minorHAnsi" w:cs="Arial"/>
          <w:sz w:val="22"/>
          <w:szCs w:val="22"/>
        </w:rPr>
        <w:t>organ właściwy</w:t>
      </w:r>
      <w:r w:rsidRPr="00861D23">
        <w:rPr>
          <w:rFonts w:asciiTheme="minorHAnsi" w:hAnsiTheme="minorHAnsi" w:cs="Arial"/>
          <w:sz w:val="22"/>
          <w:szCs w:val="22"/>
        </w:rPr>
        <w:t xml:space="preserve"> o dokonaniu czynności prawnej skutkującej niespełnianiem </w:t>
      </w:r>
      <w:r>
        <w:rPr>
          <w:rFonts w:asciiTheme="minorHAnsi" w:hAnsiTheme="minorHAnsi" w:cs="Arial"/>
          <w:sz w:val="22"/>
          <w:szCs w:val="22"/>
        </w:rPr>
        <w:t>warunku</w:t>
      </w:r>
      <w:r w:rsidRPr="00861D23">
        <w:rPr>
          <w:rFonts w:asciiTheme="minorHAnsi" w:hAnsiTheme="minorHAnsi" w:cs="Arial"/>
          <w:sz w:val="22"/>
          <w:szCs w:val="22"/>
        </w:rPr>
        <w:t xml:space="preserve"> w terminie 30 dni od dnia dokonania tej czynności.</w:t>
      </w:r>
      <w:r>
        <w:rPr>
          <w:rFonts w:asciiTheme="minorHAnsi" w:hAnsiTheme="minorHAnsi" w:cs="Arial"/>
          <w:sz w:val="22"/>
          <w:szCs w:val="22"/>
        </w:rPr>
        <w:t xml:space="preserve"> Skutkuje to wydaniem decyzji w </w:t>
      </w:r>
      <w:r w:rsidRPr="00861D23">
        <w:rPr>
          <w:rFonts w:asciiTheme="minorHAnsi" w:hAnsiTheme="minorHAnsi" w:cs="Arial"/>
          <w:sz w:val="22"/>
          <w:szCs w:val="22"/>
        </w:rPr>
        <w:t xml:space="preserve">sprawie </w:t>
      </w:r>
      <w:r w:rsidR="00FB0657">
        <w:rPr>
          <w:rFonts w:asciiTheme="minorHAnsi" w:hAnsiTheme="minorHAnsi" w:cs="Arial"/>
          <w:sz w:val="22"/>
          <w:szCs w:val="22"/>
        </w:rPr>
        <w:t>pozbawienia prawa do</w:t>
      </w:r>
      <w:r w:rsidRPr="00861D23">
        <w:rPr>
          <w:rFonts w:asciiTheme="minorHAnsi" w:hAnsiTheme="minorHAnsi" w:cs="Arial"/>
          <w:sz w:val="22"/>
          <w:szCs w:val="22"/>
        </w:rPr>
        <w:t xml:space="preserve"> dopłat</w:t>
      </w:r>
      <w:r>
        <w:rPr>
          <w:rFonts w:asciiTheme="minorHAnsi" w:hAnsiTheme="minorHAnsi" w:cs="Arial"/>
          <w:sz w:val="22"/>
          <w:szCs w:val="22"/>
        </w:rPr>
        <w:t>. Jeżeli najemca nie dopełni tego obowiązku</w:t>
      </w:r>
      <w:r w:rsidR="001634A4">
        <w:rPr>
          <w:rFonts w:asciiTheme="minorHAnsi" w:hAnsiTheme="minorHAnsi" w:cs="Arial"/>
          <w:sz w:val="22"/>
          <w:szCs w:val="22"/>
        </w:rPr>
        <w:t xml:space="preserve"> w terminie</w:t>
      </w:r>
      <w:r>
        <w:rPr>
          <w:rFonts w:asciiTheme="minorHAnsi" w:hAnsiTheme="minorHAnsi" w:cs="Arial"/>
          <w:sz w:val="22"/>
          <w:szCs w:val="22"/>
        </w:rPr>
        <w:t xml:space="preserve">, </w:t>
      </w:r>
      <w:r w:rsidRPr="00861D23">
        <w:rPr>
          <w:rFonts w:asciiTheme="minorHAnsi" w:hAnsiTheme="minorHAnsi" w:cs="Arial"/>
          <w:sz w:val="22"/>
          <w:szCs w:val="22"/>
        </w:rPr>
        <w:t xml:space="preserve">zobowiązany </w:t>
      </w:r>
      <w:r>
        <w:rPr>
          <w:rFonts w:asciiTheme="minorHAnsi" w:hAnsiTheme="minorHAnsi" w:cs="Arial"/>
          <w:sz w:val="22"/>
          <w:szCs w:val="22"/>
        </w:rPr>
        <w:t xml:space="preserve">jest </w:t>
      </w:r>
      <w:r w:rsidRPr="00861D23">
        <w:rPr>
          <w:rFonts w:asciiTheme="minorHAnsi" w:hAnsiTheme="minorHAnsi" w:cs="Arial"/>
          <w:sz w:val="22"/>
          <w:szCs w:val="22"/>
        </w:rPr>
        <w:t xml:space="preserve">do niezwłocznego zwrotu na rachunek </w:t>
      </w:r>
      <w:r w:rsidR="001634A4">
        <w:rPr>
          <w:rFonts w:asciiTheme="minorHAnsi" w:hAnsiTheme="minorHAnsi" w:cs="Arial"/>
          <w:sz w:val="22"/>
          <w:szCs w:val="22"/>
        </w:rPr>
        <w:t>gminy</w:t>
      </w:r>
      <w:r w:rsidRPr="00861D23">
        <w:rPr>
          <w:rFonts w:asciiTheme="minorHAnsi" w:hAnsiTheme="minorHAnsi" w:cs="Arial"/>
          <w:sz w:val="22"/>
          <w:szCs w:val="22"/>
        </w:rPr>
        <w:t xml:space="preserve"> dopłat wraz z odsetkami ustawowymi, uzyskanych w okresie od dnia dokonania czynności do dnia</w:t>
      </w:r>
      <w:r w:rsidR="006103BA">
        <w:rPr>
          <w:rFonts w:asciiTheme="minorHAnsi" w:hAnsiTheme="minorHAnsi" w:cs="Arial"/>
          <w:sz w:val="22"/>
          <w:szCs w:val="22"/>
        </w:rPr>
        <w:t xml:space="preserve">, </w:t>
      </w:r>
      <w:r w:rsidR="005B5623">
        <w:rPr>
          <w:rFonts w:asciiTheme="minorHAnsi" w:hAnsiTheme="minorHAnsi" w:cs="Arial"/>
          <w:sz w:val="22"/>
          <w:szCs w:val="22"/>
        </w:rPr>
        <w:br/>
      </w:r>
      <w:r w:rsidR="006103BA">
        <w:rPr>
          <w:rFonts w:asciiTheme="minorHAnsi" w:hAnsiTheme="minorHAnsi" w:cs="Arial"/>
          <w:sz w:val="22"/>
          <w:szCs w:val="22"/>
        </w:rPr>
        <w:t xml:space="preserve">w którym </w:t>
      </w:r>
      <w:r w:rsidRPr="00861D23">
        <w:rPr>
          <w:rFonts w:asciiTheme="minorHAnsi" w:hAnsiTheme="minorHAnsi" w:cs="Arial"/>
          <w:sz w:val="22"/>
          <w:szCs w:val="22"/>
        </w:rPr>
        <w:t>decyzj</w:t>
      </w:r>
      <w:r w:rsidR="006103BA">
        <w:rPr>
          <w:rFonts w:asciiTheme="minorHAnsi" w:hAnsiTheme="minorHAnsi" w:cs="Arial"/>
          <w:sz w:val="22"/>
          <w:szCs w:val="22"/>
        </w:rPr>
        <w:t>a</w:t>
      </w:r>
      <w:r w:rsidRPr="00861D23">
        <w:rPr>
          <w:rFonts w:asciiTheme="minorHAnsi" w:hAnsiTheme="minorHAnsi" w:cs="Arial"/>
          <w:sz w:val="22"/>
          <w:szCs w:val="22"/>
        </w:rPr>
        <w:t xml:space="preserve"> w sprawie zwrotu dopłat</w:t>
      </w:r>
      <w:r>
        <w:rPr>
          <w:rFonts w:asciiTheme="minorHAnsi" w:hAnsiTheme="minorHAnsi" w:cs="Arial"/>
          <w:sz w:val="22"/>
          <w:szCs w:val="22"/>
        </w:rPr>
        <w:t xml:space="preserve"> </w:t>
      </w:r>
      <w:r w:rsidR="006103BA">
        <w:rPr>
          <w:rFonts w:asciiTheme="minorHAnsi" w:hAnsiTheme="minorHAnsi" w:cs="Arial"/>
          <w:sz w:val="22"/>
          <w:szCs w:val="22"/>
        </w:rPr>
        <w:t xml:space="preserve">stała się wykonalna </w:t>
      </w:r>
      <w:r>
        <w:rPr>
          <w:rFonts w:asciiTheme="minorHAnsi" w:hAnsiTheme="minorHAnsi" w:cs="Arial"/>
          <w:sz w:val="22"/>
          <w:szCs w:val="22"/>
        </w:rPr>
        <w:t xml:space="preserve">(obowiązek zwrotu nałożono na najemcę, ponieważ to on </w:t>
      </w:r>
      <w:r w:rsidRPr="00D42A43">
        <w:rPr>
          <w:rFonts w:asciiTheme="minorHAnsi" w:hAnsiTheme="minorHAnsi" w:cs="Arial"/>
          <w:i/>
          <w:sz w:val="22"/>
          <w:szCs w:val="22"/>
        </w:rPr>
        <w:t>de facto</w:t>
      </w:r>
      <w:r>
        <w:rPr>
          <w:rFonts w:asciiTheme="minorHAnsi" w:hAnsiTheme="minorHAnsi" w:cs="Arial"/>
          <w:sz w:val="22"/>
          <w:szCs w:val="22"/>
        </w:rPr>
        <w:t xml:space="preserve"> korzysta z preferencji wynikającej z instrumentu, tj. płaci czynsz</w:t>
      </w:r>
      <w:r w:rsidR="00BE1AAA">
        <w:rPr>
          <w:rFonts w:asciiTheme="minorHAnsi" w:hAnsiTheme="minorHAnsi" w:cs="Arial"/>
          <w:sz w:val="22"/>
          <w:szCs w:val="22"/>
        </w:rPr>
        <w:t xml:space="preserve"> </w:t>
      </w:r>
      <w:r w:rsidR="005B5623">
        <w:rPr>
          <w:rFonts w:asciiTheme="minorHAnsi" w:hAnsiTheme="minorHAnsi" w:cs="Arial"/>
          <w:sz w:val="22"/>
          <w:szCs w:val="22"/>
        </w:rPr>
        <w:br/>
      </w:r>
      <w:r>
        <w:rPr>
          <w:rFonts w:asciiTheme="minorHAnsi" w:hAnsiTheme="minorHAnsi" w:cs="Arial"/>
          <w:sz w:val="22"/>
          <w:szCs w:val="22"/>
        </w:rPr>
        <w:t>w wysokości niższej niż rynkowa).</w:t>
      </w:r>
    </w:p>
    <w:p w:rsidR="0005174A" w:rsidRDefault="00314D64" w:rsidP="0005174A">
      <w:pPr>
        <w:tabs>
          <w:tab w:val="left" w:pos="540"/>
        </w:tabs>
        <w:spacing w:after="240" w:line="240" w:lineRule="exact"/>
        <w:rPr>
          <w:rFonts w:asciiTheme="minorHAnsi" w:hAnsiTheme="minorHAnsi" w:cs="Arial"/>
          <w:sz w:val="22"/>
          <w:szCs w:val="22"/>
        </w:rPr>
      </w:pPr>
      <w:r w:rsidRPr="00314D64">
        <w:rPr>
          <w:rFonts w:asciiTheme="minorHAnsi" w:hAnsiTheme="minorHAnsi" w:cs="Arial"/>
          <w:b/>
          <w:sz w:val="22"/>
          <w:szCs w:val="22"/>
        </w:rPr>
        <w:t>Art. 20</w:t>
      </w:r>
      <w:r>
        <w:rPr>
          <w:rFonts w:asciiTheme="minorHAnsi" w:hAnsiTheme="minorHAnsi" w:cs="Arial"/>
          <w:sz w:val="22"/>
          <w:szCs w:val="22"/>
        </w:rPr>
        <w:t xml:space="preserve"> reguluje warunki stosowania dopłat w przypadku śmierci najemcy uzyskującego dopłaty.</w:t>
      </w:r>
      <w:r w:rsidR="0005174A">
        <w:rPr>
          <w:rFonts w:asciiTheme="minorHAnsi" w:hAnsiTheme="minorHAnsi" w:cs="Arial"/>
          <w:sz w:val="22"/>
          <w:szCs w:val="22"/>
        </w:rPr>
        <w:t xml:space="preserve"> </w:t>
      </w:r>
      <w:r w:rsidR="005B5623">
        <w:rPr>
          <w:rFonts w:asciiTheme="minorHAnsi" w:hAnsiTheme="minorHAnsi" w:cs="Arial"/>
          <w:sz w:val="22"/>
          <w:szCs w:val="22"/>
        </w:rPr>
        <w:br/>
      </w:r>
      <w:r w:rsidR="00752BA7">
        <w:rPr>
          <w:rFonts w:asciiTheme="minorHAnsi" w:hAnsiTheme="minorHAnsi" w:cs="Arial"/>
          <w:sz w:val="22"/>
          <w:szCs w:val="22"/>
        </w:rPr>
        <w:t xml:space="preserve">W ocenie projektodawcy istotne jest w takim przypadku zagwarantowanie, by osoby zamieszkujące wspólnie z najemcą do chwili jego śmierci nie utraciły w tak trudnym życiowo momencie możliwości utrzymania mieszkania ze wsparciem w postaci dopłat. </w:t>
      </w:r>
      <w:r w:rsidR="00CD3E24">
        <w:rPr>
          <w:rFonts w:asciiTheme="minorHAnsi" w:hAnsiTheme="minorHAnsi" w:cs="Arial"/>
          <w:sz w:val="22"/>
          <w:szCs w:val="22"/>
        </w:rPr>
        <w:t xml:space="preserve">W związku z powyższym w projekcie przesądzono, że o dopłaty może się wówczas ubiegać osoba, która wstąpiła w stosunek najmu mieszkania </w:t>
      </w:r>
      <w:r w:rsidR="005B5623">
        <w:rPr>
          <w:rFonts w:asciiTheme="minorHAnsi" w:hAnsiTheme="minorHAnsi" w:cs="Arial"/>
          <w:sz w:val="22"/>
          <w:szCs w:val="22"/>
        </w:rPr>
        <w:br/>
      </w:r>
      <w:r w:rsidR="00CD3E24">
        <w:rPr>
          <w:rFonts w:asciiTheme="minorHAnsi" w:hAnsiTheme="minorHAnsi" w:cs="Arial"/>
          <w:sz w:val="22"/>
          <w:szCs w:val="22"/>
        </w:rPr>
        <w:t xml:space="preserve">(w przypadku kilku uprawnionych </w:t>
      </w:r>
      <w:r w:rsidR="001C700D">
        <w:rPr>
          <w:rFonts w:asciiTheme="minorHAnsi" w:hAnsiTheme="minorHAnsi" w:cs="Arial"/>
          <w:sz w:val="22"/>
          <w:szCs w:val="22"/>
        </w:rPr>
        <w:t xml:space="preserve">wprowadzono warunek, że </w:t>
      </w:r>
      <w:r w:rsidR="00CD3E24">
        <w:rPr>
          <w:rFonts w:asciiTheme="minorHAnsi" w:hAnsiTheme="minorHAnsi" w:cs="Arial"/>
          <w:sz w:val="22"/>
          <w:szCs w:val="22"/>
        </w:rPr>
        <w:t xml:space="preserve">pozostałe osoby zrezygnują z najmu tego mieszkania). W sytuacji braku osób uprawnionych do wstąpienia w stosunek najmu, o dopłaty może natomiast ubiegać się osoba, która </w:t>
      </w:r>
      <w:r w:rsidR="0068443D">
        <w:rPr>
          <w:rFonts w:asciiTheme="minorHAnsi" w:hAnsiTheme="minorHAnsi" w:cs="Arial"/>
          <w:sz w:val="22"/>
          <w:szCs w:val="22"/>
        </w:rPr>
        <w:t xml:space="preserve">zawarła umowę najmu tego mieszkania, a zamieszkiwała ze zmarłym najemcą do chwili jego śmierci (pomiędzy umową najmu zawartą przez zmarłego najemcę </w:t>
      </w:r>
      <w:r w:rsidR="005B5623">
        <w:rPr>
          <w:rFonts w:asciiTheme="minorHAnsi" w:hAnsiTheme="minorHAnsi" w:cs="Arial"/>
          <w:sz w:val="22"/>
          <w:szCs w:val="22"/>
        </w:rPr>
        <w:br/>
      </w:r>
      <w:r w:rsidR="0068443D">
        <w:rPr>
          <w:rFonts w:asciiTheme="minorHAnsi" w:hAnsiTheme="minorHAnsi" w:cs="Arial"/>
          <w:sz w:val="22"/>
          <w:szCs w:val="22"/>
        </w:rPr>
        <w:t xml:space="preserve">a umową najmu zawartą przez tę osobę nie może być zawarta żadna inna umowa najmu tego mieszkania). Warto podkreślić, że w drugim omawianym przypadku o dopłaty można ubiegać się mimo, że </w:t>
      </w:r>
      <w:r w:rsidR="0068443D" w:rsidRPr="0068443D">
        <w:rPr>
          <w:rFonts w:asciiTheme="minorHAnsi" w:hAnsiTheme="minorHAnsi" w:cs="Arial"/>
          <w:i/>
          <w:sz w:val="22"/>
          <w:szCs w:val="22"/>
        </w:rPr>
        <w:t>de facto</w:t>
      </w:r>
      <w:r w:rsidR="0068443D">
        <w:rPr>
          <w:rFonts w:asciiTheme="minorHAnsi" w:hAnsiTheme="minorHAnsi" w:cs="Arial"/>
          <w:sz w:val="22"/>
          <w:szCs w:val="22"/>
        </w:rPr>
        <w:t xml:space="preserve"> niespełniony zostanie warunek pierwszego zasiedlenia.</w:t>
      </w:r>
    </w:p>
    <w:p w:rsidR="00896AE4" w:rsidRPr="002E6BE9" w:rsidRDefault="00AF51FB" w:rsidP="00730411">
      <w:pPr>
        <w:tabs>
          <w:tab w:val="left" w:pos="540"/>
        </w:tabs>
        <w:spacing w:after="240" w:line="240" w:lineRule="exact"/>
        <w:rPr>
          <w:rFonts w:asciiTheme="minorHAnsi" w:hAnsiTheme="minorHAnsi" w:cs="Arial"/>
          <w:sz w:val="22"/>
          <w:szCs w:val="22"/>
          <w:highlight w:val="yellow"/>
        </w:rPr>
      </w:pPr>
      <w:r>
        <w:rPr>
          <w:rFonts w:asciiTheme="minorHAnsi" w:hAnsiTheme="minorHAnsi" w:cs="Arial"/>
          <w:sz w:val="22"/>
          <w:szCs w:val="22"/>
        </w:rPr>
        <w:t xml:space="preserve">W każdym z przypadków sytuacji powstałej po śmierci najemcy, regulowanej przedmiotowymi przepisami, okres dopłat stosowanych wobec kolejnej osoby ubiegającej się o dopłaty w związku z najmem mieszkania używanego wcześniej przez zmarłego najemcę pomniejsza się o liczbę miesięcy stosowania dopłat wobec zmarłego najemcy (przy uwzględnieniu ewentualnych konsekwencji wynikających </w:t>
      </w:r>
      <w:r w:rsidR="005B5623">
        <w:rPr>
          <w:rFonts w:asciiTheme="minorHAnsi" w:hAnsiTheme="minorHAnsi" w:cs="Arial"/>
          <w:sz w:val="22"/>
          <w:szCs w:val="22"/>
        </w:rPr>
        <w:br/>
      </w:r>
      <w:r>
        <w:rPr>
          <w:rFonts w:asciiTheme="minorHAnsi" w:hAnsiTheme="minorHAnsi" w:cs="Arial"/>
          <w:sz w:val="22"/>
          <w:szCs w:val="22"/>
        </w:rPr>
        <w:t>z art. 10 ust. 3 i 4 projektu).</w:t>
      </w:r>
    </w:p>
    <w:p w:rsidR="00896AE4" w:rsidRPr="00AE1163" w:rsidRDefault="00AE1163" w:rsidP="00730411">
      <w:pPr>
        <w:pStyle w:val="Akapitzlist"/>
        <w:numPr>
          <w:ilvl w:val="0"/>
          <w:numId w:val="1"/>
        </w:numPr>
        <w:tabs>
          <w:tab w:val="left" w:pos="540"/>
        </w:tabs>
        <w:spacing w:after="240" w:line="240" w:lineRule="exact"/>
        <w:contextualSpacing w:val="0"/>
        <w:rPr>
          <w:rFonts w:asciiTheme="minorHAnsi" w:hAnsiTheme="minorHAnsi" w:cs="Arial"/>
          <w:b/>
          <w:sz w:val="22"/>
          <w:szCs w:val="22"/>
        </w:rPr>
      </w:pPr>
      <w:r w:rsidRPr="00AE1163">
        <w:rPr>
          <w:rFonts w:asciiTheme="minorHAnsi" w:hAnsiTheme="minorHAnsi" w:cs="Arial"/>
          <w:b/>
          <w:sz w:val="22"/>
          <w:szCs w:val="22"/>
        </w:rPr>
        <w:t>Zasady wypłacania dopłat</w:t>
      </w:r>
    </w:p>
    <w:p w:rsidR="00896AE4" w:rsidRDefault="00846D55" w:rsidP="00730411">
      <w:pPr>
        <w:tabs>
          <w:tab w:val="left" w:pos="540"/>
        </w:tabs>
        <w:spacing w:after="240" w:line="240" w:lineRule="exact"/>
        <w:rPr>
          <w:rFonts w:asciiTheme="minorHAnsi" w:hAnsiTheme="minorHAnsi" w:cs="Arial"/>
          <w:sz w:val="22"/>
          <w:szCs w:val="22"/>
        </w:rPr>
      </w:pPr>
      <w:r w:rsidRPr="008D008B">
        <w:rPr>
          <w:rFonts w:asciiTheme="minorHAnsi" w:hAnsiTheme="minorHAnsi" w:cs="Arial"/>
          <w:sz w:val="22"/>
          <w:szCs w:val="22"/>
        </w:rPr>
        <w:t>W rozdziale 4</w:t>
      </w:r>
      <w:r w:rsidR="00481298">
        <w:rPr>
          <w:rFonts w:asciiTheme="minorHAnsi" w:hAnsiTheme="minorHAnsi" w:cs="Arial"/>
          <w:sz w:val="22"/>
          <w:szCs w:val="22"/>
        </w:rPr>
        <w:t>.</w:t>
      </w:r>
      <w:r w:rsidRPr="008D008B">
        <w:rPr>
          <w:rFonts w:asciiTheme="minorHAnsi" w:hAnsiTheme="minorHAnsi" w:cs="Arial"/>
          <w:sz w:val="22"/>
          <w:szCs w:val="22"/>
        </w:rPr>
        <w:t xml:space="preserve"> projektu ustawy zawarto przepisy regulujące zasady </w:t>
      </w:r>
      <w:r w:rsidR="00AE1163" w:rsidRPr="008D008B">
        <w:rPr>
          <w:rFonts w:asciiTheme="minorHAnsi" w:hAnsiTheme="minorHAnsi" w:cs="Arial"/>
          <w:sz w:val="22"/>
          <w:szCs w:val="22"/>
        </w:rPr>
        <w:t>wypłacania dopłat</w:t>
      </w:r>
      <w:r w:rsidRPr="008D008B">
        <w:rPr>
          <w:rFonts w:asciiTheme="minorHAnsi" w:hAnsiTheme="minorHAnsi" w:cs="Arial"/>
          <w:sz w:val="22"/>
          <w:szCs w:val="22"/>
        </w:rPr>
        <w:t xml:space="preserve"> (art. </w:t>
      </w:r>
      <w:r w:rsidR="0065093B">
        <w:rPr>
          <w:rFonts w:asciiTheme="minorHAnsi" w:hAnsiTheme="minorHAnsi" w:cs="Arial"/>
          <w:sz w:val="22"/>
          <w:szCs w:val="22"/>
        </w:rPr>
        <w:t>21</w:t>
      </w:r>
      <w:r w:rsidR="00891E06" w:rsidRPr="008D008B">
        <w:rPr>
          <w:rFonts w:asciiTheme="minorHAnsi" w:hAnsiTheme="minorHAnsi" w:cs="Arial"/>
          <w:sz w:val="22"/>
          <w:szCs w:val="22"/>
        </w:rPr>
        <w:t>-2</w:t>
      </w:r>
      <w:r w:rsidR="0065093B">
        <w:rPr>
          <w:rFonts w:asciiTheme="minorHAnsi" w:hAnsiTheme="minorHAnsi" w:cs="Arial"/>
          <w:sz w:val="22"/>
          <w:szCs w:val="22"/>
        </w:rPr>
        <w:t>6</w:t>
      </w:r>
      <w:r w:rsidRPr="008D008B">
        <w:rPr>
          <w:rFonts w:asciiTheme="minorHAnsi" w:hAnsiTheme="minorHAnsi" w:cs="Arial"/>
          <w:sz w:val="22"/>
          <w:szCs w:val="22"/>
        </w:rPr>
        <w:t>). Ich celem jest umożliwienie</w:t>
      </w:r>
      <w:r w:rsidR="007E33B5" w:rsidRPr="008D008B">
        <w:rPr>
          <w:rFonts w:asciiTheme="minorHAnsi" w:hAnsiTheme="minorHAnsi" w:cs="Arial"/>
          <w:sz w:val="22"/>
          <w:szCs w:val="22"/>
        </w:rPr>
        <w:t xml:space="preserve"> efektywnego i zgodnego z </w:t>
      </w:r>
      <w:r w:rsidR="006C13C3" w:rsidRPr="008D008B">
        <w:rPr>
          <w:rFonts w:asciiTheme="minorHAnsi" w:hAnsiTheme="minorHAnsi" w:cs="Arial"/>
          <w:sz w:val="22"/>
          <w:szCs w:val="22"/>
        </w:rPr>
        <w:t>zasadami celowego i oszczędnego dokonywania wydatków stosowania dopłat do czynszu.</w:t>
      </w:r>
    </w:p>
    <w:p w:rsidR="008D008B" w:rsidRDefault="008D008B" w:rsidP="008D008B">
      <w:pPr>
        <w:tabs>
          <w:tab w:val="left" w:pos="540"/>
        </w:tabs>
        <w:spacing w:after="240" w:line="240" w:lineRule="exact"/>
        <w:rPr>
          <w:rFonts w:asciiTheme="minorHAnsi" w:hAnsiTheme="minorHAnsi" w:cs="Arial"/>
          <w:sz w:val="22"/>
          <w:szCs w:val="22"/>
        </w:rPr>
      </w:pPr>
      <w:r>
        <w:rPr>
          <w:rFonts w:asciiTheme="minorHAnsi" w:hAnsiTheme="minorHAnsi" w:cs="Arial"/>
          <w:sz w:val="22"/>
          <w:szCs w:val="22"/>
        </w:rPr>
        <w:t xml:space="preserve">W myśl </w:t>
      </w:r>
      <w:r w:rsidRPr="008D008B">
        <w:rPr>
          <w:rFonts w:asciiTheme="minorHAnsi" w:hAnsiTheme="minorHAnsi" w:cs="Arial"/>
          <w:b/>
          <w:sz w:val="22"/>
          <w:szCs w:val="22"/>
        </w:rPr>
        <w:t xml:space="preserve">art. </w:t>
      </w:r>
      <w:r w:rsidR="0065093B">
        <w:rPr>
          <w:rFonts w:asciiTheme="minorHAnsi" w:hAnsiTheme="minorHAnsi" w:cs="Arial"/>
          <w:b/>
          <w:sz w:val="22"/>
          <w:szCs w:val="22"/>
        </w:rPr>
        <w:t>21</w:t>
      </w:r>
      <w:r>
        <w:rPr>
          <w:rFonts w:asciiTheme="minorHAnsi" w:hAnsiTheme="minorHAnsi" w:cs="Arial"/>
          <w:sz w:val="22"/>
          <w:szCs w:val="22"/>
        </w:rPr>
        <w:t xml:space="preserve"> </w:t>
      </w:r>
      <w:r w:rsidR="00904100">
        <w:rPr>
          <w:rFonts w:asciiTheme="minorHAnsi" w:hAnsiTheme="minorHAnsi" w:cs="Arial"/>
          <w:sz w:val="22"/>
          <w:szCs w:val="22"/>
        </w:rPr>
        <w:t xml:space="preserve">środki przeznaczone na dopłaty są wypłacane </w:t>
      </w:r>
      <w:r w:rsidRPr="008D008B">
        <w:rPr>
          <w:rFonts w:asciiTheme="minorHAnsi" w:hAnsiTheme="minorHAnsi" w:cs="Arial"/>
          <w:sz w:val="22"/>
          <w:szCs w:val="22"/>
        </w:rPr>
        <w:t>ze środków Funduszu Dopłat</w:t>
      </w:r>
      <w:r w:rsidR="00A67E29">
        <w:rPr>
          <w:rFonts w:asciiTheme="minorHAnsi" w:hAnsiTheme="minorHAnsi" w:cs="Arial"/>
          <w:sz w:val="22"/>
          <w:szCs w:val="22"/>
        </w:rPr>
        <w:t>, obsługiwanego przez Bank Gospodarstwa Krajowego,</w:t>
      </w:r>
      <w:r w:rsidRPr="008D008B">
        <w:rPr>
          <w:rFonts w:asciiTheme="minorHAnsi" w:hAnsiTheme="minorHAnsi" w:cs="Arial"/>
          <w:sz w:val="22"/>
          <w:szCs w:val="22"/>
        </w:rPr>
        <w:t xml:space="preserve"> na wniosek </w:t>
      </w:r>
      <w:r w:rsidR="000A26ED">
        <w:rPr>
          <w:rFonts w:asciiTheme="minorHAnsi" w:hAnsiTheme="minorHAnsi" w:cs="Arial"/>
          <w:sz w:val="22"/>
          <w:szCs w:val="22"/>
        </w:rPr>
        <w:t>gminy</w:t>
      </w:r>
      <w:r w:rsidRPr="008D008B">
        <w:rPr>
          <w:rFonts w:asciiTheme="minorHAnsi" w:hAnsiTheme="minorHAnsi" w:cs="Arial"/>
          <w:sz w:val="22"/>
          <w:szCs w:val="22"/>
        </w:rPr>
        <w:t>.</w:t>
      </w:r>
      <w:r w:rsidR="00A67E29">
        <w:rPr>
          <w:rFonts w:asciiTheme="minorHAnsi" w:hAnsiTheme="minorHAnsi" w:cs="Arial"/>
          <w:sz w:val="22"/>
          <w:szCs w:val="22"/>
        </w:rPr>
        <w:t xml:space="preserve"> Z uwagi na doświadczenie BGK nabyte w związku z realizacją innych instrumentów wsparcia mieszkalnictwa za pośrednictwem Funduszu Dopłat, skutkujące choćby wypracowaniem skutecznych procedur, przesądzenie to poz</w:t>
      </w:r>
      <w:r w:rsidR="00A05EFB">
        <w:rPr>
          <w:rFonts w:asciiTheme="minorHAnsi" w:hAnsiTheme="minorHAnsi" w:cs="Arial"/>
          <w:sz w:val="22"/>
          <w:szCs w:val="22"/>
        </w:rPr>
        <w:t>ytywnie wpłynie na efektywność działań w zakresie wypłacania dopłat.</w:t>
      </w:r>
      <w:r w:rsidR="00A67E29">
        <w:rPr>
          <w:rFonts w:asciiTheme="minorHAnsi" w:hAnsiTheme="minorHAnsi" w:cs="Arial"/>
          <w:sz w:val="22"/>
          <w:szCs w:val="22"/>
        </w:rPr>
        <w:t xml:space="preserve"> </w:t>
      </w:r>
    </w:p>
    <w:p w:rsidR="00A05EFB" w:rsidRDefault="000A26ED" w:rsidP="008D008B">
      <w:pPr>
        <w:tabs>
          <w:tab w:val="left" w:pos="540"/>
        </w:tabs>
        <w:spacing w:after="240" w:line="240" w:lineRule="exact"/>
        <w:rPr>
          <w:rFonts w:asciiTheme="minorHAnsi" w:hAnsiTheme="minorHAnsi" w:cs="Arial"/>
          <w:sz w:val="22"/>
          <w:szCs w:val="22"/>
        </w:rPr>
      </w:pPr>
      <w:r>
        <w:rPr>
          <w:rFonts w:asciiTheme="minorHAnsi" w:hAnsiTheme="minorHAnsi" w:cs="Arial"/>
          <w:sz w:val="22"/>
          <w:szCs w:val="22"/>
        </w:rPr>
        <w:t>Gmina</w:t>
      </w:r>
      <w:r w:rsidR="008A1A10">
        <w:rPr>
          <w:rFonts w:asciiTheme="minorHAnsi" w:hAnsiTheme="minorHAnsi" w:cs="Arial"/>
          <w:sz w:val="22"/>
          <w:szCs w:val="22"/>
        </w:rPr>
        <w:t xml:space="preserve"> składa do BGK wniosek o wypłatę dopłat co miesiąc. Wynika to z charakteru wsparcia oraz dopuszczenia możliwości składania przez </w:t>
      </w:r>
      <w:r>
        <w:rPr>
          <w:rFonts w:asciiTheme="minorHAnsi" w:hAnsiTheme="minorHAnsi" w:cs="Arial"/>
          <w:sz w:val="22"/>
          <w:szCs w:val="22"/>
        </w:rPr>
        <w:t xml:space="preserve">najemcę wniosku </w:t>
      </w:r>
      <w:r w:rsidR="008A1A10">
        <w:rPr>
          <w:rFonts w:asciiTheme="minorHAnsi" w:hAnsiTheme="minorHAnsi" w:cs="Arial"/>
          <w:sz w:val="22"/>
          <w:szCs w:val="22"/>
        </w:rPr>
        <w:t xml:space="preserve">o dopłaty w </w:t>
      </w:r>
      <w:r w:rsidR="00BC335D">
        <w:rPr>
          <w:rFonts w:asciiTheme="minorHAnsi" w:hAnsiTheme="minorHAnsi" w:cs="Arial"/>
          <w:sz w:val="22"/>
          <w:szCs w:val="22"/>
        </w:rPr>
        <w:t>dowolnie wybranym</w:t>
      </w:r>
      <w:r w:rsidR="008A1A10">
        <w:rPr>
          <w:rFonts w:asciiTheme="minorHAnsi" w:hAnsiTheme="minorHAnsi" w:cs="Arial"/>
          <w:sz w:val="22"/>
          <w:szCs w:val="22"/>
        </w:rPr>
        <w:t xml:space="preserve"> terminie, </w:t>
      </w:r>
      <w:r w:rsidR="005B5623">
        <w:rPr>
          <w:rFonts w:asciiTheme="minorHAnsi" w:hAnsiTheme="minorHAnsi" w:cs="Arial"/>
          <w:sz w:val="22"/>
          <w:szCs w:val="22"/>
        </w:rPr>
        <w:br/>
      </w:r>
      <w:r w:rsidR="008A1A10">
        <w:rPr>
          <w:rFonts w:asciiTheme="minorHAnsi" w:hAnsiTheme="minorHAnsi" w:cs="Arial"/>
          <w:sz w:val="22"/>
          <w:szCs w:val="22"/>
        </w:rPr>
        <w:t xml:space="preserve">w którym </w:t>
      </w:r>
      <w:r w:rsidR="00BC335D">
        <w:rPr>
          <w:rFonts w:asciiTheme="minorHAnsi" w:hAnsiTheme="minorHAnsi" w:cs="Arial"/>
          <w:sz w:val="22"/>
          <w:szCs w:val="22"/>
        </w:rPr>
        <w:t>spełnia on warunki przewidziane dla beneficjentów dopłat, skutkującej zróżnicowaniem zapotrzebowania w zależności od miesiąca złożenia wniosku o wypłatę dopłat.</w:t>
      </w:r>
      <w:r w:rsidR="00CF3967">
        <w:rPr>
          <w:rFonts w:asciiTheme="minorHAnsi" w:hAnsiTheme="minorHAnsi" w:cs="Arial"/>
          <w:sz w:val="22"/>
          <w:szCs w:val="22"/>
        </w:rPr>
        <w:t xml:space="preserve"> Wspomniany wniosek obejmuje:</w:t>
      </w:r>
    </w:p>
    <w:p w:rsidR="00CF3967" w:rsidRPr="00CF3967" w:rsidRDefault="00E327D8" w:rsidP="006239F7">
      <w:pPr>
        <w:pStyle w:val="Akapitzlist"/>
        <w:numPr>
          <w:ilvl w:val="0"/>
          <w:numId w:val="48"/>
        </w:numPr>
        <w:suppressAutoHyphens/>
        <w:autoSpaceDE w:val="0"/>
        <w:autoSpaceDN w:val="0"/>
        <w:adjustRightInd w:val="0"/>
        <w:spacing w:after="120" w:line="240" w:lineRule="exact"/>
        <w:ind w:left="714" w:hanging="357"/>
        <w:rPr>
          <w:rFonts w:asciiTheme="minorHAnsi" w:hAnsiTheme="minorHAnsi" w:cs="Arial"/>
          <w:sz w:val="22"/>
          <w:szCs w:val="22"/>
        </w:rPr>
      </w:pPr>
      <w:r>
        <w:rPr>
          <w:rFonts w:asciiTheme="minorHAnsi" w:hAnsiTheme="minorHAnsi" w:cs="Arial"/>
          <w:sz w:val="22"/>
          <w:szCs w:val="22"/>
        </w:rPr>
        <w:t>wskazanie</w:t>
      </w:r>
      <w:r w:rsidRPr="00CF3967">
        <w:rPr>
          <w:rFonts w:asciiTheme="minorHAnsi" w:hAnsiTheme="minorHAnsi" w:cs="Arial"/>
          <w:sz w:val="22"/>
          <w:szCs w:val="22"/>
        </w:rPr>
        <w:t xml:space="preserve"> </w:t>
      </w:r>
      <w:r w:rsidR="00CF3967" w:rsidRPr="00CF3967">
        <w:rPr>
          <w:rFonts w:asciiTheme="minorHAnsi" w:hAnsiTheme="minorHAnsi" w:cs="Arial"/>
          <w:sz w:val="22"/>
          <w:szCs w:val="22"/>
        </w:rPr>
        <w:t>osób wchodzących w skład gospodarstw domowych poszczególnych najemców</w:t>
      </w:r>
      <w:r w:rsidR="004D7AFB">
        <w:rPr>
          <w:rFonts w:asciiTheme="minorHAnsi" w:hAnsiTheme="minorHAnsi" w:cs="Arial"/>
          <w:sz w:val="22"/>
          <w:szCs w:val="22"/>
        </w:rPr>
        <w:t>, wobec których mają być stosowane dopłaty</w:t>
      </w:r>
      <w:r w:rsidR="00CF3967" w:rsidRPr="00CF3967">
        <w:rPr>
          <w:rFonts w:asciiTheme="minorHAnsi" w:hAnsiTheme="minorHAnsi" w:cs="Arial"/>
          <w:sz w:val="22"/>
          <w:szCs w:val="22"/>
        </w:rPr>
        <w:t>;</w:t>
      </w:r>
    </w:p>
    <w:p w:rsidR="00CF3967" w:rsidRPr="00CF3967" w:rsidRDefault="00CF3967" w:rsidP="006239F7">
      <w:pPr>
        <w:pStyle w:val="Akapitzlist"/>
        <w:numPr>
          <w:ilvl w:val="0"/>
          <w:numId w:val="48"/>
        </w:numPr>
        <w:suppressAutoHyphens/>
        <w:autoSpaceDE w:val="0"/>
        <w:autoSpaceDN w:val="0"/>
        <w:adjustRightInd w:val="0"/>
        <w:spacing w:after="120" w:line="240" w:lineRule="exact"/>
        <w:ind w:left="714" w:hanging="357"/>
        <w:rPr>
          <w:rFonts w:asciiTheme="minorHAnsi" w:hAnsiTheme="minorHAnsi" w:cs="Arial"/>
          <w:sz w:val="22"/>
          <w:szCs w:val="22"/>
        </w:rPr>
      </w:pPr>
      <w:r w:rsidRPr="00CF3967">
        <w:rPr>
          <w:rFonts w:asciiTheme="minorHAnsi" w:hAnsiTheme="minorHAnsi" w:cs="Arial"/>
          <w:sz w:val="22"/>
          <w:szCs w:val="22"/>
        </w:rPr>
        <w:t>informację o powierzchni użytkowej poszczególnych mieszkań</w:t>
      </w:r>
      <w:r>
        <w:rPr>
          <w:rFonts w:asciiTheme="minorHAnsi" w:hAnsiTheme="minorHAnsi" w:cs="Arial"/>
          <w:sz w:val="22"/>
          <w:szCs w:val="22"/>
        </w:rPr>
        <w:t xml:space="preserve"> (umożliwiającą weryfikację prawidłowości ustalenia podstawy obliczenia miesięcznej wysokości dopłaty</w:t>
      </w:r>
      <w:r w:rsidR="00F26CCD">
        <w:rPr>
          <w:rFonts w:asciiTheme="minorHAnsi" w:hAnsiTheme="minorHAnsi" w:cs="Arial"/>
          <w:sz w:val="22"/>
          <w:szCs w:val="22"/>
        </w:rPr>
        <w:t xml:space="preserve"> do czynszu</w:t>
      </w:r>
      <w:r>
        <w:rPr>
          <w:rFonts w:asciiTheme="minorHAnsi" w:hAnsiTheme="minorHAnsi" w:cs="Arial"/>
          <w:sz w:val="22"/>
          <w:szCs w:val="22"/>
        </w:rPr>
        <w:t>, przysługującej poszczególnym najemcom)</w:t>
      </w:r>
      <w:r w:rsidRPr="00CF3967">
        <w:rPr>
          <w:rFonts w:asciiTheme="minorHAnsi" w:hAnsiTheme="minorHAnsi" w:cs="Arial"/>
          <w:sz w:val="22"/>
          <w:szCs w:val="22"/>
        </w:rPr>
        <w:t>;</w:t>
      </w:r>
    </w:p>
    <w:p w:rsidR="00CF3967" w:rsidRPr="00CF3967" w:rsidRDefault="00CF3967" w:rsidP="006239F7">
      <w:pPr>
        <w:pStyle w:val="Akapitzlist"/>
        <w:numPr>
          <w:ilvl w:val="0"/>
          <w:numId w:val="48"/>
        </w:numPr>
        <w:suppressAutoHyphens/>
        <w:autoSpaceDE w:val="0"/>
        <w:autoSpaceDN w:val="0"/>
        <w:adjustRightInd w:val="0"/>
        <w:spacing w:after="120" w:line="240" w:lineRule="exact"/>
        <w:ind w:left="714" w:hanging="357"/>
        <w:rPr>
          <w:rFonts w:asciiTheme="minorHAnsi" w:hAnsiTheme="minorHAnsi" w:cs="Arial"/>
          <w:sz w:val="22"/>
          <w:szCs w:val="22"/>
        </w:rPr>
      </w:pPr>
      <w:r w:rsidRPr="00CF3967">
        <w:rPr>
          <w:rFonts w:asciiTheme="minorHAnsi" w:hAnsiTheme="minorHAnsi" w:cs="Arial"/>
          <w:sz w:val="22"/>
          <w:szCs w:val="22"/>
        </w:rPr>
        <w:t>informację o wysokości dopłaty należnej poszczególnym najemcom;</w:t>
      </w:r>
    </w:p>
    <w:p w:rsidR="00CF3967" w:rsidRPr="00CF3967" w:rsidRDefault="00CF3967" w:rsidP="006239F7">
      <w:pPr>
        <w:pStyle w:val="Akapitzlist"/>
        <w:numPr>
          <w:ilvl w:val="0"/>
          <w:numId w:val="48"/>
        </w:numPr>
        <w:suppressAutoHyphens/>
        <w:autoSpaceDE w:val="0"/>
        <w:autoSpaceDN w:val="0"/>
        <w:adjustRightInd w:val="0"/>
        <w:spacing w:after="120" w:line="240" w:lineRule="exact"/>
        <w:ind w:left="714" w:hanging="357"/>
        <w:rPr>
          <w:rFonts w:asciiTheme="minorHAnsi" w:hAnsiTheme="minorHAnsi" w:cs="Arial"/>
          <w:sz w:val="22"/>
          <w:szCs w:val="22"/>
        </w:rPr>
      </w:pPr>
      <w:r w:rsidRPr="00CF3967">
        <w:rPr>
          <w:rFonts w:asciiTheme="minorHAnsi" w:hAnsiTheme="minorHAnsi" w:cs="Arial"/>
          <w:sz w:val="22"/>
          <w:szCs w:val="22"/>
        </w:rPr>
        <w:t>informację o prognozowanej wysokości dopłat należnych poszczególnym najemcom do końca okresu wypłaty dopłat, przy założeniu, że podstawa obliczenia wysokości dopłat jest taka sama jak w miesiącu składania wniosku</w:t>
      </w:r>
      <w:r>
        <w:rPr>
          <w:rFonts w:asciiTheme="minorHAnsi" w:hAnsiTheme="minorHAnsi" w:cs="Arial"/>
          <w:sz w:val="22"/>
          <w:szCs w:val="22"/>
        </w:rPr>
        <w:t xml:space="preserve"> (jest to istotne z punktu widzenia ustalania wielkości limitów środków przeznaczonych na dopłaty w poszczególnych latach)</w:t>
      </w:r>
      <w:r w:rsidRPr="00CF3967">
        <w:rPr>
          <w:rFonts w:asciiTheme="minorHAnsi" w:hAnsiTheme="minorHAnsi" w:cs="Arial"/>
          <w:sz w:val="22"/>
          <w:szCs w:val="22"/>
        </w:rPr>
        <w:t>.</w:t>
      </w:r>
    </w:p>
    <w:p w:rsidR="00AD1CF2" w:rsidRDefault="003A2603" w:rsidP="00730411">
      <w:pPr>
        <w:tabs>
          <w:tab w:val="left" w:pos="540"/>
        </w:tabs>
        <w:spacing w:after="240" w:line="240" w:lineRule="exact"/>
        <w:rPr>
          <w:rFonts w:asciiTheme="minorHAnsi" w:hAnsiTheme="minorHAnsi" w:cs="Arial"/>
          <w:sz w:val="22"/>
          <w:szCs w:val="22"/>
        </w:rPr>
      </w:pPr>
      <w:r w:rsidRPr="003A2603">
        <w:rPr>
          <w:rFonts w:asciiTheme="minorHAnsi" w:hAnsiTheme="minorHAnsi" w:cs="Arial"/>
          <w:sz w:val="22"/>
          <w:szCs w:val="22"/>
        </w:rPr>
        <w:t xml:space="preserve">Po </w:t>
      </w:r>
      <w:r>
        <w:rPr>
          <w:rFonts w:asciiTheme="minorHAnsi" w:hAnsiTheme="minorHAnsi" w:cs="Arial"/>
          <w:sz w:val="22"/>
          <w:szCs w:val="22"/>
        </w:rPr>
        <w:t xml:space="preserve">weryfikacji poprawności wniosku o wypłatę dopłat oraz prawa najemców do dopłat (z uwzględnieniem danych zawartych w prowadzonej przez BGK ewidencji najemców) Bank wypłaca </w:t>
      </w:r>
      <w:r w:rsidR="004D7AFB">
        <w:rPr>
          <w:rFonts w:asciiTheme="minorHAnsi" w:hAnsiTheme="minorHAnsi" w:cs="Arial"/>
          <w:sz w:val="22"/>
          <w:szCs w:val="22"/>
        </w:rPr>
        <w:t>gminie</w:t>
      </w:r>
      <w:r>
        <w:rPr>
          <w:rFonts w:asciiTheme="minorHAnsi" w:hAnsiTheme="minorHAnsi" w:cs="Arial"/>
          <w:sz w:val="22"/>
          <w:szCs w:val="22"/>
        </w:rPr>
        <w:t xml:space="preserve"> łączną kwotę środków przeznaczonych na dopłaty wynikające z wniosku. </w:t>
      </w:r>
      <w:r w:rsidR="004D7AFB">
        <w:rPr>
          <w:rFonts w:asciiTheme="minorHAnsi" w:hAnsiTheme="minorHAnsi" w:cs="Arial"/>
          <w:sz w:val="22"/>
          <w:szCs w:val="22"/>
        </w:rPr>
        <w:t xml:space="preserve">Gmina </w:t>
      </w:r>
      <w:r>
        <w:rPr>
          <w:rFonts w:asciiTheme="minorHAnsi" w:hAnsiTheme="minorHAnsi" w:cs="Arial"/>
          <w:sz w:val="22"/>
          <w:szCs w:val="22"/>
        </w:rPr>
        <w:t xml:space="preserve">wpłaca natomiast otrzymane środki </w:t>
      </w:r>
      <w:r w:rsidR="00AD1CF2">
        <w:rPr>
          <w:rFonts w:asciiTheme="minorHAnsi" w:hAnsiTheme="minorHAnsi" w:cs="Arial"/>
          <w:sz w:val="22"/>
          <w:szCs w:val="22"/>
        </w:rPr>
        <w:t xml:space="preserve">bezpośrednio </w:t>
      </w:r>
      <w:r>
        <w:rPr>
          <w:rFonts w:asciiTheme="minorHAnsi" w:hAnsiTheme="minorHAnsi" w:cs="Arial"/>
          <w:sz w:val="22"/>
          <w:szCs w:val="22"/>
        </w:rPr>
        <w:t>na rachunek wynajmującego jako dopłaty do czynszów najemców objętych systemem dopłat.</w:t>
      </w:r>
      <w:r w:rsidR="00AD1CF2">
        <w:rPr>
          <w:rFonts w:asciiTheme="minorHAnsi" w:hAnsiTheme="minorHAnsi" w:cs="Arial"/>
          <w:sz w:val="22"/>
          <w:szCs w:val="22"/>
        </w:rPr>
        <w:t xml:space="preserve"> Projektodawca zrezygnował zatem</w:t>
      </w:r>
      <w:r w:rsidR="00BE1AAA">
        <w:rPr>
          <w:rFonts w:asciiTheme="minorHAnsi" w:hAnsiTheme="minorHAnsi" w:cs="Arial"/>
          <w:sz w:val="22"/>
          <w:szCs w:val="22"/>
        </w:rPr>
        <w:t xml:space="preserve"> </w:t>
      </w:r>
      <w:r w:rsidR="00AD1CF2">
        <w:rPr>
          <w:rFonts w:asciiTheme="minorHAnsi" w:hAnsiTheme="minorHAnsi" w:cs="Arial"/>
          <w:sz w:val="22"/>
          <w:szCs w:val="22"/>
        </w:rPr>
        <w:t>w tym względzie z przekazywania środków na dopłaty najemcom. Jest to motywowane potrzebą uproszczenia systemu i maksymalnego skrócenia okresu między złożeniem wniosku o wypłatę dopłat a przekazaniem dopłat na rachunek wynajmującego.</w:t>
      </w:r>
    </w:p>
    <w:p w:rsidR="003A2603" w:rsidRDefault="00AD1CF2" w:rsidP="00730411">
      <w:pPr>
        <w:tabs>
          <w:tab w:val="left" w:pos="540"/>
        </w:tabs>
        <w:spacing w:after="240" w:line="240" w:lineRule="exact"/>
        <w:rPr>
          <w:rFonts w:asciiTheme="minorHAnsi" w:hAnsiTheme="minorHAnsi" w:cs="Arial"/>
          <w:sz w:val="22"/>
          <w:szCs w:val="22"/>
        </w:rPr>
      </w:pPr>
      <w:r w:rsidRPr="00932D94">
        <w:rPr>
          <w:rFonts w:asciiTheme="minorHAnsi" w:hAnsiTheme="minorHAnsi" w:cs="Arial"/>
          <w:b/>
          <w:sz w:val="22"/>
          <w:szCs w:val="22"/>
        </w:rPr>
        <w:t xml:space="preserve">Art. </w:t>
      </w:r>
      <w:r w:rsidR="00932D94" w:rsidRPr="00932D94">
        <w:rPr>
          <w:rFonts w:asciiTheme="minorHAnsi" w:hAnsiTheme="minorHAnsi" w:cs="Arial"/>
          <w:b/>
          <w:sz w:val="22"/>
          <w:szCs w:val="22"/>
        </w:rPr>
        <w:t>2</w:t>
      </w:r>
      <w:r w:rsidR="004D7AFB">
        <w:rPr>
          <w:rFonts w:asciiTheme="minorHAnsi" w:hAnsiTheme="minorHAnsi" w:cs="Arial"/>
          <w:b/>
          <w:sz w:val="22"/>
          <w:szCs w:val="22"/>
        </w:rPr>
        <w:t>2</w:t>
      </w:r>
      <w:r w:rsidR="00932D94">
        <w:rPr>
          <w:rFonts w:asciiTheme="minorHAnsi" w:hAnsiTheme="minorHAnsi" w:cs="Arial"/>
          <w:sz w:val="22"/>
          <w:szCs w:val="22"/>
        </w:rPr>
        <w:t xml:space="preserve"> wprowadza obowiązek prowadzenia przez BGK ewidencji </w:t>
      </w:r>
      <w:r w:rsidR="00932D94" w:rsidRPr="00932D94">
        <w:rPr>
          <w:rFonts w:asciiTheme="minorHAnsi" w:hAnsiTheme="minorHAnsi" w:cs="Arial"/>
          <w:sz w:val="22"/>
          <w:szCs w:val="22"/>
        </w:rPr>
        <w:t>najemców</w:t>
      </w:r>
      <w:r w:rsidR="00932D94">
        <w:rPr>
          <w:rFonts w:asciiTheme="minorHAnsi" w:hAnsiTheme="minorHAnsi" w:cs="Arial"/>
          <w:sz w:val="22"/>
          <w:szCs w:val="22"/>
        </w:rPr>
        <w:t>, wzorowanej na ewidencjach prowadzonych w zakresie innych instrumentów wsparcia mieszkalnictwa. Zakres tej ewidencji określi umowa w sprawie stosowania dopłat, musi on jednak uwzględniać wysokość i okres</w:t>
      </w:r>
      <w:r w:rsidR="00932D94" w:rsidRPr="00932D94">
        <w:rPr>
          <w:rFonts w:asciiTheme="minorHAnsi" w:hAnsiTheme="minorHAnsi" w:cs="Arial"/>
          <w:sz w:val="22"/>
          <w:szCs w:val="22"/>
        </w:rPr>
        <w:t xml:space="preserve"> </w:t>
      </w:r>
      <w:r w:rsidR="004D7AFB">
        <w:rPr>
          <w:rFonts w:asciiTheme="minorHAnsi" w:hAnsiTheme="minorHAnsi" w:cs="Arial"/>
          <w:sz w:val="22"/>
          <w:szCs w:val="22"/>
        </w:rPr>
        <w:t>stosowania</w:t>
      </w:r>
      <w:r w:rsidR="004D7AFB" w:rsidRPr="00932D94">
        <w:rPr>
          <w:rFonts w:asciiTheme="minorHAnsi" w:hAnsiTheme="minorHAnsi" w:cs="Arial"/>
          <w:sz w:val="22"/>
          <w:szCs w:val="22"/>
        </w:rPr>
        <w:t xml:space="preserve"> </w:t>
      </w:r>
      <w:r w:rsidR="00932D94" w:rsidRPr="00932D94">
        <w:rPr>
          <w:rFonts w:asciiTheme="minorHAnsi" w:hAnsiTheme="minorHAnsi" w:cs="Arial"/>
          <w:sz w:val="22"/>
          <w:szCs w:val="22"/>
        </w:rPr>
        <w:t>dopłat</w:t>
      </w:r>
      <w:r w:rsidR="00932D94">
        <w:rPr>
          <w:rFonts w:asciiTheme="minorHAnsi" w:hAnsiTheme="minorHAnsi" w:cs="Arial"/>
          <w:sz w:val="22"/>
          <w:szCs w:val="22"/>
        </w:rPr>
        <w:t xml:space="preserve"> </w:t>
      </w:r>
      <w:r w:rsidR="004D7AFB">
        <w:rPr>
          <w:rFonts w:asciiTheme="minorHAnsi" w:hAnsiTheme="minorHAnsi" w:cs="Arial"/>
          <w:sz w:val="22"/>
          <w:szCs w:val="22"/>
        </w:rPr>
        <w:t xml:space="preserve">wobec </w:t>
      </w:r>
      <w:r w:rsidR="00932D94">
        <w:rPr>
          <w:rFonts w:asciiTheme="minorHAnsi" w:hAnsiTheme="minorHAnsi" w:cs="Arial"/>
          <w:sz w:val="22"/>
          <w:szCs w:val="22"/>
        </w:rPr>
        <w:t>poszczególnych najemców</w:t>
      </w:r>
      <w:r w:rsidR="004D7AFB">
        <w:rPr>
          <w:rFonts w:asciiTheme="minorHAnsi" w:hAnsiTheme="minorHAnsi" w:cs="Arial"/>
          <w:sz w:val="22"/>
          <w:szCs w:val="22"/>
        </w:rPr>
        <w:t xml:space="preserve"> (w przypadku gdy najemcami mieszkania są małżonkowie, ewidencja będzie zatem obejmowała dane dotyczące obu małżonków)</w:t>
      </w:r>
      <w:r w:rsidR="00932D94">
        <w:rPr>
          <w:rFonts w:asciiTheme="minorHAnsi" w:hAnsiTheme="minorHAnsi" w:cs="Arial"/>
          <w:sz w:val="22"/>
          <w:szCs w:val="22"/>
        </w:rPr>
        <w:t>. Prowadzona ewidencja ułatwi weryfikację i kontrolowanie prawa do dopłat</w:t>
      </w:r>
      <w:r w:rsidR="00E519A7">
        <w:rPr>
          <w:rFonts w:asciiTheme="minorHAnsi" w:hAnsiTheme="minorHAnsi" w:cs="Arial"/>
          <w:sz w:val="22"/>
          <w:szCs w:val="22"/>
        </w:rPr>
        <w:t xml:space="preserve"> (warunek jednorazowej możliwości uzyskiwania dopłat przez 9 lat)</w:t>
      </w:r>
      <w:r w:rsidR="00932D94">
        <w:rPr>
          <w:rFonts w:asciiTheme="minorHAnsi" w:hAnsiTheme="minorHAnsi" w:cs="Arial"/>
          <w:sz w:val="22"/>
          <w:szCs w:val="22"/>
        </w:rPr>
        <w:t xml:space="preserve"> i ich wysokości, w szczególności w kontekście możliwości podzielenia okresu stosowania dopłat, stosowania dopłat w przypadku, gdy w skład gospodarstwa domowego wchodzi osoba</w:t>
      </w:r>
      <w:r w:rsidR="004D7AFB">
        <w:rPr>
          <w:rFonts w:asciiTheme="minorHAnsi" w:hAnsiTheme="minorHAnsi" w:cs="Arial"/>
          <w:sz w:val="22"/>
          <w:szCs w:val="22"/>
        </w:rPr>
        <w:t xml:space="preserve"> wynajmująca </w:t>
      </w:r>
      <w:r w:rsidR="00932D94">
        <w:rPr>
          <w:rFonts w:asciiTheme="minorHAnsi" w:hAnsiTheme="minorHAnsi" w:cs="Arial"/>
          <w:sz w:val="22"/>
          <w:szCs w:val="22"/>
        </w:rPr>
        <w:t xml:space="preserve">w przeszłości </w:t>
      </w:r>
      <w:r w:rsidR="004D7AFB">
        <w:rPr>
          <w:rFonts w:asciiTheme="minorHAnsi" w:hAnsiTheme="minorHAnsi" w:cs="Arial"/>
          <w:sz w:val="22"/>
          <w:szCs w:val="22"/>
        </w:rPr>
        <w:t xml:space="preserve">mieszkanie, w związku z najmem którego były stosowane </w:t>
      </w:r>
      <w:r w:rsidR="00932D94">
        <w:rPr>
          <w:rFonts w:asciiTheme="minorHAnsi" w:hAnsiTheme="minorHAnsi" w:cs="Arial"/>
          <w:sz w:val="22"/>
          <w:szCs w:val="22"/>
        </w:rPr>
        <w:t>dopłaty</w:t>
      </w:r>
      <w:r w:rsidR="004D7AFB">
        <w:rPr>
          <w:rFonts w:asciiTheme="minorHAnsi" w:hAnsiTheme="minorHAnsi" w:cs="Arial"/>
          <w:sz w:val="22"/>
          <w:szCs w:val="22"/>
        </w:rPr>
        <w:t>,</w:t>
      </w:r>
      <w:r w:rsidR="00932D94">
        <w:rPr>
          <w:rFonts w:asciiTheme="minorHAnsi" w:hAnsiTheme="minorHAnsi" w:cs="Arial"/>
          <w:sz w:val="22"/>
          <w:szCs w:val="22"/>
        </w:rPr>
        <w:t xml:space="preserve"> czy daty powstania obowiązku poddania się weryfikacji w zakresie spełniania przez gospodarstwo domowe warunku dochodowego. </w:t>
      </w:r>
    </w:p>
    <w:p w:rsidR="00AD1CF2" w:rsidRDefault="00932D94" w:rsidP="00932D94">
      <w:pPr>
        <w:tabs>
          <w:tab w:val="left" w:pos="540"/>
        </w:tabs>
        <w:spacing w:after="240" w:line="240" w:lineRule="exact"/>
        <w:rPr>
          <w:rFonts w:asciiTheme="minorHAnsi" w:hAnsiTheme="minorHAnsi" w:cs="Arial"/>
          <w:sz w:val="22"/>
          <w:szCs w:val="22"/>
        </w:rPr>
      </w:pPr>
      <w:r>
        <w:rPr>
          <w:rFonts w:asciiTheme="minorHAnsi" w:hAnsiTheme="minorHAnsi" w:cs="Arial"/>
          <w:sz w:val="22"/>
          <w:szCs w:val="22"/>
        </w:rPr>
        <w:t xml:space="preserve">W celu ułatwienia najemcom dostępu do systemu dopłat oraz obliczania miesięcznej wysokości dopłaty, zgodnie z </w:t>
      </w:r>
      <w:r w:rsidRPr="002E7E52">
        <w:rPr>
          <w:rFonts w:asciiTheme="minorHAnsi" w:hAnsiTheme="minorHAnsi" w:cs="Arial"/>
          <w:b/>
          <w:sz w:val="22"/>
          <w:szCs w:val="22"/>
        </w:rPr>
        <w:t>art. 2</w:t>
      </w:r>
      <w:r w:rsidR="004D7AFB">
        <w:rPr>
          <w:rFonts w:asciiTheme="minorHAnsi" w:hAnsiTheme="minorHAnsi" w:cs="Arial"/>
          <w:b/>
          <w:sz w:val="22"/>
          <w:szCs w:val="22"/>
        </w:rPr>
        <w:t>3</w:t>
      </w:r>
      <w:r>
        <w:rPr>
          <w:rFonts w:asciiTheme="minorHAnsi" w:hAnsiTheme="minorHAnsi" w:cs="Arial"/>
          <w:sz w:val="22"/>
          <w:szCs w:val="22"/>
        </w:rPr>
        <w:t xml:space="preserve">, BGK publikuje na swojej stronie podmiotowej w Biuletynie Informacji Publicznej informacje o </w:t>
      </w:r>
      <w:r w:rsidRPr="00932D94">
        <w:rPr>
          <w:rFonts w:asciiTheme="minorHAnsi" w:hAnsiTheme="minorHAnsi" w:cs="Arial"/>
          <w:sz w:val="22"/>
          <w:szCs w:val="22"/>
        </w:rPr>
        <w:t>wysokości</w:t>
      </w:r>
      <w:r>
        <w:rPr>
          <w:rFonts w:asciiTheme="minorHAnsi" w:hAnsiTheme="minorHAnsi" w:cs="Arial"/>
          <w:sz w:val="22"/>
          <w:szCs w:val="22"/>
        </w:rPr>
        <w:t>ach</w:t>
      </w:r>
      <w:r w:rsidRPr="00932D94">
        <w:rPr>
          <w:rFonts w:asciiTheme="minorHAnsi" w:hAnsiTheme="minorHAnsi" w:cs="Arial"/>
          <w:sz w:val="22"/>
          <w:szCs w:val="22"/>
        </w:rPr>
        <w:t xml:space="preserve"> średniego wskaźnika przeliczeniowego kosztu odtworzenia 1 m</w:t>
      </w:r>
      <w:r w:rsidRPr="00932D94">
        <w:rPr>
          <w:rFonts w:asciiTheme="minorHAnsi" w:hAnsiTheme="minorHAnsi" w:cs="Arial"/>
          <w:sz w:val="22"/>
          <w:szCs w:val="22"/>
          <w:vertAlign w:val="superscript"/>
        </w:rPr>
        <w:t>2</w:t>
      </w:r>
      <w:r w:rsidRPr="00932D94">
        <w:rPr>
          <w:rFonts w:asciiTheme="minorHAnsi" w:hAnsiTheme="minorHAnsi" w:cs="Arial"/>
          <w:sz w:val="22"/>
          <w:szCs w:val="22"/>
        </w:rPr>
        <w:t xml:space="preserve"> powierzchni użytkowej bu</w:t>
      </w:r>
      <w:r>
        <w:rPr>
          <w:rFonts w:asciiTheme="minorHAnsi" w:hAnsiTheme="minorHAnsi" w:cs="Arial"/>
          <w:sz w:val="22"/>
          <w:szCs w:val="22"/>
        </w:rPr>
        <w:t xml:space="preserve">dynków mieszkalnych obowiązujących w kwartale kalendarzowym oraz </w:t>
      </w:r>
      <w:r w:rsidR="00447486">
        <w:rPr>
          <w:rFonts w:asciiTheme="minorHAnsi" w:hAnsiTheme="minorHAnsi" w:cs="Arial"/>
          <w:sz w:val="22"/>
          <w:szCs w:val="22"/>
        </w:rPr>
        <w:t xml:space="preserve">comiesięcznie aktualizowaną </w:t>
      </w:r>
      <w:r w:rsidRPr="00932D94">
        <w:rPr>
          <w:rFonts w:asciiTheme="minorHAnsi" w:hAnsiTheme="minorHAnsi" w:cs="Arial"/>
          <w:sz w:val="22"/>
          <w:szCs w:val="22"/>
        </w:rPr>
        <w:t xml:space="preserve">listę </w:t>
      </w:r>
      <w:r w:rsidR="004D7AFB">
        <w:rPr>
          <w:rFonts w:asciiTheme="minorHAnsi" w:hAnsiTheme="minorHAnsi" w:cs="Arial"/>
          <w:sz w:val="22"/>
          <w:szCs w:val="22"/>
        </w:rPr>
        <w:t>gmin</w:t>
      </w:r>
      <w:r>
        <w:rPr>
          <w:rFonts w:asciiTheme="minorHAnsi" w:hAnsiTheme="minorHAnsi" w:cs="Arial"/>
          <w:sz w:val="22"/>
          <w:szCs w:val="22"/>
        </w:rPr>
        <w:t>, z którymi zawarł umowę w sprawie stosowania dopłat.</w:t>
      </w:r>
    </w:p>
    <w:p w:rsidR="00932D94" w:rsidRDefault="00B5458F" w:rsidP="00730411">
      <w:pPr>
        <w:tabs>
          <w:tab w:val="left" w:pos="540"/>
        </w:tabs>
        <w:spacing w:after="240" w:line="240" w:lineRule="exact"/>
        <w:rPr>
          <w:rFonts w:asciiTheme="minorHAnsi" w:hAnsiTheme="minorHAnsi" w:cs="Arial"/>
          <w:sz w:val="22"/>
          <w:szCs w:val="22"/>
        </w:rPr>
      </w:pPr>
      <w:r w:rsidRPr="00F27DCA">
        <w:rPr>
          <w:rFonts w:asciiTheme="minorHAnsi" w:hAnsiTheme="minorHAnsi" w:cs="Arial"/>
          <w:b/>
          <w:sz w:val="22"/>
          <w:szCs w:val="22"/>
        </w:rPr>
        <w:t>Art. 2</w:t>
      </w:r>
      <w:r w:rsidR="004D7AFB">
        <w:rPr>
          <w:rFonts w:asciiTheme="minorHAnsi" w:hAnsiTheme="minorHAnsi" w:cs="Arial"/>
          <w:b/>
          <w:sz w:val="22"/>
          <w:szCs w:val="22"/>
        </w:rPr>
        <w:t>4</w:t>
      </w:r>
      <w:r>
        <w:rPr>
          <w:rFonts w:asciiTheme="minorHAnsi" w:hAnsiTheme="minorHAnsi" w:cs="Arial"/>
          <w:sz w:val="22"/>
          <w:szCs w:val="22"/>
        </w:rPr>
        <w:t xml:space="preserve"> określa obowiązki Banku w zakresie sprawozdawczości, umożliwiające ocenę efektywności realizacji instrumentu. </w:t>
      </w:r>
      <w:r w:rsidR="00F27DCA">
        <w:rPr>
          <w:rFonts w:asciiTheme="minorHAnsi" w:hAnsiTheme="minorHAnsi" w:cs="Arial"/>
          <w:sz w:val="22"/>
          <w:szCs w:val="22"/>
        </w:rPr>
        <w:t xml:space="preserve">Zgodnie z tym artykułem </w:t>
      </w:r>
      <w:r w:rsidR="00F27DCA" w:rsidRPr="00F27DCA">
        <w:rPr>
          <w:rFonts w:asciiTheme="minorHAnsi" w:hAnsiTheme="minorHAnsi" w:cs="Arial"/>
          <w:sz w:val="22"/>
          <w:szCs w:val="22"/>
        </w:rPr>
        <w:t xml:space="preserve">Bank </w:t>
      </w:r>
      <w:r w:rsidR="00F27DCA">
        <w:rPr>
          <w:rFonts w:asciiTheme="minorHAnsi" w:hAnsiTheme="minorHAnsi" w:cs="Arial"/>
          <w:sz w:val="22"/>
          <w:szCs w:val="22"/>
        </w:rPr>
        <w:t xml:space="preserve">jest zobowiązany informować </w:t>
      </w:r>
      <w:r w:rsidR="00F27DCA" w:rsidRPr="00F27DCA">
        <w:rPr>
          <w:rFonts w:asciiTheme="minorHAnsi" w:hAnsiTheme="minorHAnsi" w:cs="Arial"/>
          <w:sz w:val="22"/>
          <w:szCs w:val="22"/>
        </w:rPr>
        <w:t>w okresach kwartalnych Prezesa Rady Ministrów, ministra właściwego do spraw budownictwa, planowania i zagospodarowania przestrzennego oraz mieszkalnictwa, ministra właściwego do spraw rodziny oraz ministra właściwego do spraw finansów publicznych o finansowym wsparciu udzielonym na podstawie ustawy</w:t>
      </w:r>
      <w:r w:rsidR="00F27DCA">
        <w:rPr>
          <w:rFonts w:asciiTheme="minorHAnsi" w:hAnsiTheme="minorHAnsi" w:cs="Arial"/>
          <w:sz w:val="22"/>
          <w:szCs w:val="22"/>
        </w:rPr>
        <w:t xml:space="preserve"> (zakres tej informacji określi umowa zawarta między BGK a </w:t>
      </w:r>
      <w:r w:rsidR="00F27DCA" w:rsidRPr="00F27DCA">
        <w:rPr>
          <w:rFonts w:asciiTheme="minorHAnsi" w:hAnsiTheme="minorHAnsi" w:cs="Arial"/>
          <w:sz w:val="22"/>
          <w:szCs w:val="22"/>
        </w:rPr>
        <w:t>ministrem właściwym do spraw budownictwa, planowania i zagospodarowania przestrzennego oraz mieszkalnictwa</w:t>
      </w:r>
      <w:r w:rsidR="00FD4FC4">
        <w:rPr>
          <w:rFonts w:asciiTheme="minorHAnsi" w:hAnsiTheme="minorHAnsi" w:cs="Arial"/>
          <w:sz w:val="22"/>
          <w:szCs w:val="22"/>
        </w:rPr>
        <w:t>; umożliwi ona większą elastyczność w działaniu i ułatwi</w:t>
      </w:r>
      <w:r w:rsidR="00FD4FC4" w:rsidRPr="00FD4FC4">
        <w:rPr>
          <w:rFonts w:asciiTheme="minorHAnsi" w:hAnsiTheme="minorHAnsi" w:cs="Arial"/>
          <w:sz w:val="22"/>
          <w:szCs w:val="22"/>
        </w:rPr>
        <w:t xml:space="preserve"> dokonywanie szybkich zmian związanych np. z pojawieniem się zapotrzebowania na </w:t>
      </w:r>
      <w:r w:rsidR="00FD4FC4">
        <w:rPr>
          <w:rFonts w:asciiTheme="minorHAnsi" w:hAnsiTheme="minorHAnsi" w:cs="Arial"/>
          <w:sz w:val="22"/>
          <w:szCs w:val="22"/>
        </w:rPr>
        <w:t>określony</w:t>
      </w:r>
      <w:r w:rsidR="00FD4FC4" w:rsidRPr="00FD4FC4">
        <w:rPr>
          <w:rFonts w:asciiTheme="minorHAnsi" w:hAnsiTheme="minorHAnsi" w:cs="Arial"/>
          <w:sz w:val="22"/>
          <w:szCs w:val="22"/>
        </w:rPr>
        <w:t xml:space="preserve"> </w:t>
      </w:r>
      <w:r w:rsidR="00FD4FC4">
        <w:rPr>
          <w:rFonts w:asciiTheme="minorHAnsi" w:hAnsiTheme="minorHAnsi" w:cs="Arial"/>
          <w:sz w:val="22"/>
          <w:szCs w:val="22"/>
        </w:rPr>
        <w:t xml:space="preserve">w związku z celami instrumentu </w:t>
      </w:r>
      <w:r w:rsidR="00FD4FC4" w:rsidRPr="00FD4FC4">
        <w:rPr>
          <w:rFonts w:asciiTheme="minorHAnsi" w:hAnsiTheme="minorHAnsi" w:cs="Arial"/>
          <w:sz w:val="22"/>
          <w:szCs w:val="22"/>
        </w:rPr>
        <w:t>rodzaj danych</w:t>
      </w:r>
      <w:r w:rsidR="00F27DCA">
        <w:rPr>
          <w:rFonts w:asciiTheme="minorHAnsi" w:hAnsiTheme="minorHAnsi" w:cs="Arial"/>
          <w:sz w:val="22"/>
          <w:szCs w:val="22"/>
        </w:rPr>
        <w:t>)</w:t>
      </w:r>
      <w:r w:rsidR="00F27DCA" w:rsidRPr="00F27DCA">
        <w:rPr>
          <w:rFonts w:asciiTheme="minorHAnsi" w:hAnsiTheme="minorHAnsi" w:cs="Arial"/>
          <w:sz w:val="22"/>
          <w:szCs w:val="22"/>
        </w:rPr>
        <w:t>.</w:t>
      </w:r>
    </w:p>
    <w:p w:rsidR="00F90FD4" w:rsidRDefault="004D7AFB" w:rsidP="00AA25C3">
      <w:pPr>
        <w:tabs>
          <w:tab w:val="left" w:pos="540"/>
        </w:tabs>
        <w:spacing w:after="240" w:line="240" w:lineRule="exact"/>
        <w:rPr>
          <w:rFonts w:asciiTheme="minorHAnsi" w:hAnsiTheme="minorHAnsi" w:cs="Arial"/>
          <w:sz w:val="22"/>
          <w:szCs w:val="22"/>
        </w:rPr>
      </w:pPr>
      <w:r>
        <w:rPr>
          <w:rFonts w:asciiTheme="minorHAnsi" w:hAnsiTheme="minorHAnsi" w:cs="Arial"/>
          <w:sz w:val="22"/>
          <w:szCs w:val="22"/>
        </w:rPr>
        <w:t xml:space="preserve">Mając na względzie potrzebę maksymalnego odciążenia gmin w realizacji instrumentu w ramach zadania własnego, w </w:t>
      </w:r>
      <w:r w:rsidRPr="004D7AFB">
        <w:rPr>
          <w:rFonts w:asciiTheme="minorHAnsi" w:hAnsiTheme="minorHAnsi" w:cs="Arial"/>
          <w:b/>
          <w:sz w:val="22"/>
          <w:szCs w:val="22"/>
        </w:rPr>
        <w:t>art. 25</w:t>
      </w:r>
      <w:r>
        <w:rPr>
          <w:rFonts w:asciiTheme="minorHAnsi" w:hAnsiTheme="minorHAnsi" w:cs="Arial"/>
          <w:sz w:val="22"/>
          <w:szCs w:val="22"/>
        </w:rPr>
        <w:t xml:space="preserve"> dopuszczono możliwość powierzenia przez gminę zawarcia umowy z inwestorem oraz przeprowadzenia naboru najemców spółce gminnej. Nie dotyczy to jednak przypadku, w którym w roli inwestora występuje spółka gminna. </w:t>
      </w:r>
      <w:r w:rsidR="00AA25C3">
        <w:rPr>
          <w:rFonts w:asciiTheme="minorHAnsi" w:hAnsiTheme="minorHAnsi" w:cs="Arial"/>
          <w:sz w:val="22"/>
          <w:szCs w:val="22"/>
        </w:rPr>
        <w:t xml:space="preserve">Takie przesądzenie ma na celu wyeliminowanie sytuacji w której spółka gminna zawierałaby umowę określającą warunki inwestycji mieszkaniowej sama ze sobą (tj. działałaby zarówno jako inwestor jak i </w:t>
      </w:r>
      <w:r>
        <w:rPr>
          <w:rFonts w:asciiTheme="minorHAnsi" w:hAnsiTheme="minorHAnsi" w:cs="Arial"/>
          <w:sz w:val="22"/>
          <w:szCs w:val="22"/>
        </w:rPr>
        <w:t>podmiot wykonujący powierzone przez gminę zadanie</w:t>
      </w:r>
      <w:r w:rsidR="00AA25C3">
        <w:rPr>
          <w:rFonts w:asciiTheme="minorHAnsi" w:hAnsiTheme="minorHAnsi" w:cs="Arial"/>
          <w:sz w:val="22"/>
          <w:szCs w:val="22"/>
        </w:rPr>
        <w:t xml:space="preserve"> w kontekście tej samej inwestycji). </w:t>
      </w:r>
    </w:p>
    <w:p w:rsidR="00F90FD4" w:rsidRDefault="004D7AFB" w:rsidP="00F90FD4">
      <w:pPr>
        <w:tabs>
          <w:tab w:val="left" w:pos="540"/>
        </w:tabs>
        <w:spacing w:after="240" w:line="240" w:lineRule="exact"/>
        <w:rPr>
          <w:rFonts w:asciiTheme="minorHAnsi" w:hAnsiTheme="minorHAnsi" w:cs="Arial"/>
          <w:sz w:val="22"/>
          <w:szCs w:val="22"/>
        </w:rPr>
      </w:pPr>
      <w:r>
        <w:rPr>
          <w:rFonts w:asciiTheme="minorHAnsi" w:hAnsiTheme="minorHAnsi" w:cs="Arial"/>
          <w:sz w:val="22"/>
          <w:szCs w:val="22"/>
        </w:rPr>
        <w:t>Kolejny</w:t>
      </w:r>
      <w:r w:rsidRPr="004D7AFB">
        <w:rPr>
          <w:rFonts w:asciiTheme="minorHAnsi" w:hAnsiTheme="minorHAnsi" w:cs="Arial"/>
          <w:sz w:val="22"/>
          <w:szCs w:val="22"/>
        </w:rPr>
        <w:t xml:space="preserve"> </w:t>
      </w:r>
      <w:r>
        <w:rPr>
          <w:rFonts w:asciiTheme="minorHAnsi" w:hAnsiTheme="minorHAnsi" w:cs="Arial"/>
          <w:sz w:val="22"/>
          <w:szCs w:val="22"/>
        </w:rPr>
        <w:t>artykuł, wspólny</w:t>
      </w:r>
      <w:r w:rsidRPr="004D7AFB">
        <w:rPr>
          <w:rFonts w:asciiTheme="minorHAnsi" w:hAnsiTheme="minorHAnsi" w:cs="Arial"/>
          <w:sz w:val="22"/>
          <w:szCs w:val="22"/>
        </w:rPr>
        <w:t xml:space="preserve"> dla uregulowań zawartych we wcześniejszych przepi</w:t>
      </w:r>
      <w:r>
        <w:rPr>
          <w:rFonts w:asciiTheme="minorHAnsi" w:hAnsiTheme="minorHAnsi" w:cs="Arial"/>
          <w:sz w:val="22"/>
          <w:szCs w:val="22"/>
        </w:rPr>
        <w:t>sach projektu ustawy, rozwiązuje problemy związany</w:t>
      </w:r>
      <w:r w:rsidRPr="004D7AFB">
        <w:rPr>
          <w:rFonts w:asciiTheme="minorHAnsi" w:hAnsiTheme="minorHAnsi" w:cs="Arial"/>
          <w:sz w:val="22"/>
          <w:szCs w:val="22"/>
        </w:rPr>
        <w:t xml:space="preserve"> z funkcjonowaniem kilku podmiotów w ramach jednego okr</w:t>
      </w:r>
      <w:r>
        <w:rPr>
          <w:rFonts w:asciiTheme="minorHAnsi" w:hAnsiTheme="minorHAnsi" w:cs="Arial"/>
          <w:sz w:val="22"/>
          <w:szCs w:val="22"/>
        </w:rPr>
        <w:t xml:space="preserve">eślonego </w:t>
      </w:r>
      <w:r w:rsidR="00D27B0B">
        <w:rPr>
          <w:rFonts w:asciiTheme="minorHAnsi" w:hAnsiTheme="minorHAnsi" w:cs="Arial"/>
          <w:sz w:val="22"/>
          <w:szCs w:val="22"/>
        </w:rPr>
        <w:br/>
      </w:r>
      <w:r>
        <w:rPr>
          <w:rFonts w:asciiTheme="minorHAnsi" w:hAnsiTheme="minorHAnsi" w:cs="Arial"/>
          <w:sz w:val="22"/>
          <w:szCs w:val="22"/>
        </w:rPr>
        <w:t>w ustawie statusu. Ma</w:t>
      </w:r>
      <w:r w:rsidRPr="004D7AFB">
        <w:rPr>
          <w:rFonts w:asciiTheme="minorHAnsi" w:hAnsiTheme="minorHAnsi" w:cs="Arial"/>
          <w:sz w:val="22"/>
          <w:szCs w:val="22"/>
        </w:rPr>
        <w:t xml:space="preserve"> zatem na celu wyeliminowanie problemów w praktycznej realizacji instrumentu oraz trudności interpretacyjnych wynikających z przyjętych sformułowań. </w:t>
      </w:r>
      <w:r w:rsidR="00AA25C3">
        <w:rPr>
          <w:rFonts w:asciiTheme="minorHAnsi" w:hAnsiTheme="minorHAnsi" w:cs="Arial"/>
          <w:sz w:val="22"/>
          <w:szCs w:val="22"/>
        </w:rPr>
        <w:t xml:space="preserve">W myśl </w:t>
      </w:r>
      <w:r w:rsidR="00AA25C3" w:rsidRPr="00AA25C3">
        <w:rPr>
          <w:rFonts w:asciiTheme="minorHAnsi" w:hAnsiTheme="minorHAnsi" w:cs="Arial"/>
          <w:b/>
          <w:sz w:val="22"/>
          <w:szCs w:val="22"/>
        </w:rPr>
        <w:t>art. 2</w:t>
      </w:r>
      <w:r w:rsidR="00170EE4">
        <w:rPr>
          <w:rFonts w:asciiTheme="minorHAnsi" w:hAnsiTheme="minorHAnsi" w:cs="Arial"/>
          <w:b/>
          <w:sz w:val="22"/>
          <w:szCs w:val="22"/>
        </w:rPr>
        <w:t>6</w:t>
      </w:r>
      <w:r w:rsidR="00AA25C3">
        <w:rPr>
          <w:rFonts w:asciiTheme="minorHAnsi" w:hAnsiTheme="minorHAnsi" w:cs="Arial"/>
          <w:sz w:val="22"/>
          <w:szCs w:val="22"/>
        </w:rPr>
        <w:t xml:space="preserve"> status wynajmującego został przypisany (w odpowiedzi na sytuacje mogące zdarzyć się w praktyce stosowania projektowanej ustawy) nie tylko inwestorowi, ale również podmiotowi, </w:t>
      </w:r>
      <w:r w:rsidR="00AA25C3" w:rsidRPr="00AA25C3">
        <w:rPr>
          <w:rFonts w:asciiTheme="minorHAnsi" w:hAnsiTheme="minorHAnsi" w:cs="Arial"/>
          <w:sz w:val="22"/>
          <w:szCs w:val="22"/>
        </w:rPr>
        <w:t>który w ramach prowadzonej działalności gospodarczej nabył mieszkanie od inwestora z przeznaczeniem na wynajem, albo podmiot</w:t>
      </w:r>
      <w:r w:rsidR="00AA25C3">
        <w:rPr>
          <w:rFonts w:asciiTheme="minorHAnsi" w:hAnsiTheme="minorHAnsi" w:cs="Arial"/>
          <w:sz w:val="22"/>
          <w:szCs w:val="22"/>
        </w:rPr>
        <w:t>owi</w:t>
      </w:r>
      <w:r w:rsidR="00AA25C3" w:rsidRPr="00AA25C3">
        <w:rPr>
          <w:rFonts w:asciiTheme="minorHAnsi" w:hAnsiTheme="minorHAnsi" w:cs="Arial"/>
          <w:sz w:val="22"/>
          <w:szCs w:val="22"/>
        </w:rPr>
        <w:t xml:space="preserve">, który w ramach </w:t>
      </w:r>
      <w:r w:rsidR="00AA25C3">
        <w:rPr>
          <w:rFonts w:asciiTheme="minorHAnsi" w:hAnsiTheme="minorHAnsi" w:cs="Arial"/>
          <w:sz w:val="22"/>
          <w:szCs w:val="22"/>
        </w:rPr>
        <w:t xml:space="preserve">takiej </w:t>
      </w:r>
      <w:r w:rsidR="00AA25C3" w:rsidRPr="00AA25C3">
        <w:rPr>
          <w:rFonts w:asciiTheme="minorHAnsi" w:hAnsiTheme="minorHAnsi" w:cs="Arial"/>
          <w:sz w:val="22"/>
          <w:szCs w:val="22"/>
        </w:rPr>
        <w:t>działalności, na podstawie umowy w sprawie wynajmu mieszkań, zawartej z inwestorem, wynajmuje mieszkanie najemcy</w:t>
      </w:r>
      <w:r w:rsidR="00AA25C3">
        <w:rPr>
          <w:rFonts w:asciiTheme="minorHAnsi" w:hAnsiTheme="minorHAnsi" w:cs="Arial"/>
          <w:sz w:val="22"/>
          <w:szCs w:val="22"/>
        </w:rPr>
        <w:t xml:space="preserve">. </w:t>
      </w:r>
      <w:r w:rsidR="00E519A7">
        <w:rPr>
          <w:rFonts w:asciiTheme="minorHAnsi" w:hAnsiTheme="minorHAnsi" w:cs="Arial"/>
          <w:sz w:val="22"/>
          <w:szCs w:val="22"/>
        </w:rPr>
        <w:t xml:space="preserve">Przykładem może być działalność spółki BGK Nieruchomości S.A., wykonującej </w:t>
      </w:r>
      <w:r w:rsidR="00C60E6A">
        <w:rPr>
          <w:rFonts w:asciiTheme="minorHAnsi" w:hAnsiTheme="minorHAnsi" w:cs="Arial"/>
          <w:sz w:val="22"/>
          <w:szCs w:val="22"/>
        </w:rPr>
        <w:t>czynności zarzą</w:t>
      </w:r>
      <w:r w:rsidR="00E519A7">
        <w:rPr>
          <w:rFonts w:asciiTheme="minorHAnsi" w:hAnsiTheme="minorHAnsi" w:cs="Arial"/>
          <w:sz w:val="22"/>
          <w:szCs w:val="22"/>
        </w:rPr>
        <w:t xml:space="preserve">dzania aktywami (w tym przypadku budynkami mieszkalnymi) na rzecz formalnego właściciela tych zasobów – funduszu inwestycyjnego. </w:t>
      </w:r>
    </w:p>
    <w:p w:rsidR="00932D94" w:rsidRPr="003A2603" w:rsidRDefault="00F90FD4" w:rsidP="00730411">
      <w:pPr>
        <w:tabs>
          <w:tab w:val="left" w:pos="540"/>
        </w:tabs>
        <w:spacing w:after="240" w:line="240" w:lineRule="exact"/>
        <w:rPr>
          <w:rFonts w:asciiTheme="minorHAnsi" w:hAnsiTheme="minorHAnsi" w:cs="Arial"/>
          <w:sz w:val="22"/>
          <w:szCs w:val="22"/>
        </w:rPr>
      </w:pPr>
      <w:r w:rsidRPr="00F90FD4">
        <w:rPr>
          <w:rFonts w:asciiTheme="minorHAnsi" w:hAnsiTheme="minorHAnsi" w:cs="Arial"/>
          <w:sz w:val="22"/>
          <w:szCs w:val="22"/>
        </w:rPr>
        <w:t xml:space="preserve">W kontekście </w:t>
      </w:r>
      <w:r>
        <w:rPr>
          <w:rFonts w:asciiTheme="minorHAnsi" w:hAnsiTheme="minorHAnsi" w:cs="Arial"/>
          <w:sz w:val="22"/>
          <w:szCs w:val="22"/>
        </w:rPr>
        <w:t xml:space="preserve">ograniczenia w powyższych przypadkach katalogu podmiotów do tych prowadzących działalność gospodarczą należy zauważyć, że </w:t>
      </w:r>
      <w:r w:rsidRPr="00F90FD4">
        <w:rPr>
          <w:rFonts w:asciiTheme="minorHAnsi" w:hAnsiTheme="minorHAnsi" w:cs="Arial"/>
          <w:sz w:val="22"/>
          <w:szCs w:val="22"/>
        </w:rPr>
        <w:t>w program</w:t>
      </w:r>
      <w:r>
        <w:rPr>
          <w:rFonts w:asciiTheme="minorHAnsi" w:hAnsiTheme="minorHAnsi" w:cs="Arial"/>
          <w:sz w:val="22"/>
          <w:szCs w:val="22"/>
        </w:rPr>
        <w:t xml:space="preserve"> dopłat będą się angażowali, co do zasady, </w:t>
      </w:r>
      <w:r w:rsidRPr="00F90FD4">
        <w:rPr>
          <w:rFonts w:asciiTheme="minorHAnsi" w:hAnsiTheme="minorHAnsi" w:cs="Arial"/>
          <w:sz w:val="22"/>
          <w:szCs w:val="22"/>
        </w:rPr>
        <w:t xml:space="preserve">inwestorzy, którzy upatrują opłacalności </w:t>
      </w:r>
      <w:r>
        <w:rPr>
          <w:rFonts w:asciiTheme="minorHAnsi" w:hAnsiTheme="minorHAnsi" w:cs="Arial"/>
          <w:sz w:val="22"/>
          <w:szCs w:val="22"/>
        </w:rPr>
        <w:t xml:space="preserve">realizacji </w:t>
      </w:r>
      <w:r w:rsidRPr="00F90FD4">
        <w:rPr>
          <w:rFonts w:asciiTheme="minorHAnsi" w:hAnsiTheme="minorHAnsi" w:cs="Arial"/>
          <w:sz w:val="22"/>
          <w:szCs w:val="22"/>
        </w:rPr>
        <w:t>inwestycji mieszkaniow</w:t>
      </w:r>
      <w:r>
        <w:rPr>
          <w:rFonts w:asciiTheme="minorHAnsi" w:hAnsiTheme="minorHAnsi" w:cs="Arial"/>
          <w:sz w:val="22"/>
          <w:szCs w:val="22"/>
        </w:rPr>
        <w:t>ych</w:t>
      </w:r>
      <w:r w:rsidRPr="00F90FD4">
        <w:rPr>
          <w:rFonts w:asciiTheme="minorHAnsi" w:hAnsiTheme="minorHAnsi" w:cs="Arial"/>
          <w:sz w:val="22"/>
          <w:szCs w:val="22"/>
        </w:rPr>
        <w:t xml:space="preserve"> w związku z możliwością stosowania wobec mieszkań objętych tą inwestycją dopłat do czynszu. Determinuje to fakt, że tylko lokale gospodarowane na zasadach określonych w</w:t>
      </w:r>
      <w:r>
        <w:rPr>
          <w:rFonts w:asciiTheme="minorHAnsi" w:hAnsiTheme="minorHAnsi" w:cs="Arial"/>
          <w:sz w:val="22"/>
          <w:szCs w:val="22"/>
        </w:rPr>
        <w:t xml:space="preserve"> ustawie będą lokalami ujętymi </w:t>
      </w:r>
      <w:r w:rsidRPr="00F90FD4">
        <w:rPr>
          <w:rFonts w:asciiTheme="minorHAnsi" w:hAnsiTheme="minorHAnsi" w:cs="Arial"/>
          <w:sz w:val="22"/>
          <w:szCs w:val="22"/>
        </w:rPr>
        <w:t xml:space="preserve">w systemie dopłat. Inwestor </w:t>
      </w:r>
      <w:r>
        <w:rPr>
          <w:rFonts w:asciiTheme="minorHAnsi" w:hAnsiTheme="minorHAnsi" w:cs="Arial"/>
          <w:sz w:val="22"/>
          <w:szCs w:val="22"/>
        </w:rPr>
        <w:t>będzie realizował</w:t>
      </w:r>
      <w:r w:rsidRPr="00F90FD4">
        <w:rPr>
          <w:rFonts w:asciiTheme="minorHAnsi" w:hAnsiTheme="minorHAnsi" w:cs="Arial"/>
          <w:sz w:val="22"/>
          <w:szCs w:val="22"/>
        </w:rPr>
        <w:t xml:space="preserve"> inwestycję </w:t>
      </w:r>
      <w:r>
        <w:rPr>
          <w:rFonts w:asciiTheme="minorHAnsi" w:hAnsiTheme="minorHAnsi" w:cs="Arial"/>
          <w:sz w:val="22"/>
          <w:szCs w:val="22"/>
        </w:rPr>
        <w:t xml:space="preserve">mieszkaniową </w:t>
      </w:r>
      <w:r w:rsidRPr="00F90FD4">
        <w:rPr>
          <w:rFonts w:asciiTheme="minorHAnsi" w:hAnsiTheme="minorHAnsi" w:cs="Arial"/>
          <w:sz w:val="22"/>
          <w:szCs w:val="22"/>
        </w:rPr>
        <w:t xml:space="preserve">na zasadach rynkowych, </w:t>
      </w:r>
      <w:r>
        <w:rPr>
          <w:rFonts w:asciiTheme="minorHAnsi" w:hAnsiTheme="minorHAnsi" w:cs="Arial"/>
          <w:sz w:val="22"/>
          <w:szCs w:val="22"/>
        </w:rPr>
        <w:t>będzie miał</w:t>
      </w:r>
      <w:r w:rsidRPr="00F90FD4">
        <w:rPr>
          <w:rFonts w:asciiTheme="minorHAnsi" w:hAnsiTheme="minorHAnsi" w:cs="Arial"/>
          <w:sz w:val="22"/>
          <w:szCs w:val="22"/>
        </w:rPr>
        <w:t xml:space="preserve"> zatem prawo do zarządzania lokalami na zasadach rynkowych. Jeżeli </w:t>
      </w:r>
      <w:r>
        <w:rPr>
          <w:rFonts w:asciiTheme="minorHAnsi" w:hAnsiTheme="minorHAnsi" w:cs="Arial"/>
          <w:sz w:val="22"/>
          <w:szCs w:val="22"/>
        </w:rPr>
        <w:t>z</w:t>
      </w:r>
      <w:r w:rsidRPr="00F90FD4">
        <w:rPr>
          <w:rFonts w:asciiTheme="minorHAnsi" w:hAnsiTheme="minorHAnsi" w:cs="Arial"/>
          <w:sz w:val="22"/>
          <w:szCs w:val="22"/>
        </w:rPr>
        <w:t xml:space="preserve">decyduje się włączyć je do systemu dopłat, </w:t>
      </w:r>
      <w:r>
        <w:rPr>
          <w:rFonts w:asciiTheme="minorHAnsi" w:hAnsiTheme="minorHAnsi" w:cs="Arial"/>
          <w:sz w:val="22"/>
          <w:szCs w:val="22"/>
        </w:rPr>
        <w:t>będzie</w:t>
      </w:r>
      <w:r w:rsidRPr="00F90FD4">
        <w:rPr>
          <w:rFonts w:asciiTheme="minorHAnsi" w:hAnsiTheme="minorHAnsi" w:cs="Arial"/>
          <w:sz w:val="22"/>
          <w:szCs w:val="22"/>
        </w:rPr>
        <w:t xml:space="preserve"> jednak </w:t>
      </w:r>
      <w:r>
        <w:rPr>
          <w:rFonts w:asciiTheme="minorHAnsi" w:hAnsiTheme="minorHAnsi" w:cs="Arial"/>
          <w:sz w:val="22"/>
          <w:szCs w:val="22"/>
        </w:rPr>
        <w:t xml:space="preserve">musiał </w:t>
      </w:r>
      <w:r w:rsidRPr="00F90FD4">
        <w:rPr>
          <w:rFonts w:asciiTheme="minorHAnsi" w:hAnsiTheme="minorHAnsi" w:cs="Arial"/>
          <w:sz w:val="22"/>
          <w:szCs w:val="22"/>
        </w:rPr>
        <w:t xml:space="preserve">przestrzegać warunków ustawowych, </w:t>
      </w:r>
      <w:r>
        <w:rPr>
          <w:rFonts w:asciiTheme="minorHAnsi" w:hAnsiTheme="minorHAnsi" w:cs="Arial"/>
          <w:sz w:val="22"/>
          <w:szCs w:val="22"/>
        </w:rPr>
        <w:t>dotyczących np. gospodarowania</w:t>
      </w:r>
      <w:r w:rsidRPr="00F90FD4">
        <w:rPr>
          <w:rFonts w:asciiTheme="minorHAnsi" w:hAnsiTheme="minorHAnsi" w:cs="Arial"/>
          <w:sz w:val="22"/>
          <w:szCs w:val="22"/>
        </w:rPr>
        <w:t xml:space="preserve"> nimi jedynie na rzecz p</w:t>
      </w:r>
      <w:r>
        <w:rPr>
          <w:rFonts w:asciiTheme="minorHAnsi" w:hAnsiTheme="minorHAnsi" w:cs="Arial"/>
          <w:sz w:val="22"/>
          <w:szCs w:val="22"/>
        </w:rPr>
        <w:t xml:space="preserve">odmiotów wskazanych w ustawie, </w:t>
      </w:r>
      <w:r w:rsidRPr="00F90FD4">
        <w:rPr>
          <w:rFonts w:asciiTheme="minorHAnsi" w:hAnsiTheme="minorHAnsi" w:cs="Arial"/>
          <w:sz w:val="22"/>
          <w:szCs w:val="22"/>
        </w:rPr>
        <w:t>tj. podmiotów prowadzących działalność gospodarczą. Ta</w:t>
      </w:r>
      <w:r>
        <w:rPr>
          <w:rFonts w:asciiTheme="minorHAnsi" w:hAnsiTheme="minorHAnsi" w:cs="Arial"/>
          <w:sz w:val="22"/>
          <w:szCs w:val="22"/>
        </w:rPr>
        <w:t>ka</w:t>
      </w:r>
      <w:r w:rsidRPr="00F90FD4">
        <w:rPr>
          <w:rFonts w:asciiTheme="minorHAnsi" w:hAnsiTheme="minorHAnsi" w:cs="Arial"/>
          <w:sz w:val="22"/>
          <w:szCs w:val="22"/>
        </w:rPr>
        <w:t xml:space="preserve"> sytuacja nie </w:t>
      </w:r>
      <w:r>
        <w:rPr>
          <w:rFonts w:asciiTheme="minorHAnsi" w:hAnsiTheme="minorHAnsi" w:cs="Arial"/>
          <w:sz w:val="22"/>
          <w:szCs w:val="22"/>
        </w:rPr>
        <w:t xml:space="preserve">będzie </w:t>
      </w:r>
      <w:r w:rsidRPr="00F90FD4">
        <w:rPr>
          <w:rFonts w:asciiTheme="minorHAnsi" w:hAnsiTheme="minorHAnsi" w:cs="Arial"/>
          <w:sz w:val="22"/>
          <w:szCs w:val="22"/>
        </w:rPr>
        <w:t>wpływa</w:t>
      </w:r>
      <w:r>
        <w:rPr>
          <w:rFonts w:asciiTheme="minorHAnsi" w:hAnsiTheme="minorHAnsi" w:cs="Arial"/>
          <w:sz w:val="22"/>
          <w:szCs w:val="22"/>
        </w:rPr>
        <w:t>ć</w:t>
      </w:r>
      <w:r w:rsidRPr="00F90FD4">
        <w:rPr>
          <w:rFonts w:asciiTheme="minorHAnsi" w:hAnsiTheme="minorHAnsi" w:cs="Arial"/>
          <w:sz w:val="22"/>
          <w:szCs w:val="22"/>
        </w:rPr>
        <w:t xml:space="preserve"> na najemcę lokalu objętego dopłatami,  ponieważ lokal </w:t>
      </w:r>
      <w:r>
        <w:rPr>
          <w:rFonts w:asciiTheme="minorHAnsi" w:hAnsiTheme="minorHAnsi" w:cs="Arial"/>
          <w:sz w:val="22"/>
          <w:szCs w:val="22"/>
        </w:rPr>
        <w:t xml:space="preserve">ten będzie </w:t>
      </w:r>
      <w:r w:rsidRPr="00F90FD4">
        <w:rPr>
          <w:rFonts w:asciiTheme="minorHAnsi" w:hAnsiTheme="minorHAnsi" w:cs="Arial"/>
          <w:sz w:val="22"/>
          <w:szCs w:val="22"/>
        </w:rPr>
        <w:t>spełnia</w:t>
      </w:r>
      <w:r>
        <w:rPr>
          <w:rFonts w:asciiTheme="minorHAnsi" w:hAnsiTheme="minorHAnsi" w:cs="Arial"/>
          <w:sz w:val="22"/>
          <w:szCs w:val="22"/>
        </w:rPr>
        <w:t>ł</w:t>
      </w:r>
      <w:r w:rsidRPr="00F90FD4">
        <w:rPr>
          <w:rFonts w:asciiTheme="minorHAnsi" w:hAnsiTheme="minorHAnsi" w:cs="Arial"/>
          <w:sz w:val="22"/>
          <w:szCs w:val="22"/>
        </w:rPr>
        <w:t xml:space="preserve"> </w:t>
      </w:r>
      <w:r w:rsidRPr="00F90FD4">
        <w:rPr>
          <w:rFonts w:asciiTheme="minorHAnsi" w:hAnsiTheme="minorHAnsi" w:cs="Arial"/>
          <w:i/>
          <w:sz w:val="22"/>
          <w:szCs w:val="22"/>
        </w:rPr>
        <w:t>de facto</w:t>
      </w:r>
      <w:r w:rsidRPr="00F90FD4">
        <w:rPr>
          <w:rFonts w:asciiTheme="minorHAnsi" w:hAnsiTheme="minorHAnsi" w:cs="Arial"/>
          <w:sz w:val="22"/>
          <w:szCs w:val="22"/>
        </w:rPr>
        <w:t xml:space="preserve"> warunki </w:t>
      </w:r>
      <w:r>
        <w:rPr>
          <w:rFonts w:asciiTheme="minorHAnsi" w:hAnsiTheme="minorHAnsi" w:cs="Arial"/>
          <w:sz w:val="22"/>
          <w:szCs w:val="22"/>
        </w:rPr>
        <w:t>skutkujące objęciem  prawem do dopłat</w:t>
      </w:r>
      <w:r w:rsidRPr="00F90FD4">
        <w:rPr>
          <w:rFonts w:asciiTheme="minorHAnsi" w:hAnsiTheme="minorHAnsi" w:cs="Arial"/>
          <w:sz w:val="22"/>
          <w:szCs w:val="22"/>
        </w:rPr>
        <w:t xml:space="preserve">. </w:t>
      </w:r>
    </w:p>
    <w:p w:rsidR="00552386" w:rsidRPr="00AE1163" w:rsidRDefault="00AE1163" w:rsidP="00730411">
      <w:pPr>
        <w:pStyle w:val="Akapitzlist"/>
        <w:numPr>
          <w:ilvl w:val="0"/>
          <w:numId w:val="1"/>
        </w:numPr>
        <w:tabs>
          <w:tab w:val="left" w:pos="540"/>
        </w:tabs>
        <w:spacing w:after="240" w:line="240" w:lineRule="exact"/>
        <w:contextualSpacing w:val="0"/>
        <w:rPr>
          <w:rFonts w:asciiTheme="minorHAnsi" w:hAnsiTheme="minorHAnsi" w:cs="Arial"/>
          <w:b/>
          <w:sz w:val="22"/>
          <w:szCs w:val="22"/>
        </w:rPr>
      </w:pPr>
      <w:r w:rsidRPr="00AE1163">
        <w:rPr>
          <w:rFonts w:asciiTheme="minorHAnsi" w:hAnsiTheme="minorHAnsi" w:cs="Arial"/>
          <w:b/>
          <w:sz w:val="22"/>
          <w:szCs w:val="22"/>
        </w:rPr>
        <w:t>Zmiany w przepisach obowiązujących</w:t>
      </w:r>
    </w:p>
    <w:p w:rsidR="00220200" w:rsidRPr="00AE1163" w:rsidRDefault="00220200" w:rsidP="00730411">
      <w:pPr>
        <w:tabs>
          <w:tab w:val="left" w:pos="540"/>
        </w:tabs>
        <w:spacing w:after="240" w:line="240" w:lineRule="exact"/>
        <w:rPr>
          <w:rFonts w:asciiTheme="minorHAnsi" w:hAnsiTheme="minorHAnsi" w:cs="Arial"/>
          <w:sz w:val="22"/>
          <w:szCs w:val="22"/>
        </w:rPr>
      </w:pPr>
      <w:r w:rsidRPr="00AE1163">
        <w:rPr>
          <w:rFonts w:asciiTheme="minorHAnsi" w:hAnsiTheme="minorHAnsi" w:cs="Arial"/>
          <w:sz w:val="22"/>
          <w:szCs w:val="22"/>
        </w:rPr>
        <w:t>W konsekwencji przyjętych w projekcie usta</w:t>
      </w:r>
      <w:r w:rsidR="00E13B1F" w:rsidRPr="00AE1163">
        <w:rPr>
          <w:rFonts w:asciiTheme="minorHAnsi" w:hAnsiTheme="minorHAnsi" w:cs="Arial"/>
          <w:sz w:val="22"/>
          <w:szCs w:val="22"/>
        </w:rPr>
        <w:t xml:space="preserve">wy rozwiązań prawnych rozdział </w:t>
      </w:r>
      <w:r w:rsidR="00AE1163" w:rsidRPr="00AE1163">
        <w:rPr>
          <w:rFonts w:asciiTheme="minorHAnsi" w:hAnsiTheme="minorHAnsi" w:cs="Arial"/>
          <w:sz w:val="22"/>
          <w:szCs w:val="22"/>
        </w:rPr>
        <w:t>5</w:t>
      </w:r>
      <w:r w:rsidR="00481298">
        <w:rPr>
          <w:rFonts w:asciiTheme="minorHAnsi" w:hAnsiTheme="minorHAnsi" w:cs="Arial"/>
          <w:sz w:val="22"/>
          <w:szCs w:val="22"/>
        </w:rPr>
        <w:t>.</w:t>
      </w:r>
      <w:r w:rsidRPr="00AE1163">
        <w:rPr>
          <w:rFonts w:asciiTheme="minorHAnsi" w:hAnsiTheme="minorHAnsi" w:cs="Arial"/>
          <w:sz w:val="22"/>
          <w:szCs w:val="22"/>
        </w:rPr>
        <w:t xml:space="preserve"> obejmuje zmiany niezbędne do wprowadzenia w innych ustawach mających zastosowanie w kontekście </w:t>
      </w:r>
      <w:r w:rsidR="00AE1163" w:rsidRPr="00AE1163">
        <w:rPr>
          <w:rFonts w:asciiTheme="minorHAnsi" w:hAnsiTheme="minorHAnsi" w:cs="Arial"/>
          <w:sz w:val="22"/>
          <w:szCs w:val="22"/>
        </w:rPr>
        <w:t>stosowania dopłat do czynszu</w:t>
      </w:r>
      <w:r w:rsidR="00E13B1F" w:rsidRPr="00AE1163">
        <w:rPr>
          <w:rFonts w:asciiTheme="minorHAnsi" w:hAnsiTheme="minorHAnsi" w:cs="Arial"/>
          <w:sz w:val="22"/>
          <w:szCs w:val="22"/>
        </w:rPr>
        <w:t xml:space="preserve"> (art. </w:t>
      </w:r>
      <w:r w:rsidR="00891E06">
        <w:rPr>
          <w:rFonts w:asciiTheme="minorHAnsi" w:hAnsiTheme="minorHAnsi" w:cs="Arial"/>
          <w:sz w:val="22"/>
          <w:szCs w:val="22"/>
        </w:rPr>
        <w:t>2</w:t>
      </w:r>
      <w:r w:rsidR="002413EF">
        <w:rPr>
          <w:rFonts w:asciiTheme="minorHAnsi" w:hAnsiTheme="minorHAnsi" w:cs="Arial"/>
          <w:sz w:val="22"/>
          <w:szCs w:val="22"/>
        </w:rPr>
        <w:t>7</w:t>
      </w:r>
      <w:r w:rsidR="00E13B1F" w:rsidRPr="00AE1163">
        <w:rPr>
          <w:rFonts w:asciiTheme="minorHAnsi" w:hAnsiTheme="minorHAnsi" w:cs="Arial"/>
          <w:sz w:val="22"/>
          <w:szCs w:val="22"/>
        </w:rPr>
        <w:t>-</w:t>
      </w:r>
      <w:r w:rsidR="002413EF">
        <w:rPr>
          <w:rFonts w:asciiTheme="minorHAnsi" w:hAnsiTheme="minorHAnsi" w:cs="Arial"/>
          <w:sz w:val="22"/>
          <w:szCs w:val="22"/>
        </w:rPr>
        <w:t>30</w:t>
      </w:r>
      <w:r w:rsidRPr="00AE1163">
        <w:rPr>
          <w:rFonts w:asciiTheme="minorHAnsi" w:hAnsiTheme="minorHAnsi" w:cs="Arial"/>
          <w:sz w:val="22"/>
          <w:szCs w:val="22"/>
        </w:rPr>
        <w:t>).</w:t>
      </w:r>
    </w:p>
    <w:p w:rsidR="00B6726B" w:rsidRDefault="001A48B2" w:rsidP="001A48B2">
      <w:pPr>
        <w:tabs>
          <w:tab w:val="left" w:pos="540"/>
        </w:tabs>
        <w:spacing w:after="240" w:line="240" w:lineRule="exact"/>
        <w:rPr>
          <w:rFonts w:asciiTheme="minorHAnsi" w:hAnsiTheme="minorHAnsi" w:cs="Arial"/>
          <w:sz w:val="22"/>
          <w:szCs w:val="22"/>
        </w:rPr>
      </w:pPr>
      <w:r>
        <w:rPr>
          <w:rFonts w:asciiTheme="minorHAnsi" w:hAnsiTheme="minorHAnsi" w:cs="Arial"/>
          <w:sz w:val="22"/>
          <w:szCs w:val="22"/>
        </w:rPr>
        <w:t>Co do zasady, i</w:t>
      </w:r>
      <w:r w:rsidRPr="001A48B2">
        <w:rPr>
          <w:rFonts w:asciiTheme="minorHAnsi" w:hAnsiTheme="minorHAnsi" w:cs="Arial"/>
          <w:sz w:val="22"/>
          <w:szCs w:val="22"/>
        </w:rPr>
        <w:t>ntencją pro</w:t>
      </w:r>
      <w:r>
        <w:rPr>
          <w:rFonts w:asciiTheme="minorHAnsi" w:hAnsiTheme="minorHAnsi" w:cs="Arial"/>
          <w:sz w:val="22"/>
          <w:szCs w:val="22"/>
        </w:rPr>
        <w:t xml:space="preserve">jektodawcy jest to, by dopłata </w:t>
      </w:r>
      <w:r w:rsidRPr="001A48B2">
        <w:rPr>
          <w:rFonts w:asciiTheme="minorHAnsi" w:hAnsiTheme="minorHAnsi" w:cs="Arial"/>
          <w:sz w:val="22"/>
          <w:szCs w:val="22"/>
        </w:rPr>
        <w:t xml:space="preserve">w swoim charakterze traktowana była podobnie jak świadczenie udzielane w </w:t>
      </w:r>
      <w:r>
        <w:rPr>
          <w:rFonts w:asciiTheme="minorHAnsi" w:hAnsiTheme="minorHAnsi" w:cs="Arial"/>
          <w:sz w:val="22"/>
          <w:szCs w:val="22"/>
        </w:rPr>
        <w:t xml:space="preserve">ramach programu „Rodzina 500+”. </w:t>
      </w:r>
      <w:r w:rsidRPr="001A48B2">
        <w:rPr>
          <w:rFonts w:asciiTheme="minorHAnsi" w:hAnsiTheme="minorHAnsi" w:cs="Arial"/>
          <w:sz w:val="22"/>
          <w:szCs w:val="22"/>
        </w:rPr>
        <w:t xml:space="preserve">Takie podejście uzasadnia również fakt, że dopłata będzie wsparciem przekazywanym na rachunek </w:t>
      </w:r>
      <w:r w:rsidR="00E07CAB">
        <w:rPr>
          <w:rFonts w:asciiTheme="minorHAnsi" w:hAnsiTheme="minorHAnsi" w:cs="Arial"/>
          <w:sz w:val="22"/>
          <w:szCs w:val="22"/>
        </w:rPr>
        <w:t>wynajmującego</w:t>
      </w:r>
      <w:r w:rsidRPr="001A48B2">
        <w:rPr>
          <w:rFonts w:asciiTheme="minorHAnsi" w:hAnsiTheme="minorHAnsi" w:cs="Arial"/>
          <w:sz w:val="22"/>
          <w:szCs w:val="22"/>
        </w:rPr>
        <w:t>, a nie najemcy. Będzie zatem rozlicz</w:t>
      </w:r>
      <w:r w:rsidR="00E07CAB">
        <w:rPr>
          <w:rFonts w:asciiTheme="minorHAnsi" w:hAnsiTheme="minorHAnsi" w:cs="Arial"/>
          <w:sz w:val="22"/>
          <w:szCs w:val="22"/>
        </w:rPr>
        <w:t xml:space="preserve">ana w ramach relacji BGK – </w:t>
      </w:r>
      <w:r w:rsidR="002413EF">
        <w:rPr>
          <w:rFonts w:asciiTheme="minorHAnsi" w:hAnsiTheme="minorHAnsi" w:cs="Arial"/>
          <w:sz w:val="22"/>
          <w:szCs w:val="22"/>
        </w:rPr>
        <w:t>gmina</w:t>
      </w:r>
      <w:r w:rsidRPr="001A48B2">
        <w:rPr>
          <w:rFonts w:asciiTheme="minorHAnsi" w:hAnsiTheme="minorHAnsi" w:cs="Arial"/>
          <w:sz w:val="22"/>
          <w:szCs w:val="22"/>
        </w:rPr>
        <w:t xml:space="preserve"> – </w:t>
      </w:r>
      <w:r w:rsidR="00E07CAB">
        <w:rPr>
          <w:rFonts w:asciiTheme="minorHAnsi" w:hAnsiTheme="minorHAnsi" w:cs="Arial"/>
          <w:sz w:val="22"/>
          <w:szCs w:val="22"/>
        </w:rPr>
        <w:t>wynajmujący</w:t>
      </w:r>
      <w:r w:rsidR="00042B8D">
        <w:rPr>
          <w:rFonts w:asciiTheme="minorHAnsi" w:hAnsiTheme="minorHAnsi" w:cs="Arial"/>
          <w:sz w:val="22"/>
          <w:szCs w:val="22"/>
        </w:rPr>
        <w:t>(inwestor)</w:t>
      </w:r>
      <w:r w:rsidRPr="001A48B2">
        <w:rPr>
          <w:rFonts w:asciiTheme="minorHAnsi" w:hAnsiTheme="minorHAnsi" w:cs="Arial"/>
          <w:sz w:val="22"/>
          <w:szCs w:val="22"/>
        </w:rPr>
        <w:t xml:space="preserve">. </w:t>
      </w:r>
      <w:r w:rsidR="00E07CAB">
        <w:rPr>
          <w:rFonts w:asciiTheme="minorHAnsi" w:hAnsiTheme="minorHAnsi" w:cs="Arial"/>
          <w:sz w:val="22"/>
          <w:szCs w:val="22"/>
        </w:rPr>
        <w:t xml:space="preserve">W związku z powyższym oraz zróżnicowanym w ramach systemu prawnego podejściem do pojęcia dochodu zachodzi uzasadniona </w:t>
      </w:r>
      <w:r w:rsidRPr="001A48B2">
        <w:rPr>
          <w:rFonts w:asciiTheme="minorHAnsi" w:hAnsiTheme="minorHAnsi" w:cs="Arial"/>
          <w:sz w:val="22"/>
          <w:szCs w:val="22"/>
        </w:rPr>
        <w:t>potrzeba dokonania zmian w innych aktach normatywnych</w:t>
      </w:r>
      <w:r w:rsidR="00E07CAB">
        <w:rPr>
          <w:rFonts w:asciiTheme="minorHAnsi" w:hAnsiTheme="minorHAnsi" w:cs="Arial"/>
          <w:sz w:val="22"/>
          <w:szCs w:val="22"/>
        </w:rPr>
        <w:t xml:space="preserve"> w sposób zapewniający zrównoważenie interesów wszystkich uczestników systemu dopłat, z poszanowaniem celów wynikających</w:t>
      </w:r>
      <w:r w:rsidR="00BE1AAA">
        <w:rPr>
          <w:rFonts w:asciiTheme="minorHAnsi" w:hAnsiTheme="minorHAnsi" w:cs="Arial"/>
          <w:sz w:val="22"/>
          <w:szCs w:val="22"/>
        </w:rPr>
        <w:t xml:space="preserve"> </w:t>
      </w:r>
      <w:r w:rsidR="00E07CAB">
        <w:rPr>
          <w:rFonts w:asciiTheme="minorHAnsi" w:hAnsiTheme="minorHAnsi" w:cs="Arial"/>
          <w:sz w:val="22"/>
          <w:szCs w:val="22"/>
        </w:rPr>
        <w:t>z Narodowego Programu Mieszkaniowego i innych instrumentów wsparcia ludności</w:t>
      </w:r>
      <w:r w:rsidRPr="001A48B2">
        <w:rPr>
          <w:rFonts w:asciiTheme="minorHAnsi" w:hAnsiTheme="minorHAnsi" w:cs="Arial"/>
          <w:sz w:val="22"/>
          <w:szCs w:val="22"/>
        </w:rPr>
        <w:t>.</w:t>
      </w:r>
      <w:r w:rsidR="00B6726B">
        <w:rPr>
          <w:rFonts w:asciiTheme="minorHAnsi" w:hAnsiTheme="minorHAnsi" w:cs="Arial"/>
          <w:sz w:val="22"/>
          <w:szCs w:val="22"/>
        </w:rPr>
        <w:t xml:space="preserve"> </w:t>
      </w:r>
      <w:r w:rsidR="00B6726B" w:rsidRPr="00B6726B">
        <w:rPr>
          <w:rFonts w:asciiTheme="minorHAnsi" w:hAnsiTheme="minorHAnsi" w:cs="Arial"/>
          <w:b/>
          <w:sz w:val="22"/>
          <w:szCs w:val="22"/>
        </w:rPr>
        <w:t>Art. 2</w:t>
      </w:r>
      <w:r w:rsidR="002413EF">
        <w:rPr>
          <w:rFonts w:asciiTheme="minorHAnsi" w:hAnsiTheme="minorHAnsi" w:cs="Arial"/>
          <w:b/>
          <w:sz w:val="22"/>
          <w:szCs w:val="22"/>
        </w:rPr>
        <w:t>7</w:t>
      </w:r>
      <w:r w:rsidR="00B6726B">
        <w:rPr>
          <w:rFonts w:asciiTheme="minorHAnsi" w:hAnsiTheme="minorHAnsi" w:cs="Arial"/>
          <w:sz w:val="22"/>
          <w:szCs w:val="22"/>
        </w:rPr>
        <w:t xml:space="preserve"> wprowadza </w:t>
      </w:r>
      <w:r w:rsidR="00D27B0B">
        <w:rPr>
          <w:rFonts w:asciiTheme="minorHAnsi" w:hAnsiTheme="minorHAnsi" w:cs="Arial"/>
          <w:sz w:val="22"/>
          <w:szCs w:val="22"/>
        </w:rPr>
        <w:br/>
      </w:r>
      <w:r w:rsidR="00B6726B">
        <w:rPr>
          <w:rFonts w:asciiTheme="minorHAnsi" w:hAnsiTheme="minorHAnsi" w:cs="Arial"/>
          <w:sz w:val="22"/>
          <w:szCs w:val="22"/>
        </w:rPr>
        <w:t xml:space="preserve">w związku z powyższym zwolnienie </w:t>
      </w:r>
      <w:r w:rsidR="00B6726B" w:rsidRPr="00B6726B">
        <w:rPr>
          <w:rFonts w:asciiTheme="minorHAnsi" w:hAnsiTheme="minorHAnsi" w:cs="Arial"/>
          <w:sz w:val="22"/>
          <w:szCs w:val="22"/>
        </w:rPr>
        <w:t>dopłaty z</w:t>
      </w:r>
      <w:r w:rsidR="00B6726B">
        <w:rPr>
          <w:rFonts w:asciiTheme="minorHAnsi" w:hAnsiTheme="minorHAnsi" w:cs="Arial"/>
          <w:sz w:val="22"/>
          <w:szCs w:val="22"/>
        </w:rPr>
        <w:t xml:space="preserve"> podatku dochodowego</w:t>
      </w:r>
      <w:r w:rsidR="007D46B4">
        <w:rPr>
          <w:rFonts w:asciiTheme="minorHAnsi" w:hAnsiTheme="minorHAnsi" w:cs="Arial"/>
          <w:sz w:val="22"/>
          <w:szCs w:val="22"/>
        </w:rPr>
        <w:t xml:space="preserve">, natomiast </w:t>
      </w:r>
      <w:r w:rsidR="007D46B4" w:rsidRPr="00E010FA">
        <w:rPr>
          <w:rFonts w:asciiTheme="minorHAnsi" w:hAnsiTheme="minorHAnsi" w:cs="Arial"/>
          <w:b/>
          <w:sz w:val="22"/>
          <w:szCs w:val="22"/>
        </w:rPr>
        <w:t>art. 2</w:t>
      </w:r>
      <w:r w:rsidR="002413EF">
        <w:rPr>
          <w:rFonts w:asciiTheme="minorHAnsi" w:hAnsiTheme="minorHAnsi" w:cs="Arial"/>
          <w:b/>
          <w:sz w:val="22"/>
          <w:szCs w:val="22"/>
        </w:rPr>
        <w:t>9</w:t>
      </w:r>
      <w:r w:rsidR="007D46B4">
        <w:rPr>
          <w:rFonts w:asciiTheme="minorHAnsi" w:hAnsiTheme="minorHAnsi" w:cs="Arial"/>
          <w:sz w:val="22"/>
          <w:szCs w:val="22"/>
        </w:rPr>
        <w:t xml:space="preserve"> </w:t>
      </w:r>
      <w:r w:rsidR="008055E9">
        <w:rPr>
          <w:rFonts w:asciiTheme="minorHAnsi" w:hAnsiTheme="minorHAnsi" w:cs="Arial"/>
          <w:sz w:val="22"/>
          <w:szCs w:val="22"/>
        </w:rPr>
        <w:t xml:space="preserve">reguluje </w:t>
      </w:r>
      <w:r w:rsidR="007D46B4">
        <w:rPr>
          <w:rFonts w:asciiTheme="minorHAnsi" w:hAnsiTheme="minorHAnsi" w:cs="Arial"/>
          <w:sz w:val="22"/>
          <w:szCs w:val="22"/>
        </w:rPr>
        <w:t>podejście do dopłat w kontekście ustalania prawa do dodatku mieszkaniowego</w:t>
      </w:r>
      <w:r w:rsidR="00B6726B">
        <w:rPr>
          <w:rFonts w:asciiTheme="minorHAnsi" w:hAnsiTheme="minorHAnsi" w:cs="Arial"/>
          <w:sz w:val="22"/>
          <w:szCs w:val="22"/>
        </w:rPr>
        <w:t xml:space="preserve">. </w:t>
      </w:r>
    </w:p>
    <w:p w:rsidR="002413EF" w:rsidRDefault="002413EF" w:rsidP="001A48B2">
      <w:pPr>
        <w:tabs>
          <w:tab w:val="left" w:pos="540"/>
        </w:tabs>
        <w:spacing w:after="240" w:line="240" w:lineRule="exact"/>
        <w:rPr>
          <w:rFonts w:asciiTheme="minorHAnsi" w:hAnsiTheme="minorHAnsi" w:cs="Arial"/>
          <w:sz w:val="22"/>
          <w:szCs w:val="22"/>
        </w:rPr>
      </w:pPr>
      <w:r>
        <w:rPr>
          <w:rFonts w:asciiTheme="minorHAnsi" w:hAnsiTheme="minorHAnsi" w:cs="Arial"/>
          <w:sz w:val="22"/>
          <w:szCs w:val="22"/>
        </w:rPr>
        <w:t xml:space="preserve">Mając na względzie zawarty w projektowanej ustawie obowiązek uzyskiwania przez organ właściwy informacji od organów podatkowych w przypadku zaistnienia wątpliwości co do prawdziwości oświadczenia dochodowego składanego przez najemcę, w </w:t>
      </w:r>
      <w:r w:rsidRPr="002413EF">
        <w:rPr>
          <w:rFonts w:asciiTheme="minorHAnsi" w:hAnsiTheme="minorHAnsi" w:cs="Arial"/>
          <w:b/>
          <w:sz w:val="22"/>
          <w:szCs w:val="22"/>
        </w:rPr>
        <w:t>art. 28</w:t>
      </w:r>
      <w:r>
        <w:rPr>
          <w:rFonts w:asciiTheme="minorHAnsi" w:hAnsiTheme="minorHAnsi" w:cs="Arial"/>
          <w:sz w:val="22"/>
          <w:szCs w:val="22"/>
        </w:rPr>
        <w:t xml:space="preserve"> projektu ustawy zawarto zmianę w przepisach podatkowych umożliwiającą podejmowanie takich czynności.</w:t>
      </w:r>
    </w:p>
    <w:p w:rsidR="002413EF" w:rsidRPr="00B6726B" w:rsidRDefault="00B6726B" w:rsidP="00730411">
      <w:pPr>
        <w:tabs>
          <w:tab w:val="left" w:pos="540"/>
        </w:tabs>
        <w:spacing w:after="240" w:line="240" w:lineRule="exact"/>
        <w:rPr>
          <w:rFonts w:asciiTheme="minorHAnsi" w:hAnsiTheme="minorHAnsi" w:cs="Arial"/>
          <w:sz w:val="22"/>
          <w:szCs w:val="22"/>
        </w:rPr>
      </w:pPr>
      <w:r>
        <w:rPr>
          <w:rFonts w:asciiTheme="minorHAnsi" w:hAnsiTheme="minorHAnsi" w:cs="Arial"/>
          <w:sz w:val="22"/>
          <w:szCs w:val="22"/>
        </w:rPr>
        <w:t>W myśl rozwiązań przyjętych w projektowanej ustawie, zakładających realizację systemu dopłat do czynszu z wykorzystaniem Funduszu Dopłat</w:t>
      </w:r>
      <w:r w:rsidR="000A3B1F">
        <w:rPr>
          <w:rFonts w:asciiTheme="minorHAnsi" w:hAnsiTheme="minorHAnsi" w:cs="Arial"/>
          <w:sz w:val="22"/>
          <w:szCs w:val="22"/>
        </w:rPr>
        <w:t>,</w:t>
      </w:r>
      <w:r>
        <w:rPr>
          <w:rFonts w:asciiTheme="minorHAnsi" w:hAnsiTheme="minorHAnsi" w:cs="Arial"/>
          <w:sz w:val="22"/>
          <w:szCs w:val="22"/>
        </w:rPr>
        <w:t xml:space="preserve"> w </w:t>
      </w:r>
      <w:r w:rsidR="00E010FA">
        <w:rPr>
          <w:rFonts w:asciiTheme="minorHAnsi" w:hAnsiTheme="minorHAnsi" w:cs="Arial"/>
          <w:b/>
          <w:sz w:val="22"/>
          <w:szCs w:val="22"/>
        </w:rPr>
        <w:t xml:space="preserve">art. </w:t>
      </w:r>
      <w:r w:rsidR="002413EF">
        <w:rPr>
          <w:rFonts w:asciiTheme="minorHAnsi" w:hAnsiTheme="minorHAnsi" w:cs="Arial"/>
          <w:b/>
          <w:sz w:val="22"/>
          <w:szCs w:val="22"/>
        </w:rPr>
        <w:t>30</w:t>
      </w:r>
      <w:r w:rsidRPr="00B6726B">
        <w:rPr>
          <w:rFonts w:asciiTheme="minorHAnsi" w:hAnsiTheme="minorHAnsi" w:cs="Arial"/>
          <w:sz w:val="22"/>
          <w:szCs w:val="22"/>
        </w:rPr>
        <w:t xml:space="preserve"> </w:t>
      </w:r>
      <w:r>
        <w:rPr>
          <w:rFonts w:asciiTheme="minorHAnsi" w:hAnsiTheme="minorHAnsi" w:cs="Arial"/>
          <w:sz w:val="22"/>
          <w:szCs w:val="22"/>
        </w:rPr>
        <w:t xml:space="preserve">wskazano natomiast </w:t>
      </w:r>
      <w:r w:rsidR="002413EF">
        <w:rPr>
          <w:rFonts w:asciiTheme="minorHAnsi" w:hAnsiTheme="minorHAnsi" w:cs="Arial"/>
          <w:sz w:val="22"/>
          <w:szCs w:val="22"/>
        </w:rPr>
        <w:t xml:space="preserve">dodatkowe źródło środków Funduszu oraz </w:t>
      </w:r>
      <w:r>
        <w:rPr>
          <w:rFonts w:asciiTheme="minorHAnsi" w:hAnsiTheme="minorHAnsi" w:cs="Arial"/>
          <w:sz w:val="22"/>
          <w:szCs w:val="22"/>
        </w:rPr>
        <w:t>przeznaczenie środków Funduszu na dopłaty.</w:t>
      </w:r>
    </w:p>
    <w:p w:rsidR="00552386" w:rsidRPr="00263A1F" w:rsidRDefault="00552386" w:rsidP="00730411">
      <w:pPr>
        <w:pStyle w:val="Akapitzlist"/>
        <w:numPr>
          <w:ilvl w:val="0"/>
          <w:numId w:val="1"/>
        </w:numPr>
        <w:tabs>
          <w:tab w:val="left" w:pos="540"/>
        </w:tabs>
        <w:spacing w:after="240" w:line="240" w:lineRule="exact"/>
        <w:contextualSpacing w:val="0"/>
        <w:rPr>
          <w:rFonts w:asciiTheme="minorHAnsi" w:hAnsiTheme="minorHAnsi" w:cs="Arial"/>
          <w:b/>
          <w:sz w:val="22"/>
          <w:szCs w:val="22"/>
        </w:rPr>
      </w:pPr>
      <w:r w:rsidRPr="00AE1163">
        <w:rPr>
          <w:rFonts w:asciiTheme="minorHAnsi" w:hAnsiTheme="minorHAnsi" w:cs="Arial"/>
          <w:b/>
          <w:sz w:val="22"/>
          <w:szCs w:val="22"/>
        </w:rPr>
        <w:t>Przepisy dostosowujące i końcowe</w:t>
      </w:r>
    </w:p>
    <w:p w:rsidR="00D22543" w:rsidRDefault="00D22543" w:rsidP="00D22543">
      <w:pPr>
        <w:tabs>
          <w:tab w:val="left" w:pos="540"/>
        </w:tabs>
        <w:spacing w:after="240" w:line="240" w:lineRule="exact"/>
        <w:rPr>
          <w:rFonts w:asciiTheme="minorHAnsi" w:hAnsiTheme="minorHAnsi" w:cs="Arial"/>
          <w:sz w:val="22"/>
          <w:szCs w:val="22"/>
        </w:rPr>
      </w:pPr>
      <w:r w:rsidRPr="00946F44">
        <w:rPr>
          <w:rFonts w:asciiTheme="minorHAnsi" w:hAnsiTheme="minorHAnsi" w:cs="Arial"/>
          <w:sz w:val="22"/>
          <w:szCs w:val="22"/>
        </w:rPr>
        <w:t>Głównym przedmiotem rozdziału 6</w:t>
      </w:r>
      <w:r>
        <w:rPr>
          <w:rFonts w:asciiTheme="minorHAnsi" w:hAnsiTheme="minorHAnsi" w:cs="Arial"/>
          <w:sz w:val="22"/>
          <w:szCs w:val="22"/>
        </w:rPr>
        <w:t>.</w:t>
      </w:r>
      <w:r w:rsidRPr="00946F44">
        <w:rPr>
          <w:rFonts w:asciiTheme="minorHAnsi" w:hAnsiTheme="minorHAnsi" w:cs="Arial"/>
          <w:sz w:val="22"/>
          <w:szCs w:val="22"/>
        </w:rPr>
        <w:t xml:space="preserve"> jest </w:t>
      </w:r>
      <w:r>
        <w:rPr>
          <w:rFonts w:asciiTheme="minorHAnsi" w:hAnsiTheme="minorHAnsi" w:cs="Arial"/>
          <w:sz w:val="22"/>
          <w:szCs w:val="22"/>
        </w:rPr>
        <w:t xml:space="preserve">określenie rozwiązań zapewniających realizację programu dopłat w ramach zakładanej skali finansowania z budżetu państwa, w szczególności – zgodnie z </w:t>
      </w:r>
      <w:r w:rsidRPr="00D22543">
        <w:rPr>
          <w:rFonts w:asciiTheme="minorHAnsi" w:hAnsiTheme="minorHAnsi" w:cs="Arial"/>
          <w:i/>
          <w:sz w:val="22"/>
          <w:szCs w:val="22"/>
        </w:rPr>
        <w:t>usta</w:t>
      </w:r>
      <w:r w:rsidR="00BE1AAA">
        <w:rPr>
          <w:rFonts w:asciiTheme="minorHAnsi" w:hAnsiTheme="minorHAnsi" w:cs="Arial"/>
          <w:i/>
          <w:sz w:val="22"/>
          <w:szCs w:val="22"/>
        </w:rPr>
        <w:t xml:space="preserve">wą </w:t>
      </w:r>
      <w:r w:rsidR="00D27B0B">
        <w:rPr>
          <w:rFonts w:asciiTheme="minorHAnsi" w:hAnsiTheme="minorHAnsi" w:cs="Arial"/>
          <w:i/>
          <w:sz w:val="22"/>
          <w:szCs w:val="22"/>
        </w:rPr>
        <w:br/>
      </w:r>
      <w:r w:rsidRPr="00D22543">
        <w:rPr>
          <w:rFonts w:asciiTheme="minorHAnsi" w:hAnsiTheme="minorHAnsi" w:cs="Arial"/>
          <w:i/>
          <w:sz w:val="22"/>
          <w:szCs w:val="22"/>
        </w:rPr>
        <w:t>z dnia 27 sierpnia 2009 r. o finansach publicznych</w:t>
      </w:r>
      <w:r>
        <w:rPr>
          <w:rFonts w:asciiTheme="minorHAnsi" w:hAnsiTheme="minorHAnsi" w:cs="Arial"/>
          <w:sz w:val="22"/>
          <w:szCs w:val="22"/>
        </w:rPr>
        <w:t xml:space="preserve"> (Dz. U. z 2017 r. poz. 2077) – </w:t>
      </w:r>
      <w:r w:rsidRPr="00946F44">
        <w:rPr>
          <w:rFonts w:asciiTheme="minorHAnsi" w:hAnsiTheme="minorHAnsi" w:cs="Arial"/>
          <w:sz w:val="22"/>
          <w:szCs w:val="22"/>
        </w:rPr>
        <w:t>wprowadzenie reguły wydatkowej i mechanizmu korygującego (</w:t>
      </w:r>
      <w:r w:rsidR="00AB2163">
        <w:rPr>
          <w:rFonts w:asciiTheme="minorHAnsi" w:hAnsiTheme="minorHAnsi" w:cs="Arial"/>
          <w:b/>
          <w:sz w:val="22"/>
          <w:szCs w:val="22"/>
        </w:rPr>
        <w:t xml:space="preserve">art. </w:t>
      </w:r>
      <w:r w:rsidR="000B2A3F">
        <w:rPr>
          <w:rFonts w:asciiTheme="minorHAnsi" w:hAnsiTheme="minorHAnsi" w:cs="Arial"/>
          <w:b/>
          <w:sz w:val="22"/>
          <w:szCs w:val="22"/>
        </w:rPr>
        <w:t>31</w:t>
      </w:r>
      <w:r w:rsidRPr="00E519A7">
        <w:rPr>
          <w:rFonts w:asciiTheme="minorHAnsi" w:hAnsiTheme="minorHAnsi" w:cs="Arial"/>
          <w:b/>
          <w:sz w:val="22"/>
          <w:szCs w:val="22"/>
        </w:rPr>
        <w:t>-3</w:t>
      </w:r>
      <w:r w:rsidR="000B2A3F">
        <w:rPr>
          <w:rFonts w:asciiTheme="minorHAnsi" w:hAnsiTheme="minorHAnsi" w:cs="Arial"/>
          <w:b/>
          <w:sz w:val="22"/>
          <w:szCs w:val="22"/>
        </w:rPr>
        <w:t>3</w:t>
      </w:r>
      <w:r w:rsidRPr="00946F44">
        <w:rPr>
          <w:rFonts w:asciiTheme="minorHAnsi" w:hAnsiTheme="minorHAnsi" w:cs="Arial"/>
          <w:sz w:val="22"/>
          <w:szCs w:val="22"/>
        </w:rPr>
        <w:t>).</w:t>
      </w:r>
      <w:r>
        <w:rPr>
          <w:rFonts w:asciiTheme="minorHAnsi" w:hAnsiTheme="minorHAnsi" w:cs="Arial"/>
          <w:sz w:val="22"/>
          <w:szCs w:val="22"/>
        </w:rPr>
        <w:t xml:space="preserve"> </w:t>
      </w:r>
      <w:r w:rsidR="00705076">
        <w:rPr>
          <w:rFonts w:asciiTheme="minorHAnsi" w:hAnsiTheme="minorHAnsi" w:cs="Arial"/>
          <w:sz w:val="22"/>
          <w:szCs w:val="22"/>
        </w:rPr>
        <w:t>W</w:t>
      </w:r>
      <w:r>
        <w:rPr>
          <w:rFonts w:asciiTheme="minorHAnsi" w:hAnsiTheme="minorHAnsi" w:cs="Arial"/>
          <w:sz w:val="22"/>
          <w:szCs w:val="22"/>
        </w:rPr>
        <w:t>ażnym</w:t>
      </w:r>
      <w:r w:rsidRPr="00946F44">
        <w:rPr>
          <w:rFonts w:asciiTheme="minorHAnsi" w:hAnsiTheme="minorHAnsi" w:cs="Arial"/>
          <w:sz w:val="22"/>
          <w:szCs w:val="22"/>
        </w:rPr>
        <w:t xml:space="preserve"> założeniem </w:t>
      </w:r>
      <w:r>
        <w:rPr>
          <w:rFonts w:asciiTheme="minorHAnsi" w:hAnsiTheme="minorHAnsi" w:cs="Arial"/>
          <w:sz w:val="22"/>
          <w:szCs w:val="22"/>
        </w:rPr>
        <w:t xml:space="preserve">proponowanych </w:t>
      </w:r>
      <w:r w:rsidRPr="00946F44">
        <w:rPr>
          <w:rFonts w:asciiTheme="minorHAnsi" w:hAnsiTheme="minorHAnsi" w:cs="Arial"/>
          <w:sz w:val="22"/>
          <w:szCs w:val="22"/>
        </w:rPr>
        <w:t>przepisów jest</w:t>
      </w:r>
      <w:r>
        <w:rPr>
          <w:rFonts w:asciiTheme="minorHAnsi" w:hAnsiTheme="minorHAnsi" w:cs="Arial"/>
          <w:sz w:val="22"/>
          <w:szCs w:val="22"/>
        </w:rPr>
        <w:t xml:space="preserve"> </w:t>
      </w:r>
      <w:r w:rsidR="00705076">
        <w:rPr>
          <w:rFonts w:asciiTheme="minorHAnsi" w:hAnsiTheme="minorHAnsi" w:cs="Arial"/>
          <w:sz w:val="22"/>
          <w:szCs w:val="22"/>
        </w:rPr>
        <w:t xml:space="preserve">ponadto </w:t>
      </w:r>
      <w:r>
        <w:rPr>
          <w:rFonts w:asciiTheme="minorHAnsi" w:hAnsiTheme="minorHAnsi" w:cs="Arial"/>
          <w:sz w:val="22"/>
          <w:szCs w:val="22"/>
        </w:rPr>
        <w:t>wskazanie</w:t>
      </w:r>
      <w:r w:rsidRPr="00946F44">
        <w:rPr>
          <w:rFonts w:asciiTheme="minorHAnsi" w:hAnsiTheme="minorHAnsi" w:cs="Arial"/>
          <w:sz w:val="22"/>
          <w:szCs w:val="22"/>
        </w:rPr>
        <w:t>, że Fundusz Dopłat</w:t>
      </w:r>
      <w:r>
        <w:rPr>
          <w:rFonts w:asciiTheme="minorHAnsi" w:hAnsiTheme="minorHAnsi" w:cs="Arial"/>
          <w:sz w:val="22"/>
          <w:szCs w:val="22"/>
        </w:rPr>
        <w:t>, z którego środków</w:t>
      </w:r>
      <w:r w:rsidRPr="00946F44">
        <w:rPr>
          <w:rFonts w:asciiTheme="minorHAnsi" w:hAnsiTheme="minorHAnsi" w:cs="Arial"/>
          <w:sz w:val="22"/>
          <w:szCs w:val="22"/>
        </w:rPr>
        <w:t xml:space="preserve"> </w:t>
      </w:r>
      <w:r>
        <w:rPr>
          <w:rFonts w:asciiTheme="minorHAnsi" w:hAnsiTheme="minorHAnsi" w:cs="Arial"/>
          <w:sz w:val="22"/>
          <w:szCs w:val="22"/>
        </w:rPr>
        <w:t>będzie finansowany</w:t>
      </w:r>
      <w:r w:rsidR="00705076" w:rsidRPr="00705076">
        <w:t xml:space="preserve"> </w:t>
      </w:r>
      <w:r w:rsidR="00705076" w:rsidRPr="00705076">
        <w:rPr>
          <w:rFonts w:asciiTheme="minorHAnsi" w:hAnsiTheme="minorHAnsi" w:cs="Arial"/>
          <w:sz w:val="22"/>
          <w:szCs w:val="22"/>
        </w:rPr>
        <w:t>program dopłat do czynsz</w:t>
      </w:r>
      <w:r w:rsidR="00705076">
        <w:rPr>
          <w:rFonts w:asciiTheme="minorHAnsi" w:hAnsiTheme="minorHAnsi" w:cs="Arial"/>
          <w:sz w:val="22"/>
          <w:szCs w:val="22"/>
        </w:rPr>
        <w:t>u</w:t>
      </w:r>
      <w:r w:rsidRPr="00705076">
        <w:rPr>
          <w:rFonts w:asciiTheme="minorHAnsi" w:hAnsiTheme="minorHAnsi" w:cs="Arial"/>
          <w:sz w:val="22"/>
          <w:szCs w:val="22"/>
        </w:rPr>
        <w:t>,</w:t>
      </w:r>
      <w:r w:rsidRPr="00946F44">
        <w:rPr>
          <w:rFonts w:asciiTheme="minorHAnsi" w:hAnsiTheme="minorHAnsi" w:cs="Arial"/>
          <w:sz w:val="22"/>
          <w:szCs w:val="22"/>
        </w:rPr>
        <w:t xml:space="preserve"> może być</w:t>
      </w:r>
      <w:r>
        <w:rPr>
          <w:rFonts w:asciiTheme="minorHAnsi" w:hAnsiTheme="minorHAnsi" w:cs="Arial"/>
          <w:sz w:val="22"/>
          <w:szCs w:val="22"/>
        </w:rPr>
        <w:t xml:space="preserve"> w tym celu</w:t>
      </w:r>
      <w:r w:rsidRPr="00946F44">
        <w:rPr>
          <w:rFonts w:asciiTheme="minorHAnsi" w:hAnsiTheme="minorHAnsi" w:cs="Arial"/>
          <w:sz w:val="22"/>
          <w:szCs w:val="22"/>
        </w:rPr>
        <w:t xml:space="preserve"> zasilany nie tylko z budżetu państwa, ale również z innych źródeł</w:t>
      </w:r>
      <w:r>
        <w:rPr>
          <w:rFonts w:asciiTheme="minorHAnsi" w:hAnsiTheme="minorHAnsi" w:cs="Arial"/>
          <w:sz w:val="22"/>
          <w:szCs w:val="22"/>
        </w:rPr>
        <w:t xml:space="preserve">, </w:t>
      </w:r>
      <w:r w:rsidR="00D27B0B">
        <w:rPr>
          <w:rFonts w:asciiTheme="minorHAnsi" w:hAnsiTheme="minorHAnsi" w:cs="Arial"/>
          <w:sz w:val="22"/>
          <w:szCs w:val="22"/>
        </w:rPr>
        <w:br/>
      </w:r>
      <w:r>
        <w:rPr>
          <w:rFonts w:asciiTheme="minorHAnsi" w:hAnsiTheme="minorHAnsi" w:cs="Arial"/>
          <w:sz w:val="22"/>
          <w:szCs w:val="22"/>
        </w:rPr>
        <w:t>w szczególności</w:t>
      </w:r>
      <w:r w:rsidRPr="00946F44">
        <w:rPr>
          <w:rFonts w:asciiTheme="minorHAnsi" w:hAnsiTheme="minorHAnsi" w:cs="Arial"/>
          <w:sz w:val="22"/>
          <w:szCs w:val="22"/>
        </w:rPr>
        <w:t xml:space="preserve"> przychodów z obrotu gruntami </w:t>
      </w:r>
      <w:r w:rsidR="000579EA">
        <w:rPr>
          <w:rFonts w:asciiTheme="minorHAnsi" w:hAnsiTheme="minorHAnsi" w:cs="Arial"/>
          <w:sz w:val="22"/>
          <w:szCs w:val="22"/>
        </w:rPr>
        <w:t xml:space="preserve">gospodarowanymi przez </w:t>
      </w:r>
      <w:r w:rsidRPr="00946F44">
        <w:rPr>
          <w:rFonts w:asciiTheme="minorHAnsi" w:hAnsiTheme="minorHAnsi" w:cs="Arial"/>
          <w:sz w:val="22"/>
          <w:szCs w:val="22"/>
        </w:rPr>
        <w:t>Krajow</w:t>
      </w:r>
      <w:r w:rsidR="000579EA">
        <w:rPr>
          <w:rFonts w:asciiTheme="minorHAnsi" w:hAnsiTheme="minorHAnsi" w:cs="Arial"/>
          <w:sz w:val="22"/>
          <w:szCs w:val="22"/>
        </w:rPr>
        <w:t>y</w:t>
      </w:r>
      <w:r w:rsidRPr="00946F44">
        <w:rPr>
          <w:rFonts w:asciiTheme="minorHAnsi" w:hAnsiTheme="minorHAnsi" w:cs="Arial"/>
          <w:sz w:val="22"/>
          <w:szCs w:val="22"/>
        </w:rPr>
        <w:t xml:space="preserve"> Zas</w:t>
      </w:r>
      <w:r w:rsidR="000579EA">
        <w:rPr>
          <w:rFonts w:asciiTheme="minorHAnsi" w:hAnsiTheme="minorHAnsi" w:cs="Arial"/>
          <w:sz w:val="22"/>
          <w:szCs w:val="22"/>
        </w:rPr>
        <w:t>ób</w:t>
      </w:r>
      <w:r w:rsidRPr="00946F44">
        <w:rPr>
          <w:rFonts w:asciiTheme="minorHAnsi" w:hAnsiTheme="minorHAnsi" w:cs="Arial"/>
          <w:sz w:val="22"/>
          <w:szCs w:val="22"/>
        </w:rPr>
        <w:t xml:space="preserve"> </w:t>
      </w:r>
      <w:r w:rsidR="00D27B0B">
        <w:rPr>
          <w:rFonts w:asciiTheme="minorHAnsi" w:hAnsiTheme="minorHAnsi" w:cs="Arial"/>
          <w:sz w:val="22"/>
          <w:szCs w:val="22"/>
        </w:rPr>
        <w:br/>
      </w:r>
      <w:r w:rsidRPr="00946F44">
        <w:rPr>
          <w:rFonts w:asciiTheme="minorHAnsi" w:hAnsiTheme="minorHAnsi" w:cs="Arial"/>
          <w:sz w:val="22"/>
          <w:szCs w:val="22"/>
        </w:rPr>
        <w:t xml:space="preserve">Nieruchomości. </w:t>
      </w:r>
    </w:p>
    <w:p w:rsidR="00D22543" w:rsidRPr="00192735" w:rsidRDefault="00D22543" w:rsidP="00D22543">
      <w:pPr>
        <w:tabs>
          <w:tab w:val="left" w:pos="540"/>
        </w:tabs>
        <w:spacing w:after="240" w:line="240" w:lineRule="exact"/>
        <w:rPr>
          <w:rFonts w:asciiTheme="minorHAnsi" w:hAnsiTheme="minorHAnsi" w:cs="Arial"/>
          <w:sz w:val="22"/>
          <w:szCs w:val="22"/>
        </w:rPr>
      </w:pPr>
      <w:r>
        <w:rPr>
          <w:rFonts w:asciiTheme="minorHAnsi" w:hAnsiTheme="minorHAnsi" w:cs="Arial"/>
          <w:sz w:val="22"/>
          <w:szCs w:val="22"/>
        </w:rPr>
        <w:t>Zgodnie z przyjętymi zasadami realizacji Narodowego Programu Mieszkaniowego skala środków budżetu państwa przeznaczana bezpośrednio na finansowanie nowych programów wsparcia gospodarstw domowych w zaspokajaniu potrzeb mieszkaniowych powinna w najbliższych latach k</w:t>
      </w:r>
      <w:bookmarkStart w:id="0" w:name="_GoBack"/>
      <w:bookmarkEnd w:id="0"/>
      <w:r>
        <w:rPr>
          <w:rFonts w:asciiTheme="minorHAnsi" w:hAnsiTheme="minorHAnsi" w:cs="Arial"/>
          <w:sz w:val="22"/>
          <w:szCs w:val="22"/>
        </w:rPr>
        <w:t>orespondować ze skalą wygaszanych wydatków budżetu związanych z kończonymi programami RnS i MdM. Odzwierciedla to przyjęte w projekcie z</w:t>
      </w:r>
      <w:r w:rsidRPr="00192735">
        <w:rPr>
          <w:rFonts w:asciiTheme="minorHAnsi" w:hAnsiTheme="minorHAnsi" w:cs="Arial"/>
          <w:sz w:val="22"/>
          <w:szCs w:val="22"/>
        </w:rPr>
        <w:t>ałożeni</w:t>
      </w:r>
      <w:r>
        <w:rPr>
          <w:rFonts w:asciiTheme="minorHAnsi" w:hAnsiTheme="minorHAnsi" w:cs="Arial"/>
          <w:sz w:val="22"/>
          <w:szCs w:val="22"/>
        </w:rPr>
        <w:t>e</w:t>
      </w:r>
      <w:r w:rsidRPr="00192735">
        <w:rPr>
          <w:rFonts w:asciiTheme="minorHAnsi" w:hAnsiTheme="minorHAnsi" w:cs="Arial"/>
          <w:sz w:val="22"/>
          <w:szCs w:val="22"/>
        </w:rPr>
        <w:t xml:space="preserve"> utrzymania rzeczywistego poziomu wydatków</w:t>
      </w:r>
      <w:r>
        <w:rPr>
          <w:rFonts w:asciiTheme="minorHAnsi" w:hAnsiTheme="minorHAnsi" w:cs="Arial"/>
          <w:sz w:val="22"/>
          <w:szCs w:val="22"/>
        </w:rPr>
        <w:t xml:space="preserve"> budżetowych</w:t>
      </w:r>
      <w:r w:rsidRPr="00192735">
        <w:rPr>
          <w:rFonts w:asciiTheme="minorHAnsi" w:hAnsiTheme="minorHAnsi" w:cs="Arial"/>
          <w:sz w:val="22"/>
          <w:szCs w:val="22"/>
        </w:rPr>
        <w:t xml:space="preserve"> na finansowanie programu na poziomie limitów wynoszących </w:t>
      </w:r>
      <w:r>
        <w:rPr>
          <w:rFonts w:asciiTheme="minorHAnsi" w:hAnsiTheme="minorHAnsi" w:cs="Arial"/>
          <w:sz w:val="22"/>
          <w:szCs w:val="22"/>
        </w:rPr>
        <w:t xml:space="preserve">ok. </w:t>
      </w:r>
      <w:r w:rsidRPr="00192735">
        <w:rPr>
          <w:rFonts w:asciiTheme="minorHAnsi" w:hAnsiTheme="minorHAnsi" w:cs="Arial"/>
          <w:sz w:val="22"/>
          <w:szCs w:val="22"/>
        </w:rPr>
        <w:t>200 mln zł w 2019 r. do</w:t>
      </w:r>
      <w:r>
        <w:rPr>
          <w:rFonts w:asciiTheme="minorHAnsi" w:hAnsiTheme="minorHAnsi" w:cs="Arial"/>
          <w:sz w:val="22"/>
          <w:szCs w:val="22"/>
        </w:rPr>
        <w:t xml:space="preserve"> </w:t>
      </w:r>
      <w:r>
        <w:rPr>
          <w:rFonts w:asciiTheme="minorHAnsi" w:hAnsiTheme="minorHAnsi" w:cs="Arial"/>
          <w:sz w:val="22"/>
          <w:szCs w:val="22"/>
        </w:rPr>
        <w:br/>
        <w:t>ok.</w:t>
      </w:r>
      <w:r w:rsidRPr="00192735">
        <w:rPr>
          <w:rFonts w:asciiTheme="minorHAnsi" w:hAnsiTheme="minorHAnsi" w:cs="Arial"/>
          <w:sz w:val="22"/>
          <w:szCs w:val="22"/>
        </w:rPr>
        <w:t xml:space="preserve"> 1,2 mld począwszy od 2026 r. </w:t>
      </w:r>
      <w:r>
        <w:rPr>
          <w:rFonts w:asciiTheme="minorHAnsi" w:hAnsiTheme="minorHAnsi" w:cs="Arial"/>
          <w:sz w:val="22"/>
          <w:szCs w:val="22"/>
        </w:rPr>
        <w:t>W projekcie ustawy realizacji tego założenia przyporządkowane zostały</w:t>
      </w:r>
      <w:r w:rsidRPr="00192735">
        <w:rPr>
          <w:rFonts w:asciiTheme="minorHAnsi" w:hAnsiTheme="minorHAnsi" w:cs="Arial"/>
          <w:sz w:val="22"/>
          <w:szCs w:val="22"/>
        </w:rPr>
        <w:t xml:space="preserve"> monitorowane na bieżąco, zarządzane przez BGK, coroczne limity kwalifikacji</w:t>
      </w:r>
      <w:r w:rsidR="00AB2163">
        <w:rPr>
          <w:rFonts w:asciiTheme="minorHAnsi" w:hAnsiTheme="minorHAnsi" w:cs="Arial"/>
          <w:sz w:val="22"/>
          <w:szCs w:val="22"/>
        </w:rPr>
        <w:t xml:space="preserve">, określone </w:t>
      </w:r>
      <w:r w:rsidR="00AB2163">
        <w:rPr>
          <w:rFonts w:asciiTheme="minorHAnsi" w:hAnsiTheme="minorHAnsi" w:cs="Arial"/>
          <w:sz w:val="22"/>
          <w:szCs w:val="22"/>
        </w:rPr>
        <w:br/>
        <w:t xml:space="preserve">w </w:t>
      </w:r>
      <w:r w:rsidR="00AB2163" w:rsidRPr="00E10C3B">
        <w:rPr>
          <w:rFonts w:asciiTheme="minorHAnsi" w:hAnsiTheme="minorHAnsi" w:cs="Arial"/>
          <w:b/>
          <w:sz w:val="22"/>
          <w:szCs w:val="22"/>
        </w:rPr>
        <w:t xml:space="preserve">art. </w:t>
      </w:r>
      <w:r w:rsidR="00664487" w:rsidRPr="00E10C3B">
        <w:rPr>
          <w:rFonts w:asciiTheme="minorHAnsi" w:hAnsiTheme="minorHAnsi" w:cs="Arial"/>
          <w:b/>
          <w:sz w:val="22"/>
          <w:szCs w:val="22"/>
        </w:rPr>
        <w:t>31</w:t>
      </w:r>
      <w:r w:rsidR="00664487">
        <w:rPr>
          <w:rFonts w:asciiTheme="minorHAnsi" w:hAnsiTheme="minorHAnsi" w:cs="Arial"/>
          <w:sz w:val="22"/>
          <w:szCs w:val="22"/>
        </w:rPr>
        <w:t xml:space="preserve"> </w:t>
      </w:r>
      <w:r>
        <w:rPr>
          <w:rFonts w:asciiTheme="minorHAnsi" w:hAnsiTheme="minorHAnsi" w:cs="Arial"/>
          <w:sz w:val="22"/>
          <w:szCs w:val="22"/>
        </w:rPr>
        <w:t>projektu ustawy</w:t>
      </w:r>
      <w:r w:rsidRPr="00192735">
        <w:rPr>
          <w:rFonts w:asciiTheme="minorHAnsi" w:hAnsiTheme="minorHAnsi" w:cs="Arial"/>
          <w:sz w:val="22"/>
          <w:szCs w:val="22"/>
        </w:rPr>
        <w:t>. Nieprzekraczanie limitów kw</w:t>
      </w:r>
      <w:r>
        <w:rPr>
          <w:rFonts w:asciiTheme="minorHAnsi" w:hAnsiTheme="minorHAnsi" w:cs="Arial"/>
          <w:sz w:val="22"/>
          <w:szCs w:val="22"/>
        </w:rPr>
        <w:t>alifikacji, wskaz</w:t>
      </w:r>
      <w:r w:rsidR="00AB2163">
        <w:rPr>
          <w:rFonts w:asciiTheme="minorHAnsi" w:hAnsiTheme="minorHAnsi" w:cs="Arial"/>
          <w:sz w:val="22"/>
          <w:szCs w:val="22"/>
        </w:rPr>
        <w:t xml:space="preserve">anych w art. </w:t>
      </w:r>
      <w:r w:rsidR="00664487">
        <w:rPr>
          <w:rFonts w:asciiTheme="minorHAnsi" w:hAnsiTheme="minorHAnsi" w:cs="Arial"/>
          <w:sz w:val="22"/>
          <w:szCs w:val="22"/>
        </w:rPr>
        <w:t>31</w:t>
      </w:r>
      <w:r w:rsidR="00664487" w:rsidRPr="00192735">
        <w:rPr>
          <w:rFonts w:asciiTheme="minorHAnsi" w:hAnsiTheme="minorHAnsi" w:cs="Arial"/>
          <w:sz w:val="22"/>
          <w:szCs w:val="22"/>
        </w:rPr>
        <w:t xml:space="preserve"> </w:t>
      </w:r>
      <w:r w:rsidRPr="00192735">
        <w:rPr>
          <w:rFonts w:asciiTheme="minorHAnsi" w:hAnsiTheme="minorHAnsi" w:cs="Arial"/>
          <w:sz w:val="22"/>
          <w:szCs w:val="22"/>
        </w:rPr>
        <w:t xml:space="preserve">ust. 1, będzie warunkiem zawierania nowych umów </w:t>
      </w:r>
      <w:r>
        <w:rPr>
          <w:rFonts w:asciiTheme="minorHAnsi" w:hAnsiTheme="minorHAnsi" w:cs="Arial"/>
          <w:sz w:val="22"/>
          <w:szCs w:val="22"/>
        </w:rPr>
        <w:t xml:space="preserve">w sprawie stosowania dopłat </w:t>
      </w:r>
      <w:r w:rsidRPr="00192735">
        <w:rPr>
          <w:rFonts w:asciiTheme="minorHAnsi" w:hAnsiTheme="minorHAnsi" w:cs="Arial"/>
          <w:sz w:val="22"/>
          <w:szCs w:val="22"/>
        </w:rPr>
        <w:t>pomiędzy B</w:t>
      </w:r>
      <w:r>
        <w:rPr>
          <w:rFonts w:asciiTheme="minorHAnsi" w:hAnsiTheme="minorHAnsi" w:cs="Arial"/>
          <w:sz w:val="22"/>
          <w:szCs w:val="22"/>
        </w:rPr>
        <w:t xml:space="preserve">GK a </w:t>
      </w:r>
      <w:r w:rsidR="00664487">
        <w:rPr>
          <w:rFonts w:asciiTheme="minorHAnsi" w:hAnsiTheme="minorHAnsi" w:cs="Arial"/>
          <w:sz w:val="22"/>
          <w:szCs w:val="22"/>
        </w:rPr>
        <w:t>gminami</w:t>
      </w:r>
      <w:r>
        <w:rPr>
          <w:rFonts w:asciiTheme="minorHAnsi" w:hAnsiTheme="minorHAnsi" w:cs="Arial"/>
          <w:sz w:val="22"/>
          <w:szCs w:val="22"/>
        </w:rPr>
        <w:t xml:space="preserve">. </w:t>
      </w:r>
      <w:r w:rsidRPr="00192735">
        <w:rPr>
          <w:rFonts w:asciiTheme="minorHAnsi" w:hAnsiTheme="minorHAnsi" w:cs="Arial"/>
          <w:sz w:val="22"/>
          <w:szCs w:val="22"/>
        </w:rPr>
        <w:t>W praktyce oznacza to, że kwoty limitu kwalifikacji będą na bieżąco limitowały nowe inwestycje – jeśli będzie zachodził</w:t>
      </w:r>
      <w:r>
        <w:rPr>
          <w:rFonts w:asciiTheme="minorHAnsi" w:hAnsiTheme="minorHAnsi" w:cs="Arial"/>
          <w:sz w:val="22"/>
          <w:szCs w:val="22"/>
        </w:rPr>
        <w:t>a</w:t>
      </w:r>
      <w:r w:rsidRPr="00192735">
        <w:rPr>
          <w:rFonts w:asciiTheme="minorHAnsi" w:hAnsiTheme="minorHAnsi" w:cs="Arial"/>
          <w:sz w:val="22"/>
          <w:szCs w:val="22"/>
        </w:rPr>
        <w:t xml:space="preserve"> </w:t>
      </w:r>
      <w:r>
        <w:rPr>
          <w:rFonts w:asciiTheme="minorHAnsi" w:hAnsiTheme="minorHAnsi" w:cs="Arial"/>
          <w:sz w:val="22"/>
          <w:szCs w:val="22"/>
        </w:rPr>
        <w:t>sytuacja</w:t>
      </w:r>
      <w:r w:rsidRPr="00192735">
        <w:rPr>
          <w:rFonts w:asciiTheme="minorHAnsi" w:hAnsiTheme="minorHAnsi" w:cs="Arial"/>
          <w:sz w:val="22"/>
          <w:szCs w:val="22"/>
        </w:rPr>
        <w:t xml:space="preserve"> </w:t>
      </w:r>
      <w:r>
        <w:rPr>
          <w:rFonts w:asciiTheme="minorHAnsi" w:hAnsiTheme="minorHAnsi" w:cs="Arial"/>
          <w:sz w:val="22"/>
          <w:szCs w:val="22"/>
        </w:rPr>
        <w:t>zagrażająca</w:t>
      </w:r>
      <w:r w:rsidRPr="00192735">
        <w:rPr>
          <w:rFonts w:asciiTheme="minorHAnsi" w:hAnsiTheme="minorHAnsi" w:cs="Arial"/>
          <w:sz w:val="22"/>
          <w:szCs w:val="22"/>
        </w:rPr>
        <w:t xml:space="preserve"> ich przekroczenie</w:t>
      </w:r>
      <w:r>
        <w:rPr>
          <w:rFonts w:asciiTheme="minorHAnsi" w:hAnsiTheme="minorHAnsi" w:cs="Arial"/>
          <w:sz w:val="22"/>
          <w:szCs w:val="22"/>
        </w:rPr>
        <w:t>m</w:t>
      </w:r>
      <w:r w:rsidRPr="00192735">
        <w:rPr>
          <w:rFonts w:asciiTheme="minorHAnsi" w:hAnsiTheme="minorHAnsi" w:cs="Arial"/>
          <w:sz w:val="22"/>
          <w:szCs w:val="22"/>
        </w:rPr>
        <w:t xml:space="preserve">, umowa </w:t>
      </w:r>
      <w:r>
        <w:rPr>
          <w:rFonts w:asciiTheme="minorHAnsi" w:hAnsiTheme="minorHAnsi" w:cs="Arial"/>
          <w:sz w:val="22"/>
          <w:szCs w:val="22"/>
        </w:rPr>
        <w:t xml:space="preserve">w sprawie stosowania dopłat z </w:t>
      </w:r>
      <w:r w:rsidR="00664487">
        <w:rPr>
          <w:rFonts w:asciiTheme="minorHAnsi" w:hAnsiTheme="minorHAnsi" w:cs="Arial"/>
          <w:sz w:val="22"/>
          <w:szCs w:val="22"/>
        </w:rPr>
        <w:t>daną gminą</w:t>
      </w:r>
      <w:r>
        <w:rPr>
          <w:rFonts w:asciiTheme="minorHAnsi" w:hAnsiTheme="minorHAnsi" w:cs="Arial"/>
          <w:sz w:val="22"/>
          <w:szCs w:val="22"/>
        </w:rPr>
        <w:t xml:space="preserve"> </w:t>
      </w:r>
      <w:r w:rsidRPr="00192735">
        <w:rPr>
          <w:rFonts w:asciiTheme="minorHAnsi" w:hAnsiTheme="minorHAnsi" w:cs="Arial"/>
          <w:sz w:val="22"/>
          <w:szCs w:val="22"/>
        </w:rPr>
        <w:t xml:space="preserve">nie będzie podpisana. Wstrzymane też zostanie zawieranie </w:t>
      </w:r>
      <w:r>
        <w:rPr>
          <w:rFonts w:asciiTheme="minorHAnsi" w:hAnsiTheme="minorHAnsi" w:cs="Arial"/>
          <w:sz w:val="22"/>
          <w:szCs w:val="22"/>
        </w:rPr>
        <w:t>kolejnych</w:t>
      </w:r>
      <w:r w:rsidRPr="00192735">
        <w:rPr>
          <w:rFonts w:asciiTheme="minorHAnsi" w:hAnsiTheme="minorHAnsi" w:cs="Arial"/>
          <w:sz w:val="22"/>
          <w:szCs w:val="22"/>
        </w:rPr>
        <w:t xml:space="preserve"> nowych umów dotyczących obejmowania programem nowych inwestycji mieszkaniowych.</w:t>
      </w:r>
    </w:p>
    <w:p w:rsidR="00D22543" w:rsidRDefault="00D22543" w:rsidP="00D22543">
      <w:pPr>
        <w:tabs>
          <w:tab w:val="left" w:pos="540"/>
        </w:tabs>
        <w:spacing w:after="240" w:line="240" w:lineRule="exact"/>
        <w:rPr>
          <w:rFonts w:asciiTheme="minorHAnsi" w:hAnsiTheme="minorHAnsi" w:cs="Arial"/>
          <w:sz w:val="22"/>
          <w:szCs w:val="22"/>
        </w:rPr>
      </w:pPr>
      <w:r w:rsidRPr="00192735">
        <w:rPr>
          <w:rFonts w:asciiTheme="minorHAnsi" w:hAnsiTheme="minorHAnsi" w:cs="Arial"/>
          <w:sz w:val="22"/>
          <w:szCs w:val="22"/>
        </w:rPr>
        <w:t>Jednocześnie</w:t>
      </w:r>
      <w:r>
        <w:rPr>
          <w:rFonts w:asciiTheme="minorHAnsi" w:hAnsiTheme="minorHAnsi" w:cs="Arial"/>
          <w:sz w:val="22"/>
          <w:szCs w:val="22"/>
        </w:rPr>
        <w:t xml:space="preserve"> </w:t>
      </w:r>
      <w:r w:rsidRPr="00192735">
        <w:rPr>
          <w:rFonts w:asciiTheme="minorHAnsi" w:hAnsiTheme="minorHAnsi" w:cs="Arial"/>
          <w:sz w:val="22"/>
          <w:szCs w:val="22"/>
        </w:rPr>
        <w:t xml:space="preserve">uwzględniono w projekcie </w:t>
      </w:r>
      <w:r>
        <w:rPr>
          <w:rFonts w:asciiTheme="minorHAnsi" w:hAnsiTheme="minorHAnsi" w:cs="Arial"/>
          <w:sz w:val="22"/>
          <w:szCs w:val="22"/>
        </w:rPr>
        <w:t>założenie</w:t>
      </w:r>
      <w:r w:rsidRPr="00192735">
        <w:rPr>
          <w:rFonts w:asciiTheme="minorHAnsi" w:hAnsiTheme="minorHAnsi" w:cs="Arial"/>
          <w:sz w:val="22"/>
          <w:szCs w:val="22"/>
        </w:rPr>
        <w:t xml:space="preserve">, </w:t>
      </w:r>
      <w:r>
        <w:rPr>
          <w:rFonts w:asciiTheme="minorHAnsi" w:hAnsiTheme="minorHAnsi" w:cs="Arial"/>
          <w:sz w:val="22"/>
          <w:szCs w:val="22"/>
        </w:rPr>
        <w:t>zgodnie z którym</w:t>
      </w:r>
      <w:r w:rsidRPr="00192735">
        <w:rPr>
          <w:rFonts w:asciiTheme="minorHAnsi" w:hAnsiTheme="minorHAnsi" w:cs="Arial"/>
          <w:sz w:val="22"/>
          <w:szCs w:val="22"/>
        </w:rPr>
        <w:t xml:space="preserve"> nowy program </w:t>
      </w:r>
      <w:r>
        <w:rPr>
          <w:rFonts w:asciiTheme="minorHAnsi" w:hAnsiTheme="minorHAnsi" w:cs="Arial"/>
          <w:sz w:val="22"/>
          <w:szCs w:val="22"/>
        </w:rPr>
        <w:t xml:space="preserve">– po zabezpieczeniu środków na dopłaty w ramach mieszkań powstających w efekcie nowych inwestycji mieszkaniowych (w ramach limitów kwalifikacji) – powinien </w:t>
      </w:r>
      <w:r w:rsidRPr="00192735">
        <w:rPr>
          <w:rFonts w:asciiTheme="minorHAnsi" w:hAnsiTheme="minorHAnsi" w:cs="Arial"/>
          <w:sz w:val="22"/>
          <w:szCs w:val="22"/>
        </w:rPr>
        <w:t>być</w:t>
      </w:r>
      <w:r>
        <w:rPr>
          <w:rFonts w:asciiTheme="minorHAnsi" w:hAnsiTheme="minorHAnsi" w:cs="Arial"/>
          <w:sz w:val="22"/>
          <w:szCs w:val="22"/>
        </w:rPr>
        <w:t xml:space="preserve"> jednocześnie</w:t>
      </w:r>
      <w:r w:rsidRPr="00192735">
        <w:rPr>
          <w:rFonts w:asciiTheme="minorHAnsi" w:hAnsiTheme="minorHAnsi" w:cs="Arial"/>
          <w:sz w:val="22"/>
          <w:szCs w:val="22"/>
        </w:rPr>
        <w:t xml:space="preserve"> elastyczny</w:t>
      </w:r>
      <w:r>
        <w:rPr>
          <w:rFonts w:asciiTheme="minorHAnsi" w:hAnsiTheme="minorHAnsi" w:cs="Arial"/>
          <w:sz w:val="22"/>
          <w:szCs w:val="22"/>
        </w:rPr>
        <w:t xml:space="preserve">, </w:t>
      </w:r>
      <w:r w:rsidRPr="00192735">
        <w:rPr>
          <w:rFonts w:asciiTheme="minorHAnsi" w:hAnsiTheme="minorHAnsi" w:cs="Arial"/>
          <w:sz w:val="22"/>
          <w:szCs w:val="22"/>
        </w:rPr>
        <w:t>reag</w:t>
      </w:r>
      <w:r>
        <w:rPr>
          <w:rFonts w:asciiTheme="minorHAnsi" w:hAnsiTheme="minorHAnsi" w:cs="Arial"/>
          <w:sz w:val="22"/>
          <w:szCs w:val="22"/>
        </w:rPr>
        <w:t>ując</w:t>
      </w:r>
      <w:r w:rsidRPr="00192735">
        <w:rPr>
          <w:rFonts w:asciiTheme="minorHAnsi" w:hAnsiTheme="minorHAnsi" w:cs="Arial"/>
          <w:sz w:val="22"/>
          <w:szCs w:val="22"/>
        </w:rPr>
        <w:t xml:space="preserve"> na zmiany warunków dochodowych</w:t>
      </w:r>
      <w:r>
        <w:rPr>
          <w:rFonts w:asciiTheme="minorHAnsi" w:hAnsiTheme="minorHAnsi" w:cs="Arial"/>
          <w:sz w:val="22"/>
          <w:szCs w:val="22"/>
        </w:rPr>
        <w:t xml:space="preserve"> beneficjentów</w:t>
      </w:r>
      <w:r w:rsidRPr="00192735">
        <w:rPr>
          <w:rFonts w:asciiTheme="minorHAnsi" w:hAnsiTheme="minorHAnsi" w:cs="Arial"/>
          <w:sz w:val="22"/>
          <w:szCs w:val="22"/>
        </w:rPr>
        <w:t xml:space="preserve"> (</w:t>
      </w:r>
      <w:r>
        <w:rPr>
          <w:rFonts w:asciiTheme="minorHAnsi" w:hAnsiTheme="minorHAnsi" w:cs="Arial"/>
          <w:sz w:val="22"/>
          <w:szCs w:val="22"/>
        </w:rPr>
        <w:t xml:space="preserve">czemu służy uwzględnianie korekt powodowanych przez dochody utracone lub </w:t>
      </w:r>
      <w:r w:rsidRPr="00192735">
        <w:rPr>
          <w:rFonts w:asciiTheme="minorHAnsi" w:hAnsiTheme="minorHAnsi" w:cs="Arial"/>
          <w:sz w:val="22"/>
          <w:szCs w:val="22"/>
        </w:rPr>
        <w:t xml:space="preserve">uzyskane) i </w:t>
      </w:r>
      <w:r>
        <w:rPr>
          <w:rFonts w:asciiTheme="minorHAnsi" w:hAnsiTheme="minorHAnsi" w:cs="Arial"/>
          <w:sz w:val="22"/>
          <w:szCs w:val="22"/>
        </w:rPr>
        <w:t xml:space="preserve">zmiany ich warunków </w:t>
      </w:r>
      <w:r w:rsidRPr="00192735">
        <w:rPr>
          <w:rFonts w:asciiTheme="minorHAnsi" w:hAnsiTheme="minorHAnsi" w:cs="Arial"/>
          <w:sz w:val="22"/>
          <w:szCs w:val="22"/>
        </w:rPr>
        <w:t>rodzinnych (</w:t>
      </w:r>
      <w:r>
        <w:rPr>
          <w:rFonts w:asciiTheme="minorHAnsi" w:hAnsiTheme="minorHAnsi" w:cs="Arial"/>
          <w:sz w:val="22"/>
          <w:szCs w:val="22"/>
        </w:rPr>
        <w:t>zmiana liczby</w:t>
      </w:r>
      <w:r w:rsidRPr="00192735">
        <w:rPr>
          <w:rFonts w:asciiTheme="minorHAnsi" w:hAnsiTheme="minorHAnsi" w:cs="Arial"/>
          <w:sz w:val="22"/>
          <w:szCs w:val="22"/>
        </w:rPr>
        <w:t xml:space="preserve"> osób w gospodarstwie domowym)</w:t>
      </w:r>
      <w:r>
        <w:rPr>
          <w:rFonts w:asciiTheme="minorHAnsi" w:hAnsiTheme="minorHAnsi" w:cs="Arial"/>
          <w:sz w:val="22"/>
          <w:szCs w:val="22"/>
        </w:rPr>
        <w:t xml:space="preserve"> jako dwóch czynników kluczowych</w:t>
      </w:r>
      <w:r w:rsidRPr="00192735">
        <w:rPr>
          <w:rFonts w:asciiTheme="minorHAnsi" w:hAnsiTheme="minorHAnsi" w:cs="Arial"/>
          <w:sz w:val="22"/>
          <w:szCs w:val="22"/>
        </w:rPr>
        <w:t xml:space="preserve"> przy ustalaniu prawa do dopłat i wysokości świadczenia. </w:t>
      </w:r>
    </w:p>
    <w:p w:rsidR="00D22543" w:rsidRDefault="00D22543" w:rsidP="00D22543">
      <w:pPr>
        <w:tabs>
          <w:tab w:val="left" w:pos="540"/>
        </w:tabs>
        <w:spacing w:after="240" w:line="240" w:lineRule="exact"/>
        <w:rPr>
          <w:rFonts w:asciiTheme="minorHAnsi" w:hAnsiTheme="minorHAnsi" w:cs="Arial"/>
          <w:sz w:val="22"/>
          <w:szCs w:val="22"/>
        </w:rPr>
      </w:pPr>
      <w:r>
        <w:rPr>
          <w:rFonts w:asciiTheme="minorHAnsi" w:hAnsiTheme="minorHAnsi" w:cs="Arial"/>
          <w:sz w:val="22"/>
          <w:szCs w:val="22"/>
        </w:rPr>
        <w:t xml:space="preserve">Tak rozumiana elastyczność wymaga zabezpieczenia wyższych środków na wypadek zwiększenia się wydatków na dopłaty w okresie 9 lat pobierania świadczenia, </w:t>
      </w:r>
      <w:r w:rsidRPr="00192735">
        <w:rPr>
          <w:rFonts w:asciiTheme="minorHAnsi" w:hAnsiTheme="minorHAnsi" w:cs="Arial"/>
          <w:sz w:val="22"/>
          <w:szCs w:val="22"/>
        </w:rPr>
        <w:t xml:space="preserve">jak również </w:t>
      </w:r>
      <w:r>
        <w:rPr>
          <w:rFonts w:asciiTheme="minorHAnsi" w:hAnsiTheme="minorHAnsi" w:cs="Arial"/>
          <w:sz w:val="22"/>
          <w:szCs w:val="22"/>
        </w:rPr>
        <w:t>zabezpieczenia środków dla</w:t>
      </w:r>
      <w:r w:rsidRPr="00192735">
        <w:rPr>
          <w:rFonts w:asciiTheme="minorHAnsi" w:hAnsiTheme="minorHAnsi" w:cs="Arial"/>
          <w:sz w:val="22"/>
          <w:szCs w:val="22"/>
        </w:rPr>
        <w:t xml:space="preserve"> tych, którzy nie pobierają świadczenia obecnie</w:t>
      </w:r>
      <w:r>
        <w:rPr>
          <w:rFonts w:asciiTheme="minorHAnsi" w:hAnsiTheme="minorHAnsi" w:cs="Arial"/>
          <w:sz w:val="22"/>
          <w:szCs w:val="22"/>
        </w:rPr>
        <w:t>, zamieszkując mieszkania wybudowane w ramach inwestycji</w:t>
      </w:r>
      <w:r w:rsidRPr="00192735">
        <w:rPr>
          <w:rFonts w:asciiTheme="minorHAnsi" w:hAnsiTheme="minorHAnsi" w:cs="Arial"/>
          <w:sz w:val="22"/>
          <w:szCs w:val="22"/>
        </w:rPr>
        <w:t xml:space="preserve">, ale </w:t>
      </w:r>
      <w:r>
        <w:rPr>
          <w:rFonts w:asciiTheme="minorHAnsi" w:hAnsiTheme="minorHAnsi" w:cs="Arial"/>
          <w:sz w:val="22"/>
          <w:szCs w:val="22"/>
        </w:rPr>
        <w:t xml:space="preserve">w przyszłości w efekcie pogorszenia sytuacji (np. </w:t>
      </w:r>
      <w:r w:rsidRPr="00192735">
        <w:rPr>
          <w:rFonts w:asciiTheme="minorHAnsi" w:hAnsiTheme="minorHAnsi" w:cs="Arial"/>
          <w:sz w:val="22"/>
          <w:szCs w:val="22"/>
        </w:rPr>
        <w:t xml:space="preserve">śmierć żywiciela </w:t>
      </w:r>
      <w:r>
        <w:rPr>
          <w:rFonts w:asciiTheme="minorHAnsi" w:hAnsiTheme="minorHAnsi" w:cs="Arial"/>
          <w:sz w:val="22"/>
          <w:szCs w:val="22"/>
        </w:rPr>
        <w:t xml:space="preserve">rodziny </w:t>
      </w:r>
      <w:r w:rsidRPr="00192735">
        <w:rPr>
          <w:rFonts w:asciiTheme="minorHAnsi" w:hAnsiTheme="minorHAnsi" w:cs="Arial"/>
          <w:sz w:val="22"/>
          <w:szCs w:val="22"/>
        </w:rPr>
        <w:t>etc</w:t>
      </w:r>
      <w:r>
        <w:rPr>
          <w:rFonts w:asciiTheme="minorHAnsi" w:hAnsiTheme="minorHAnsi" w:cs="Arial"/>
          <w:sz w:val="22"/>
          <w:szCs w:val="22"/>
        </w:rPr>
        <w:t>.)</w:t>
      </w:r>
      <w:r w:rsidRPr="00192735">
        <w:rPr>
          <w:rFonts w:asciiTheme="minorHAnsi" w:hAnsiTheme="minorHAnsi" w:cs="Arial"/>
          <w:sz w:val="22"/>
          <w:szCs w:val="22"/>
        </w:rPr>
        <w:t xml:space="preserve"> </w:t>
      </w:r>
      <w:r>
        <w:rPr>
          <w:rFonts w:asciiTheme="minorHAnsi" w:hAnsiTheme="minorHAnsi" w:cs="Arial"/>
          <w:sz w:val="22"/>
          <w:szCs w:val="22"/>
        </w:rPr>
        <w:t>mogą wejść</w:t>
      </w:r>
      <w:r w:rsidRPr="00192735">
        <w:rPr>
          <w:rFonts w:asciiTheme="minorHAnsi" w:hAnsiTheme="minorHAnsi" w:cs="Arial"/>
          <w:sz w:val="22"/>
          <w:szCs w:val="22"/>
        </w:rPr>
        <w:t xml:space="preserve"> do systemu</w:t>
      </w:r>
      <w:r>
        <w:rPr>
          <w:rFonts w:asciiTheme="minorHAnsi" w:hAnsiTheme="minorHAnsi" w:cs="Arial"/>
          <w:sz w:val="22"/>
          <w:szCs w:val="22"/>
        </w:rPr>
        <w:t xml:space="preserve"> wsparcia</w:t>
      </w:r>
      <w:r w:rsidRPr="00192735">
        <w:rPr>
          <w:rFonts w:asciiTheme="minorHAnsi" w:hAnsiTheme="minorHAnsi" w:cs="Arial"/>
          <w:sz w:val="22"/>
          <w:szCs w:val="22"/>
        </w:rPr>
        <w:t>.</w:t>
      </w:r>
      <w:r>
        <w:rPr>
          <w:rFonts w:asciiTheme="minorHAnsi" w:hAnsiTheme="minorHAnsi" w:cs="Arial"/>
          <w:sz w:val="22"/>
          <w:szCs w:val="22"/>
        </w:rPr>
        <w:t xml:space="preserve"> </w:t>
      </w:r>
      <w:r w:rsidRPr="00192735">
        <w:rPr>
          <w:rFonts w:asciiTheme="minorHAnsi" w:hAnsiTheme="minorHAnsi" w:cs="Arial"/>
          <w:sz w:val="22"/>
          <w:szCs w:val="22"/>
        </w:rPr>
        <w:t xml:space="preserve">Zabezpieczeniu </w:t>
      </w:r>
      <w:r>
        <w:rPr>
          <w:rFonts w:asciiTheme="minorHAnsi" w:hAnsiTheme="minorHAnsi" w:cs="Arial"/>
          <w:sz w:val="22"/>
          <w:szCs w:val="22"/>
        </w:rPr>
        <w:t xml:space="preserve">ww. środków </w:t>
      </w:r>
      <w:r w:rsidRPr="00192735">
        <w:rPr>
          <w:rFonts w:asciiTheme="minorHAnsi" w:hAnsiTheme="minorHAnsi" w:cs="Arial"/>
          <w:sz w:val="22"/>
          <w:szCs w:val="22"/>
        </w:rPr>
        <w:t>służy określenie</w:t>
      </w:r>
      <w:r w:rsidR="00AB2163">
        <w:rPr>
          <w:rFonts w:asciiTheme="minorHAnsi" w:hAnsiTheme="minorHAnsi" w:cs="Arial"/>
          <w:sz w:val="22"/>
          <w:szCs w:val="22"/>
        </w:rPr>
        <w:t xml:space="preserve"> w </w:t>
      </w:r>
      <w:r w:rsidR="00AB2163" w:rsidRPr="00E10C3B">
        <w:rPr>
          <w:rFonts w:asciiTheme="minorHAnsi" w:hAnsiTheme="minorHAnsi" w:cs="Arial"/>
          <w:b/>
          <w:sz w:val="22"/>
          <w:szCs w:val="22"/>
        </w:rPr>
        <w:t xml:space="preserve">art. </w:t>
      </w:r>
      <w:r w:rsidR="00664487" w:rsidRPr="00E10C3B">
        <w:rPr>
          <w:rFonts w:asciiTheme="minorHAnsi" w:hAnsiTheme="minorHAnsi" w:cs="Arial"/>
          <w:b/>
          <w:sz w:val="22"/>
          <w:szCs w:val="22"/>
        </w:rPr>
        <w:t>32</w:t>
      </w:r>
      <w:r w:rsidR="00664487">
        <w:rPr>
          <w:rFonts w:asciiTheme="minorHAnsi" w:hAnsiTheme="minorHAnsi" w:cs="Arial"/>
          <w:sz w:val="22"/>
          <w:szCs w:val="22"/>
        </w:rPr>
        <w:t xml:space="preserve"> </w:t>
      </w:r>
      <w:r>
        <w:rPr>
          <w:rFonts w:asciiTheme="minorHAnsi" w:hAnsiTheme="minorHAnsi" w:cs="Arial"/>
          <w:sz w:val="22"/>
          <w:szCs w:val="22"/>
        </w:rPr>
        <w:t xml:space="preserve">projektu ustawy </w:t>
      </w:r>
      <w:r w:rsidRPr="00192735">
        <w:rPr>
          <w:rFonts w:asciiTheme="minorHAnsi" w:hAnsiTheme="minorHAnsi" w:cs="Arial"/>
          <w:sz w:val="22"/>
          <w:szCs w:val="22"/>
        </w:rPr>
        <w:t xml:space="preserve"> maksymalnego limitu wydatków </w:t>
      </w:r>
      <w:r>
        <w:rPr>
          <w:rFonts w:asciiTheme="minorHAnsi" w:hAnsiTheme="minorHAnsi" w:cs="Arial"/>
          <w:sz w:val="22"/>
          <w:szCs w:val="22"/>
        </w:rPr>
        <w:t xml:space="preserve">budżetu państwa na dopłaty </w:t>
      </w:r>
      <w:r w:rsidRPr="00192735">
        <w:rPr>
          <w:rFonts w:asciiTheme="minorHAnsi" w:hAnsiTheme="minorHAnsi" w:cs="Arial"/>
          <w:sz w:val="22"/>
          <w:szCs w:val="22"/>
        </w:rPr>
        <w:t>na poziomie wyższym</w:t>
      </w:r>
      <w:r w:rsidR="00AB2163">
        <w:rPr>
          <w:rFonts w:asciiTheme="minorHAnsi" w:hAnsiTheme="minorHAnsi" w:cs="Arial"/>
          <w:sz w:val="22"/>
          <w:szCs w:val="22"/>
        </w:rPr>
        <w:t xml:space="preserve"> niż przyjęte w art. </w:t>
      </w:r>
      <w:r w:rsidR="00D85817">
        <w:rPr>
          <w:rFonts w:asciiTheme="minorHAnsi" w:hAnsiTheme="minorHAnsi" w:cs="Arial"/>
          <w:sz w:val="22"/>
          <w:szCs w:val="22"/>
        </w:rPr>
        <w:t xml:space="preserve">31 </w:t>
      </w:r>
      <w:r>
        <w:rPr>
          <w:rFonts w:asciiTheme="minorHAnsi" w:hAnsiTheme="minorHAnsi" w:cs="Arial"/>
          <w:sz w:val="22"/>
          <w:szCs w:val="22"/>
        </w:rPr>
        <w:t xml:space="preserve">limity kwalifikacji. </w:t>
      </w:r>
      <w:r w:rsidRPr="00192735">
        <w:rPr>
          <w:rFonts w:asciiTheme="minorHAnsi" w:hAnsiTheme="minorHAnsi" w:cs="Arial"/>
          <w:sz w:val="22"/>
          <w:szCs w:val="22"/>
        </w:rPr>
        <w:t xml:space="preserve">Przyjęcie kwot maksymalnego limitu wydatków budżetu państwa w okresie 10 lat na </w:t>
      </w:r>
      <w:r>
        <w:rPr>
          <w:rFonts w:asciiTheme="minorHAnsi" w:hAnsiTheme="minorHAnsi" w:cs="Arial"/>
          <w:sz w:val="22"/>
          <w:szCs w:val="22"/>
        </w:rPr>
        <w:t>takim</w:t>
      </w:r>
      <w:r w:rsidRPr="00192735">
        <w:rPr>
          <w:rFonts w:asciiTheme="minorHAnsi" w:hAnsiTheme="minorHAnsi" w:cs="Arial"/>
          <w:sz w:val="22"/>
          <w:szCs w:val="22"/>
        </w:rPr>
        <w:t xml:space="preserve"> poziomie służy ustawowemu </w:t>
      </w:r>
      <w:r>
        <w:rPr>
          <w:rFonts w:asciiTheme="minorHAnsi" w:hAnsiTheme="minorHAnsi" w:cs="Arial"/>
          <w:sz w:val="22"/>
          <w:szCs w:val="22"/>
        </w:rPr>
        <w:t>zagwarantowaniu</w:t>
      </w:r>
      <w:r w:rsidRPr="00192735">
        <w:rPr>
          <w:rFonts w:asciiTheme="minorHAnsi" w:hAnsiTheme="minorHAnsi" w:cs="Arial"/>
          <w:sz w:val="22"/>
          <w:szCs w:val="22"/>
        </w:rPr>
        <w:t xml:space="preserve"> </w:t>
      </w:r>
      <w:r>
        <w:rPr>
          <w:rFonts w:asciiTheme="minorHAnsi" w:hAnsiTheme="minorHAnsi" w:cs="Arial"/>
          <w:sz w:val="22"/>
          <w:szCs w:val="22"/>
        </w:rPr>
        <w:t>stuprocentowej</w:t>
      </w:r>
      <w:r w:rsidRPr="00192735">
        <w:rPr>
          <w:rFonts w:asciiTheme="minorHAnsi" w:hAnsiTheme="minorHAnsi" w:cs="Arial"/>
          <w:sz w:val="22"/>
          <w:szCs w:val="22"/>
        </w:rPr>
        <w:t xml:space="preserve"> pewności wsparcia dla </w:t>
      </w:r>
      <w:r>
        <w:rPr>
          <w:rFonts w:asciiTheme="minorHAnsi" w:hAnsiTheme="minorHAnsi" w:cs="Arial"/>
          <w:sz w:val="22"/>
          <w:szCs w:val="22"/>
        </w:rPr>
        <w:t>stron zaangażowanych w program (</w:t>
      </w:r>
      <w:r w:rsidRPr="00192735">
        <w:rPr>
          <w:rFonts w:asciiTheme="minorHAnsi" w:hAnsiTheme="minorHAnsi" w:cs="Arial"/>
          <w:sz w:val="22"/>
          <w:szCs w:val="22"/>
        </w:rPr>
        <w:t>beneficjent</w:t>
      </w:r>
      <w:r>
        <w:rPr>
          <w:rFonts w:asciiTheme="minorHAnsi" w:hAnsiTheme="minorHAnsi" w:cs="Arial"/>
          <w:sz w:val="22"/>
          <w:szCs w:val="22"/>
        </w:rPr>
        <w:t>a</w:t>
      </w:r>
      <w:r w:rsidRPr="00192735">
        <w:rPr>
          <w:rFonts w:asciiTheme="minorHAnsi" w:hAnsiTheme="minorHAnsi" w:cs="Arial"/>
          <w:sz w:val="22"/>
          <w:szCs w:val="22"/>
        </w:rPr>
        <w:t>, inwestor</w:t>
      </w:r>
      <w:r>
        <w:rPr>
          <w:rFonts w:asciiTheme="minorHAnsi" w:hAnsiTheme="minorHAnsi" w:cs="Arial"/>
          <w:sz w:val="22"/>
          <w:szCs w:val="22"/>
        </w:rPr>
        <w:t xml:space="preserve">a, </w:t>
      </w:r>
      <w:r w:rsidR="00D85817">
        <w:rPr>
          <w:rFonts w:asciiTheme="minorHAnsi" w:hAnsiTheme="minorHAnsi" w:cs="Arial"/>
          <w:sz w:val="22"/>
          <w:szCs w:val="22"/>
        </w:rPr>
        <w:t>gminy</w:t>
      </w:r>
      <w:r>
        <w:rPr>
          <w:rFonts w:asciiTheme="minorHAnsi" w:hAnsiTheme="minorHAnsi" w:cs="Arial"/>
          <w:sz w:val="22"/>
          <w:szCs w:val="22"/>
        </w:rPr>
        <w:t>)</w:t>
      </w:r>
      <w:r w:rsidRPr="00192735">
        <w:rPr>
          <w:rFonts w:asciiTheme="minorHAnsi" w:hAnsiTheme="minorHAnsi" w:cs="Arial"/>
          <w:sz w:val="22"/>
          <w:szCs w:val="22"/>
        </w:rPr>
        <w:t xml:space="preserve">. W </w:t>
      </w:r>
      <w:r>
        <w:rPr>
          <w:rFonts w:asciiTheme="minorHAnsi" w:hAnsiTheme="minorHAnsi" w:cs="Arial"/>
          <w:sz w:val="22"/>
          <w:szCs w:val="22"/>
        </w:rPr>
        <w:t xml:space="preserve">projektowanej </w:t>
      </w:r>
      <w:r w:rsidRPr="00192735">
        <w:rPr>
          <w:rFonts w:asciiTheme="minorHAnsi" w:hAnsiTheme="minorHAnsi" w:cs="Arial"/>
          <w:sz w:val="22"/>
          <w:szCs w:val="22"/>
        </w:rPr>
        <w:t xml:space="preserve">ustawie wprowadzona została </w:t>
      </w:r>
      <w:r>
        <w:rPr>
          <w:rFonts w:asciiTheme="minorHAnsi" w:hAnsiTheme="minorHAnsi" w:cs="Arial"/>
          <w:sz w:val="22"/>
          <w:szCs w:val="22"/>
        </w:rPr>
        <w:t>przy tym zasada, zgodnie z którą</w:t>
      </w:r>
      <w:r w:rsidRPr="00192735">
        <w:rPr>
          <w:rFonts w:asciiTheme="minorHAnsi" w:hAnsiTheme="minorHAnsi" w:cs="Arial"/>
          <w:sz w:val="22"/>
          <w:szCs w:val="22"/>
        </w:rPr>
        <w:t xml:space="preserve"> nawet w przypadku zmaterializowania się ryzyka wyższych wydatków</w:t>
      </w:r>
      <w:r w:rsidR="00AB2163">
        <w:rPr>
          <w:rFonts w:asciiTheme="minorHAnsi" w:hAnsiTheme="minorHAnsi" w:cs="Arial"/>
          <w:sz w:val="22"/>
          <w:szCs w:val="22"/>
        </w:rPr>
        <w:t xml:space="preserve"> niż limity wynikające z art. </w:t>
      </w:r>
      <w:r w:rsidR="00D85817">
        <w:rPr>
          <w:rFonts w:asciiTheme="minorHAnsi" w:hAnsiTheme="minorHAnsi" w:cs="Arial"/>
          <w:sz w:val="22"/>
          <w:szCs w:val="22"/>
        </w:rPr>
        <w:t>31</w:t>
      </w:r>
      <w:r w:rsidR="00D85817" w:rsidRPr="00192735">
        <w:rPr>
          <w:rFonts w:asciiTheme="minorHAnsi" w:hAnsiTheme="minorHAnsi" w:cs="Arial"/>
          <w:sz w:val="22"/>
          <w:szCs w:val="22"/>
        </w:rPr>
        <w:t xml:space="preserve"> </w:t>
      </w:r>
      <w:r w:rsidRPr="00192735">
        <w:rPr>
          <w:rFonts w:asciiTheme="minorHAnsi" w:hAnsiTheme="minorHAnsi" w:cs="Arial"/>
          <w:sz w:val="22"/>
          <w:szCs w:val="22"/>
        </w:rPr>
        <w:t xml:space="preserve">na etapie pobierania dopłat przez osoby fizyczne </w:t>
      </w:r>
      <w:r w:rsidR="00D27B0B">
        <w:rPr>
          <w:rFonts w:asciiTheme="minorHAnsi" w:hAnsiTheme="minorHAnsi" w:cs="Arial"/>
          <w:sz w:val="22"/>
          <w:szCs w:val="22"/>
        </w:rPr>
        <w:br/>
      </w:r>
      <w:r w:rsidRPr="00192735">
        <w:rPr>
          <w:rFonts w:asciiTheme="minorHAnsi" w:hAnsiTheme="minorHAnsi" w:cs="Arial"/>
          <w:sz w:val="22"/>
          <w:szCs w:val="22"/>
        </w:rPr>
        <w:t xml:space="preserve">w pierwszej kolejności na obsługę programu winny być przeznaczane środki pochodzące ze sprzedaży gruntów </w:t>
      </w:r>
      <w:r w:rsidR="0088660A">
        <w:rPr>
          <w:rFonts w:asciiTheme="minorHAnsi" w:hAnsiTheme="minorHAnsi" w:cs="Arial"/>
          <w:sz w:val="22"/>
          <w:szCs w:val="22"/>
        </w:rPr>
        <w:t>gospodarowanych przez</w:t>
      </w:r>
      <w:r w:rsidR="0088660A" w:rsidRPr="00192735">
        <w:rPr>
          <w:rFonts w:asciiTheme="minorHAnsi" w:hAnsiTheme="minorHAnsi" w:cs="Arial"/>
          <w:sz w:val="22"/>
          <w:szCs w:val="22"/>
        </w:rPr>
        <w:t xml:space="preserve"> </w:t>
      </w:r>
      <w:r w:rsidRPr="00192735">
        <w:rPr>
          <w:rFonts w:asciiTheme="minorHAnsi" w:hAnsiTheme="minorHAnsi" w:cs="Arial"/>
          <w:sz w:val="22"/>
          <w:szCs w:val="22"/>
        </w:rPr>
        <w:t>KZN</w:t>
      </w:r>
      <w:r w:rsidR="00AB2163">
        <w:rPr>
          <w:rFonts w:asciiTheme="minorHAnsi" w:hAnsiTheme="minorHAnsi" w:cs="Arial"/>
          <w:sz w:val="22"/>
          <w:szCs w:val="22"/>
        </w:rPr>
        <w:t xml:space="preserve"> (art. </w:t>
      </w:r>
      <w:r w:rsidR="00D85817">
        <w:rPr>
          <w:rFonts w:asciiTheme="minorHAnsi" w:hAnsiTheme="minorHAnsi" w:cs="Arial"/>
          <w:sz w:val="22"/>
          <w:szCs w:val="22"/>
        </w:rPr>
        <w:t xml:space="preserve">32 </w:t>
      </w:r>
      <w:r>
        <w:rPr>
          <w:rFonts w:asciiTheme="minorHAnsi" w:hAnsiTheme="minorHAnsi" w:cs="Arial"/>
          <w:sz w:val="22"/>
          <w:szCs w:val="22"/>
        </w:rPr>
        <w:t>ust. 2)</w:t>
      </w:r>
      <w:r w:rsidRPr="00192735">
        <w:rPr>
          <w:rFonts w:asciiTheme="minorHAnsi" w:hAnsiTheme="minorHAnsi" w:cs="Arial"/>
          <w:sz w:val="22"/>
          <w:szCs w:val="22"/>
        </w:rPr>
        <w:t>.</w:t>
      </w:r>
      <w:r>
        <w:rPr>
          <w:rFonts w:asciiTheme="minorHAnsi" w:hAnsiTheme="minorHAnsi" w:cs="Arial"/>
          <w:sz w:val="22"/>
          <w:szCs w:val="22"/>
        </w:rPr>
        <w:t xml:space="preserve"> </w:t>
      </w:r>
    </w:p>
    <w:p w:rsidR="00D22543" w:rsidRDefault="00D22543" w:rsidP="00D22543">
      <w:pPr>
        <w:tabs>
          <w:tab w:val="left" w:pos="540"/>
        </w:tabs>
        <w:spacing w:after="240" w:line="240" w:lineRule="exact"/>
        <w:rPr>
          <w:rFonts w:asciiTheme="minorHAnsi" w:hAnsiTheme="minorHAnsi" w:cs="Arial"/>
          <w:sz w:val="22"/>
          <w:szCs w:val="22"/>
        </w:rPr>
      </w:pPr>
      <w:r>
        <w:rPr>
          <w:rFonts w:asciiTheme="minorHAnsi" w:hAnsiTheme="minorHAnsi" w:cs="Arial"/>
          <w:sz w:val="22"/>
          <w:szCs w:val="22"/>
        </w:rPr>
        <w:t xml:space="preserve">Zabezpieczenie w projekcie takich ram finansowania, które w praktyce realizacji programu będą bardzo ograniczały ryzyko wystąpienia, w całym okresie jego realizacji, sytuacji braku środków na dopłaty, nie zwolniło projektodawcy od konieczności określenia przepisów ustawy w sposób odpowiadający wszystkim wymaganiom wynikającym z </w:t>
      </w:r>
      <w:r w:rsidRPr="00D22543">
        <w:rPr>
          <w:rFonts w:asciiTheme="minorHAnsi" w:hAnsiTheme="minorHAnsi" w:cs="Arial"/>
          <w:i/>
          <w:sz w:val="22"/>
          <w:szCs w:val="22"/>
        </w:rPr>
        <w:t>ustawy z dnia 27 sierpnia 2009 r. o finansach publicznych</w:t>
      </w:r>
      <w:r>
        <w:rPr>
          <w:rFonts w:asciiTheme="minorHAnsi" w:hAnsiTheme="minorHAnsi" w:cs="Arial"/>
          <w:sz w:val="22"/>
          <w:szCs w:val="22"/>
        </w:rPr>
        <w:t xml:space="preserve">, jakie wiążą się z określeniem mechanizmu korygującego. Przyjęto rozwiązanie, że w przypadku wystąpienia dużego prawdopodobieństwa ryzyka przekroczenia </w:t>
      </w:r>
      <w:r w:rsidR="00845DA4">
        <w:rPr>
          <w:rFonts w:asciiTheme="minorHAnsi" w:hAnsiTheme="minorHAnsi" w:cs="Arial"/>
          <w:sz w:val="22"/>
          <w:szCs w:val="22"/>
        </w:rPr>
        <w:t xml:space="preserve">rocznego limitu </w:t>
      </w:r>
      <w:r>
        <w:rPr>
          <w:rFonts w:asciiTheme="minorHAnsi" w:hAnsiTheme="minorHAnsi" w:cs="Arial"/>
          <w:sz w:val="22"/>
          <w:szCs w:val="22"/>
        </w:rPr>
        <w:t xml:space="preserve">wydatków </w:t>
      </w:r>
      <w:r w:rsidR="00E2607A">
        <w:rPr>
          <w:rFonts w:asciiTheme="minorHAnsi" w:hAnsiTheme="minorHAnsi" w:cs="Arial"/>
          <w:sz w:val="22"/>
          <w:szCs w:val="22"/>
        </w:rPr>
        <w:t xml:space="preserve">Funduszu Dopłat na finansowanie dopłat do czynszów </w:t>
      </w:r>
      <w:r>
        <w:rPr>
          <w:rFonts w:asciiTheme="minorHAnsi" w:hAnsiTheme="minorHAnsi" w:cs="Arial"/>
          <w:sz w:val="22"/>
          <w:szCs w:val="22"/>
        </w:rPr>
        <w:t xml:space="preserve">(90% </w:t>
      </w:r>
      <w:r w:rsidR="00E2607A">
        <w:rPr>
          <w:rFonts w:asciiTheme="minorHAnsi" w:hAnsiTheme="minorHAnsi" w:cs="Arial"/>
          <w:sz w:val="22"/>
          <w:szCs w:val="22"/>
        </w:rPr>
        <w:t>planowanych wydatków</w:t>
      </w:r>
      <w:r>
        <w:rPr>
          <w:rFonts w:asciiTheme="minorHAnsi" w:hAnsiTheme="minorHAnsi" w:cs="Arial"/>
          <w:sz w:val="22"/>
          <w:szCs w:val="22"/>
        </w:rPr>
        <w:t xml:space="preserve"> w danym roku) nowe wnioski o</w:t>
      </w:r>
      <w:r w:rsidR="00BE1AAA">
        <w:rPr>
          <w:rFonts w:asciiTheme="minorHAnsi" w:hAnsiTheme="minorHAnsi" w:cs="Arial"/>
          <w:sz w:val="22"/>
          <w:szCs w:val="22"/>
        </w:rPr>
        <w:t xml:space="preserve"> dopłaty nie będą przyjmowane, </w:t>
      </w:r>
      <w:r>
        <w:rPr>
          <w:rFonts w:asciiTheme="minorHAnsi" w:hAnsiTheme="minorHAnsi" w:cs="Arial"/>
          <w:sz w:val="22"/>
          <w:szCs w:val="22"/>
        </w:rPr>
        <w:t>a już uzyskujący świadczenie nie będą mieli prawa do zwiększenia jego kwoty (w praktyce przypadek zwiększenia liczby osób w gospodarstwie domowym). Należy ponownie podkreślić, mając na względzie kwalifikację do finansowania inwestycji w ramac</w:t>
      </w:r>
      <w:r w:rsidR="00AB2163">
        <w:rPr>
          <w:rFonts w:asciiTheme="minorHAnsi" w:hAnsiTheme="minorHAnsi" w:cs="Arial"/>
          <w:sz w:val="22"/>
          <w:szCs w:val="22"/>
        </w:rPr>
        <w:t xml:space="preserve">h limitów wynikających </w:t>
      </w:r>
      <w:r w:rsidR="00D27B0B">
        <w:rPr>
          <w:rFonts w:asciiTheme="minorHAnsi" w:hAnsiTheme="minorHAnsi" w:cs="Arial"/>
          <w:sz w:val="22"/>
          <w:szCs w:val="22"/>
        </w:rPr>
        <w:br/>
      </w:r>
      <w:r w:rsidR="00AB2163">
        <w:rPr>
          <w:rFonts w:asciiTheme="minorHAnsi" w:hAnsiTheme="minorHAnsi" w:cs="Arial"/>
          <w:sz w:val="22"/>
          <w:szCs w:val="22"/>
        </w:rPr>
        <w:t xml:space="preserve">z art. </w:t>
      </w:r>
      <w:r w:rsidR="006D7867">
        <w:rPr>
          <w:rFonts w:asciiTheme="minorHAnsi" w:hAnsiTheme="minorHAnsi" w:cs="Arial"/>
          <w:sz w:val="22"/>
          <w:szCs w:val="22"/>
        </w:rPr>
        <w:t>31</w:t>
      </w:r>
      <w:r>
        <w:rPr>
          <w:rFonts w:asciiTheme="minorHAnsi" w:hAnsiTheme="minorHAnsi" w:cs="Arial"/>
          <w:sz w:val="22"/>
          <w:szCs w:val="22"/>
        </w:rPr>
        <w:t xml:space="preserve">, że ryzyko ograniczania świadczeń będzie bardzo małe. Projektodawca wyszedł bowiem z założenia, że zagwarantowanie pewności uzyskiwania dopłat do czynszów w całym okresie pobierania tego świadczenia jest w projektowanym programie wsparcia sprawą kluczową. </w:t>
      </w:r>
    </w:p>
    <w:p w:rsidR="00D22543" w:rsidRPr="00946F44" w:rsidRDefault="00D22543" w:rsidP="00D22543">
      <w:pPr>
        <w:tabs>
          <w:tab w:val="left" w:pos="540"/>
        </w:tabs>
        <w:spacing w:after="240" w:line="240" w:lineRule="exact"/>
        <w:rPr>
          <w:rFonts w:asciiTheme="minorHAnsi" w:hAnsiTheme="minorHAnsi" w:cs="Arial"/>
          <w:sz w:val="22"/>
          <w:szCs w:val="22"/>
        </w:rPr>
      </w:pPr>
      <w:r>
        <w:rPr>
          <w:rFonts w:asciiTheme="minorHAnsi" w:hAnsiTheme="minorHAnsi" w:cs="Arial"/>
          <w:sz w:val="22"/>
          <w:szCs w:val="22"/>
        </w:rPr>
        <w:t xml:space="preserve">W </w:t>
      </w:r>
      <w:r w:rsidR="00AB2163">
        <w:rPr>
          <w:rFonts w:asciiTheme="minorHAnsi" w:hAnsiTheme="minorHAnsi" w:cs="Arial"/>
          <w:b/>
          <w:sz w:val="22"/>
          <w:szCs w:val="22"/>
        </w:rPr>
        <w:t>art. 3</w:t>
      </w:r>
      <w:r w:rsidR="006D7867">
        <w:rPr>
          <w:rFonts w:asciiTheme="minorHAnsi" w:hAnsiTheme="minorHAnsi" w:cs="Arial"/>
          <w:b/>
          <w:sz w:val="22"/>
          <w:szCs w:val="22"/>
        </w:rPr>
        <w:t>4</w:t>
      </w:r>
      <w:r>
        <w:rPr>
          <w:rFonts w:asciiTheme="minorHAnsi" w:hAnsiTheme="minorHAnsi" w:cs="Arial"/>
          <w:sz w:val="22"/>
          <w:szCs w:val="22"/>
        </w:rPr>
        <w:t xml:space="preserve"> przewidziano natomiast ewaluację instrumentu. Zgodnie z tym przepisem m</w:t>
      </w:r>
      <w:r w:rsidRPr="00C643AA">
        <w:rPr>
          <w:rFonts w:asciiTheme="minorHAnsi" w:hAnsiTheme="minorHAnsi" w:cs="Arial"/>
          <w:sz w:val="22"/>
          <w:szCs w:val="22"/>
        </w:rPr>
        <w:t>inister właściwy do spraw budownictwa, planowania i zagospodarowania przestrzennego oraz mieszkalnictwa,</w:t>
      </w:r>
      <w:r w:rsidR="0061609D">
        <w:rPr>
          <w:rFonts w:asciiTheme="minorHAnsi" w:hAnsiTheme="minorHAnsi" w:cs="Arial"/>
          <w:sz w:val="22"/>
          <w:szCs w:val="22"/>
        </w:rPr>
        <w:t xml:space="preserve"> </w:t>
      </w:r>
      <w:r w:rsidRPr="00C643AA">
        <w:rPr>
          <w:rFonts w:asciiTheme="minorHAnsi" w:hAnsiTheme="minorHAnsi" w:cs="Arial"/>
          <w:sz w:val="22"/>
          <w:szCs w:val="22"/>
        </w:rPr>
        <w:t>w terminie do dnia 31 marca 2025 r., przedstawi Radzie Ministrów informację o realizacji celów ustawy wraz z oceną realizacji i rekomendacjami w zakresie kontynuacji rozwiązań określonych w ustawie.</w:t>
      </w:r>
    </w:p>
    <w:p w:rsidR="00D22543" w:rsidRDefault="00D22543" w:rsidP="00D22543">
      <w:pPr>
        <w:tabs>
          <w:tab w:val="left" w:pos="540"/>
        </w:tabs>
        <w:spacing w:after="240" w:line="240" w:lineRule="exact"/>
        <w:rPr>
          <w:rFonts w:asciiTheme="minorHAnsi" w:hAnsiTheme="minorHAnsi" w:cs="Arial"/>
          <w:sz w:val="22"/>
          <w:szCs w:val="22"/>
        </w:rPr>
      </w:pPr>
      <w:r w:rsidRPr="00263A1F">
        <w:rPr>
          <w:rFonts w:asciiTheme="minorHAnsi" w:hAnsiTheme="minorHAnsi" w:cs="Arial"/>
          <w:sz w:val="22"/>
          <w:szCs w:val="22"/>
        </w:rPr>
        <w:t xml:space="preserve">Przewiduje się, że ustawa wejdzie w życie </w:t>
      </w:r>
      <w:r>
        <w:rPr>
          <w:rFonts w:asciiTheme="minorHAnsi" w:hAnsiTheme="minorHAnsi" w:cs="Arial"/>
          <w:sz w:val="22"/>
          <w:szCs w:val="22"/>
        </w:rPr>
        <w:t>z dniem 1 stycznia 2019 r.</w:t>
      </w:r>
      <w:r w:rsidRPr="00263A1F">
        <w:rPr>
          <w:rFonts w:asciiTheme="minorHAnsi" w:hAnsiTheme="minorHAnsi" w:cs="Arial"/>
          <w:sz w:val="22"/>
          <w:szCs w:val="22"/>
        </w:rPr>
        <w:t xml:space="preserve"> (</w:t>
      </w:r>
      <w:r w:rsidRPr="00263A1F">
        <w:rPr>
          <w:rFonts w:asciiTheme="minorHAnsi" w:hAnsiTheme="minorHAnsi" w:cs="Arial"/>
          <w:b/>
          <w:sz w:val="22"/>
          <w:szCs w:val="22"/>
        </w:rPr>
        <w:t xml:space="preserve">art. </w:t>
      </w:r>
      <w:r w:rsidR="00AB2163">
        <w:rPr>
          <w:rFonts w:asciiTheme="minorHAnsi" w:hAnsiTheme="minorHAnsi" w:cs="Arial"/>
          <w:b/>
          <w:sz w:val="22"/>
          <w:szCs w:val="22"/>
        </w:rPr>
        <w:t>3</w:t>
      </w:r>
      <w:r w:rsidR="00F06034">
        <w:rPr>
          <w:rFonts w:asciiTheme="minorHAnsi" w:hAnsiTheme="minorHAnsi" w:cs="Arial"/>
          <w:b/>
          <w:sz w:val="22"/>
          <w:szCs w:val="22"/>
        </w:rPr>
        <w:t>5</w:t>
      </w:r>
      <w:r w:rsidRPr="00263A1F">
        <w:rPr>
          <w:rFonts w:asciiTheme="minorHAnsi" w:hAnsiTheme="minorHAnsi" w:cs="Arial"/>
          <w:sz w:val="22"/>
          <w:szCs w:val="22"/>
        </w:rPr>
        <w:t xml:space="preserve">). Wyjątkiem od tej zasady </w:t>
      </w:r>
      <w:r w:rsidRPr="00FA7721">
        <w:rPr>
          <w:rFonts w:asciiTheme="minorHAnsi" w:hAnsiTheme="minorHAnsi" w:cs="Arial"/>
          <w:sz w:val="22"/>
          <w:szCs w:val="22"/>
        </w:rPr>
        <w:t>są przepisy regulujące</w:t>
      </w:r>
      <w:r>
        <w:rPr>
          <w:rFonts w:asciiTheme="minorHAnsi" w:hAnsiTheme="minorHAnsi" w:cs="Arial"/>
          <w:sz w:val="22"/>
          <w:szCs w:val="22"/>
        </w:rPr>
        <w:t xml:space="preserve"> materię umowy między </w:t>
      </w:r>
      <w:r w:rsidR="00F06034">
        <w:rPr>
          <w:rFonts w:asciiTheme="minorHAnsi" w:hAnsiTheme="minorHAnsi" w:cs="Arial"/>
          <w:sz w:val="22"/>
          <w:szCs w:val="22"/>
        </w:rPr>
        <w:t>gminą</w:t>
      </w:r>
      <w:r>
        <w:rPr>
          <w:rFonts w:asciiTheme="minorHAnsi" w:hAnsiTheme="minorHAnsi" w:cs="Arial"/>
          <w:sz w:val="22"/>
          <w:szCs w:val="22"/>
        </w:rPr>
        <w:t xml:space="preserve"> a inwestorem, umo</w:t>
      </w:r>
      <w:r w:rsidR="00BE1AAA">
        <w:rPr>
          <w:rFonts w:asciiTheme="minorHAnsi" w:hAnsiTheme="minorHAnsi" w:cs="Arial"/>
          <w:sz w:val="22"/>
          <w:szCs w:val="22"/>
        </w:rPr>
        <w:t xml:space="preserve">wy </w:t>
      </w:r>
      <w:r>
        <w:rPr>
          <w:rFonts w:asciiTheme="minorHAnsi" w:hAnsiTheme="minorHAnsi" w:cs="Arial"/>
          <w:sz w:val="22"/>
          <w:szCs w:val="22"/>
        </w:rPr>
        <w:t>w sprawie stosowania dopłat oraz uchwały w sprawie kryteriów oceny wniosków o zawarcie umowy najmu, które z uwagi na swój przygotowawczy względem trybu udzielania dopłat charakter wejdą</w:t>
      </w:r>
      <w:r w:rsidRPr="00263A1F">
        <w:rPr>
          <w:rFonts w:asciiTheme="minorHAnsi" w:hAnsiTheme="minorHAnsi" w:cs="Arial"/>
          <w:sz w:val="22"/>
          <w:szCs w:val="22"/>
        </w:rPr>
        <w:t xml:space="preserve"> w życie po upływie 14 dni od dnia ogłoszenia</w:t>
      </w:r>
      <w:r>
        <w:rPr>
          <w:rFonts w:asciiTheme="minorHAnsi" w:hAnsiTheme="minorHAnsi" w:cs="Arial"/>
          <w:sz w:val="22"/>
          <w:szCs w:val="22"/>
        </w:rPr>
        <w:t xml:space="preserve"> ustawy. </w:t>
      </w:r>
    </w:p>
    <w:p w:rsidR="00AD1476" w:rsidRPr="00255CD1" w:rsidRDefault="00AD1476" w:rsidP="00730411">
      <w:pPr>
        <w:spacing w:after="240" w:line="240" w:lineRule="exact"/>
        <w:rPr>
          <w:rFonts w:asciiTheme="minorHAnsi" w:eastAsia="Times New Roman" w:hAnsiTheme="minorHAnsi" w:cs="Arial"/>
          <w:b/>
          <w:iCs/>
          <w:sz w:val="22"/>
          <w:szCs w:val="22"/>
        </w:rPr>
      </w:pPr>
      <w:r w:rsidRPr="00255CD1">
        <w:rPr>
          <w:rFonts w:asciiTheme="minorHAnsi" w:eastAsia="Times New Roman" w:hAnsiTheme="minorHAnsi" w:cs="Arial"/>
          <w:b/>
          <w:iCs/>
          <w:sz w:val="22"/>
          <w:szCs w:val="22"/>
        </w:rPr>
        <w:t xml:space="preserve">Przedkładany projekt ustawy jest zgodny z prawem Unii Europejskiej. </w:t>
      </w:r>
    </w:p>
    <w:p w:rsidR="00146381" w:rsidRPr="00255CD1" w:rsidRDefault="00AD1476" w:rsidP="00730411">
      <w:pPr>
        <w:autoSpaceDE w:val="0"/>
        <w:autoSpaceDN w:val="0"/>
        <w:adjustRightInd w:val="0"/>
        <w:spacing w:after="240" w:line="240" w:lineRule="exact"/>
        <w:rPr>
          <w:rFonts w:asciiTheme="minorHAnsi" w:hAnsiTheme="minorHAnsi" w:cs="Arial"/>
          <w:sz w:val="22"/>
          <w:szCs w:val="22"/>
        </w:rPr>
      </w:pPr>
      <w:r w:rsidRPr="00255CD1">
        <w:rPr>
          <w:rFonts w:asciiTheme="minorHAnsi" w:hAnsiTheme="minorHAnsi" w:cs="Arial"/>
          <w:sz w:val="22"/>
          <w:szCs w:val="22"/>
        </w:rPr>
        <w:t xml:space="preserve">Projektowana regulacja nie mieści się w zakresie przedmiotowym zagadnień podlegających konsultacjom z Europejskim Bankiem Centralnym zgodnie z art. 2 ust. 1 </w:t>
      </w:r>
      <w:r w:rsidR="00A06BE5" w:rsidRPr="00255CD1">
        <w:rPr>
          <w:rFonts w:asciiTheme="minorHAnsi" w:hAnsiTheme="minorHAnsi" w:cs="Arial"/>
          <w:i/>
          <w:iCs/>
          <w:sz w:val="22"/>
          <w:szCs w:val="22"/>
        </w:rPr>
        <w:t xml:space="preserve">decyzji Rady </w:t>
      </w:r>
      <w:r w:rsidRPr="00255CD1">
        <w:rPr>
          <w:rFonts w:asciiTheme="minorHAnsi" w:hAnsiTheme="minorHAnsi" w:cs="Arial"/>
          <w:i/>
          <w:iCs/>
          <w:sz w:val="22"/>
          <w:szCs w:val="22"/>
        </w:rPr>
        <w:t>z dnia 29 czerwca 1998 r. w sprawie konsultacji Europejskiego Banku Centralnego udzielanych władzom krajowym w sprawie projektów przepisów prawnych</w:t>
      </w:r>
      <w:r w:rsidRPr="00255CD1">
        <w:rPr>
          <w:rFonts w:asciiTheme="minorHAnsi" w:hAnsiTheme="minorHAnsi" w:cs="Arial"/>
          <w:sz w:val="22"/>
          <w:szCs w:val="22"/>
        </w:rPr>
        <w:t xml:space="preserve"> (Dz. Urz. UE L 189 z 3.07.1998 r., s. 42; Dz. Urz. UE Polskie wydanie specjalne, rozdz. 1, t. 1, str. 446).</w:t>
      </w:r>
    </w:p>
    <w:p w:rsidR="00A06BE5" w:rsidRPr="00255CD1" w:rsidRDefault="00AD1476" w:rsidP="00730411">
      <w:pPr>
        <w:suppressAutoHyphens/>
        <w:autoSpaceDE w:val="0"/>
        <w:autoSpaceDN w:val="0"/>
        <w:adjustRightInd w:val="0"/>
        <w:spacing w:after="240" w:line="240" w:lineRule="exact"/>
        <w:rPr>
          <w:rFonts w:asciiTheme="minorHAnsi" w:hAnsiTheme="minorHAnsi" w:cs="Arial"/>
          <w:sz w:val="22"/>
          <w:szCs w:val="22"/>
        </w:rPr>
      </w:pPr>
      <w:r w:rsidRPr="00255CD1">
        <w:rPr>
          <w:rFonts w:asciiTheme="minorHAnsi" w:hAnsiTheme="minorHAnsi" w:cs="Arial"/>
          <w:sz w:val="22"/>
          <w:szCs w:val="22"/>
        </w:rPr>
        <w:t xml:space="preserve">Projekt ustawy nie zawiera przepisów technicznych i w związku z tym nie podlega procedurze notyfikacji w rozumieniu przepisów </w:t>
      </w:r>
      <w:r w:rsidR="00A06BE5" w:rsidRPr="00255CD1">
        <w:rPr>
          <w:rFonts w:asciiTheme="minorHAnsi" w:hAnsiTheme="minorHAnsi" w:cs="Arial"/>
          <w:i/>
          <w:iCs/>
          <w:sz w:val="22"/>
          <w:szCs w:val="22"/>
        </w:rPr>
        <w:t xml:space="preserve">rozporządzenia Rady Ministrów </w:t>
      </w:r>
      <w:r w:rsidRPr="00255CD1">
        <w:rPr>
          <w:rFonts w:asciiTheme="minorHAnsi" w:hAnsiTheme="minorHAnsi" w:cs="Arial"/>
          <w:i/>
          <w:iCs/>
          <w:sz w:val="22"/>
          <w:szCs w:val="22"/>
        </w:rPr>
        <w:t xml:space="preserve">z dnia 23 grudnia 2002 r. </w:t>
      </w:r>
      <w:r w:rsidR="00A06BE5" w:rsidRPr="00255CD1">
        <w:rPr>
          <w:rFonts w:asciiTheme="minorHAnsi" w:hAnsiTheme="minorHAnsi" w:cs="Arial"/>
          <w:i/>
          <w:iCs/>
          <w:sz w:val="22"/>
          <w:szCs w:val="22"/>
        </w:rPr>
        <w:br/>
      </w:r>
      <w:r w:rsidRPr="00255CD1">
        <w:rPr>
          <w:rFonts w:asciiTheme="minorHAnsi" w:hAnsiTheme="minorHAnsi" w:cs="Arial"/>
          <w:i/>
          <w:iCs/>
          <w:sz w:val="22"/>
          <w:szCs w:val="22"/>
        </w:rPr>
        <w:t>w sprawie sposobu funkcjonowania krajowego systemu notyfikacji norm i aktów prawnych</w:t>
      </w:r>
      <w:r w:rsidRPr="00255CD1">
        <w:rPr>
          <w:rFonts w:asciiTheme="minorHAnsi" w:hAnsiTheme="minorHAnsi" w:cs="Arial"/>
          <w:sz w:val="22"/>
          <w:szCs w:val="22"/>
        </w:rPr>
        <w:t xml:space="preserve"> (Dz. U. Nr 239, poz. 2039</w:t>
      </w:r>
      <w:r w:rsidR="0056792B">
        <w:rPr>
          <w:rFonts w:asciiTheme="minorHAnsi" w:hAnsiTheme="minorHAnsi" w:cs="Arial"/>
          <w:sz w:val="22"/>
          <w:szCs w:val="22"/>
        </w:rPr>
        <w:t xml:space="preserve"> oraz z 2004 r. Nr 65, poz. 597</w:t>
      </w:r>
      <w:r w:rsidRPr="00255CD1">
        <w:rPr>
          <w:rFonts w:asciiTheme="minorHAnsi" w:hAnsiTheme="minorHAnsi" w:cs="Arial"/>
          <w:sz w:val="22"/>
          <w:szCs w:val="22"/>
        </w:rPr>
        <w:t>).</w:t>
      </w:r>
    </w:p>
    <w:p w:rsidR="00791FBD" w:rsidRPr="00896AE4" w:rsidRDefault="00AD1476" w:rsidP="00730411">
      <w:pPr>
        <w:suppressAutoHyphens/>
        <w:autoSpaceDE w:val="0"/>
        <w:autoSpaceDN w:val="0"/>
        <w:adjustRightInd w:val="0"/>
        <w:spacing w:after="240" w:line="240" w:lineRule="exact"/>
        <w:rPr>
          <w:rFonts w:asciiTheme="minorHAnsi" w:hAnsiTheme="minorHAnsi" w:cs="Arial"/>
          <w:sz w:val="22"/>
          <w:szCs w:val="22"/>
        </w:rPr>
      </w:pPr>
      <w:r w:rsidRPr="00255CD1">
        <w:rPr>
          <w:rFonts w:asciiTheme="minorHAnsi" w:hAnsiTheme="minorHAnsi" w:cs="Arial"/>
          <w:sz w:val="22"/>
          <w:szCs w:val="22"/>
        </w:rPr>
        <w:t xml:space="preserve">Zgodnie z przepisami </w:t>
      </w:r>
      <w:r w:rsidRPr="00255CD1">
        <w:rPr>
          <w:rFonts w:asciiTheme="minorHAnsi" w:hAnsiTheme="minorHAnsi" w:cs="Arial"/>
          <w:i/>
          <w:iCs/>
          <w:sz w:val="22"/>
          <w:szCs w:val="22"/>
        </w:rPr>
        <w:t xml:space="preserve">ustawy z dnia 7 lipca 2005 r. o działalności lobbingowej w procesie stanowienia prawa </w:t>
      </w:r>
      <w:r w:rsidRPr="00255CD1">
        <w:rPr>
          <w:rFonts w:asciiTheme="minorHAnsi" w:hAnsiTheme="minorHAnsi" w:cs="Arial"/>
          <w:sz w:val="22"/>
          <w:szCs w:val="22"/>
        </w:rPr>
        <w:t xml:space="preserve">(Dz. U. </w:t>
      </w:r>
      <w:r w:rsidR="002371B0">
        <w:rPr>
          <w:rFonts w:asciiTheme="minorHAnsi" w:hAnsiTheme="minorHAnsi" w:cs="Arial"/>
          <w:sz w:val="22"/>
          <w:szCs w:val="22"/>
        </w:rPr>
        <w:t>z 2017 r. poz. 248</w:t>
      </w:r>
      <w:r w:rsidR="00146381" w:rsidRPr="00255CD1">
        <w:rPr>
          <w:rFonts w:asciiTheme="minorHAnsi" w:hAnsiTheme="minorHAnsi" w:cs="Arial"/>
          <w:sz w:val="22"/>
          <w:szCs w:val="22"/>
        </w:rPr>
        <w:t xml:space="preserve">) projekt </w:t>
      </w:r>
      <w:r w:rsidR="003F786F" w:rsidRPr="00255CD1">
        <w:rPr>
          <w:rFonts w:asciiTheme="minorHAnsi" w:hAnsiTheme="minorHAnsi" w:cs="Arial"/>
          <w:sz w:val="22"/>
          <w:szCs w:val="22"/>
        </w:rPr>
        <w:t xml:space="preserve">został </w:t>
      </w:r>
      <w:r w:rsidR="00146381" w:rsidRPr="00255CD1">
        <w:rPr>
          <w:rFonts w:asciiTheme="minorHAnsi" w:hAnsiTheme="minorHAnsi" w:cs="Arial"/>
          <w:sz w:val="22"/>
          <w:szCs w:val="22"/>
        </w:rPr>
        <w:t xml:space="preserve">zamieszczony </w:t>
      </w:r>
      <w:r w:rsidRPr="00255CD1">
        <w:rPr>
          <w:rFonts w:asciiTheme="minorHAnsi" w:hAnsiTheme="minorHAnsi" w:cs="Arial"/>
          <w:sz w:val="22"/>
          <w:szCs w:val="22"/>
        </w:rPr>
        <w:t>w Biuletynie Informacji Publicznej Rządowego Centrum Legislacji.</w:t>
      </w:r>
      <w:r w:rsidRPr="00896AE4">
        <w:rPr>
          <w:rFonts w:asciiTheme="minorHAnsi" w:hAnsiTheme="minorHAnsi" w:cs="Arial"/>
          <w:sz w:val="22"/>
          <w:szCs w:val="22"/>
        </w:rPr>
        <w:t xml:space="preserve"> </w:t>
      </w:r>
    </w:p>
    <w:sectPr w:rsidR="00791FBD" w:rsidRPr="00896AE4" w:rsidSect="00FD394A">
      <w:footerReference w:type="default" r:id="rId8"/>
      <w:headerReference w:type="first" r:id="rId9"/>
      <w:footerReference w:type="first" r:id="rId10"/>
      <w:pgSz w:w="11906" w:h="16838" w:code="9"/>
      <w:pgMar w:top="1418" w:right="1418"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373D" w:rsidRDefault="0042373D" w:rsidP="00E31139">
      <w:pPr>
        <w:spacing w:line="240" w:lineRule="auto"/>
      </w:pPr>
      <w:r>
        <w:separator/>
      </w:r>
    </w:p>
  </w:endnote>
  <w:endnote w:type="continuationSeparator" w:id="1">
    <w:p w:rsidR="0042373D" w:rsidRDefault="0042373D" w:rsidP="00E3113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7945884"/>
      <w:docPartObj>
        <w:docPartGallery w:val="Page Numbers (Bottom of Page)"/>
        <w:docPartUnique/>
      </w:docPartObj>
    </w:sdtPr>
    <w:sdtContent>
      <w:p w:rsidR="00DA7A22" w:rsidRDefault="00434BBB">
        <w:pPr>
          <w:pStyle w:val="Stopka"/>
          <w:jc w:val="center"/>
        </w:pPr>
        <w:r>
          <w:fldChar w:fldCharType="begin"/>
        </w:r>
        <w:r w:rsidR="00DA7A22">
          <w:instrText>PAGE   \* MERGEFORMAT</w:instrText>
        </w:r>
        <w:r>
          <w:fldChar w:fldCharType="separate"/>
        </w:r>
        <w:r w:rsidR="00511602">
          <w:rPr>
            <w:noProof/>
          </w:rPr>
          <w:t>17</w:t>
        </w:r>
        <w:r>
          <w:rPr>
            <w:noProof/>
          </w:rPr>
          <w:fldChar w:fldCharType="end"/>
        </w:r>
      </w:p>
    </w:sdtContent>
  </w:sdt>
  <w:p w:rsidR="00DA7A22" w:rsidRDefault="00DA7A22">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6664820"/>
      <w:docPartObj>
        <w:docPartGallery w:val="Page Numbers (Bottom of Page)"/>
        <w:docPartUnique/>
      </w:docPartObj>
    </w:sdtPr>
    <w:sdtContent>
      <w:p w:rsidR="00DA7A22" w:rsidRDefault="00434BBB">
        <w:pPr>
          <w:pStyle w:val="Stopka"/>
          <w:jc w:val="center"/>
        </w:pPr>
        <w:r>
          <w:fldChar w:fldCharType="begin"/>
        </w:r>
        <w:r w:rsidR="00DA7A22">
          <w:instrText>PAGE   \* MERGEFORMAT</w:instrText>
        </w:r>
        <w:r>
          <w:fldChar w:fldCharType="separate"/>
        </w:r>
        <w:r w:rsidR="00511602">
          <w:rPr>
            <w:noProof/>
          </w:rPr>
          <w:t>1</w:t>
        </w:r>
        <w:r>
          <w:fldChar w:fldCharType="end"/>
        </w:r>
      </w:p>
    </w:sdtContent>
  </w:sdt>
  <w:p w:rsidR="00DA7A22" w:rsidRDefault="00DA7A22">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373D" w:rsidRDefault="0042373D" w:rsidP="00E31139">
      <w:pPr>
        <w:spacing w:line="240" w:lineRule="auto"/>
      </w:pPr>
      <w:r>
        <w:separator/>
      </w:r>
    </w:p>
  </w:footnote>
  <w:footnote w:type="continuationSeparator" w:id="1">
    <w:p w:rsidR="0042373D" w:rsidRDefault="0042373D" w:rsidP="00E31139">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7A22" w:rsidRDefault="00DA7A22" w:rsidP="00CA53DA">
    <w:pPr>
      <w:pStyle w:val="Nagwek"/>
      <w:jc w:val="right"/>
    </w:pPr>
    <w:r>
      <w:t>16.05.2018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16226"/>
    <w:multiLevelType w:val="multilevel"/>
    <w:tmpl w:val="2400937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1694BB8"/>
    <w:multiLevelType w:val="hybridMultilevel"/>
    <w:tmpl w:val="0CEAE4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6952A45"/>
    <w:multiLevelType w:val="hybridMultilevel"/>
    <w:tmpl w:val="C236037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076B3460"/>
    <w:multiLevelType w:val="hybridMultilevel"/>
    <w:tmpl w:val="079C6C80"/>
    <w:lvl w:ilvl="0" w:tplc="EA6CEE04">
      <w:start w:val="1"/>
      <w:numFmt w:val="bullet"/>
      <w:lvlText w:val=""/>
      <w:lvlJc w:val="left"/>
      <w:pPr>
        <w:ind w:left="766" w:hanging="360"/>
      </w:pPr>
      <w:rPr>
        <w:rFonts w:ascii="Symbol" w:hAnsi="Symbol" w:hint="default"/>
      </w:rPr>
    </w:lvl>
    <w:lvl w:ilvl="1" w:tplc="04150003" w:tentative="1">
      <w:start w:val="1"/>
      <w:numFmt w:val="bullet"/>
      <w:lvlText w:val="o"/>
      <w:lvlJc w:val="left"/>
      <w:pPr>
        <w:ind w:left="1486" w:hanging="360"/>
      </w:pPr>
      <w:rPr>
        <w:rFonts w:ascii="Courier New" w:hAnsi="Courier New" w:cs="Courier New" w:hint="default"/>
      </w:rPr>
    </w:lvl>
    <w:lvl w:ilvl="2" w:tplc="04150005" w:tentative="1">
      <w:start w:val="1"/>
      <w:numFmt w:val="bullet"/>
      <w:lvlText w:val=""/>
      <w:lvlJc w:val="left"/>
      <w:pPr>
        <w:ind w:left="2206" w:hanging="360"/>
      </w:pPr>
      <w:rPr>
        <w:rFonts w:ascii="Wingdings" w:hAnsi="Wingdings" w:hint="default"/>
      </w:rPr>
    </w:lvl>
    <w:lvl w:ilvl="3" w:tplc="04150001" w:tentative="1">
      <w:start w:val="1"/>
      <w:numFmt w:val="bullet"/>
      <w:lvlText w:val=""/>
      <w:lvlJc w:val="left"/>
      <w:pPr>
        <w:ind w:left="2926" w:hanging="360"/>
      </w:pPr>
      <w:rPr>
        <w:rFonts w:ascii="Symbol" w:hAnsi="Symbol" w:hint="default"/>
      </w:rPr>
    </w:lvl>
    <w:lvl w:ilvl="4" w:tplc="04150003" w:tentative="1">
      <w:start w:val="1"/>
      <w:numFmt w:val="bullet"/>
      <w:lvlText w:val="o"/>
      <w:lvlJc w:val="left"/>
      <w:pPr>
        <w:ind w:left="3646" w:hanging="360"/>
      </w:pPr>
      <w:rPr>
        <w:rFonts w:ascii="Courier New" w:hAnsi="Courier New" w:cs="Courier New" w:hint="default"/>
      </w:rPr>
    </w:lvl>
    <w:lvl w:ilvl="5" w:tplc="04150005" w:tentative="1">
      <w:start w:val="1"/>
      <w:numFmt w:val="bullet"/>
      <w:lvlText w:val=""/>
      <w:lvlJc w:val="left"/>
      <w:pPr>
        <w:ind w:left="4366" w:hanging="360"/>
      </w:pPr>
      <w:rPr>
        <w:rFonts w:ascii="Wingdings" w:hAnsi="Wingdings" w:hint="default"/>
      </w:rPr>
    </w:lvl>
    <w:lvl w:ilvl="6" w:tplc="04150001" w:tentative="1">
      <w:start w:val="1"/>
      <w:numFmt w:val="bullet"/>
      <w:lvlText w:val=""/>
      <w:lvlJc w:val="left"/>
      <w:pPr>
        <w:ind w:left="5086" w:hanging="360"/>
      </w:pPr>
      <w:rPr>
        <w:rFonts w:ascii="Symbol" w:hAnsi="Symbol" w:hint="default"/>
      </w:rPr>
    </w:lvl>
    <w:lvl w:ilvl="7" w:tplc="04150003" w:tentative="1">
      <w:start w:val="1"/>
      <w:numFmt w:val="bullet"/>
      <w:lvlText w:val="o"/>
      <w:lvlJc w:val="left"/>
      <w:pPr>
        <w:ind w:left="5806" w:hanging="360"/>
      </w:pPr>
      <w:rPr>
        <w:rFonts w:ascii="Courier New" w:hAnsi="Courier New" w:cs="Courier New" w:hint="default"/>
      </w:rPr>
    </w:lvl>
    <w:lvl w:ilvl="8" w:tplc="04150005" w:tentative="1">
      <w:start w:val="1"/>
      <w:numFmt w:val="bullet"/>
      <w:lvlText w:val=""/>
      <w:lvlJc w:val="left"/>
      <w:pPr>
        <w:ind w:left="6526" w:hanging="360"/>
      </w:pPr>
      <w:rPr>
        <w:rFonts w:ascii="Wingdings" w:hAnsi="Wingdings" w:hint="default"/>
      </w:rPr>
    </w:lvl>
  </w:abstractNum>
  <w:abstractNum w:abstractNumId="4">
    <w:nsid w:val="0BC77F1E"/>
    <w:multiLevelType w:val="hybridMultilevel"/>
    <w:tmpl w:val="CA3AA31A"/>
    <w:lvl w:ilvl="0" w:tplc="DFD2141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nsid w:val="0CDE5766"/>
    <w:multiLevelType w:val="hybridMultilevel"/>
    <w:tmpl w:val="3D648DF6"/>
    <w:lvl w:ilvl="0" w:tplc="EA6CEE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1603888"/>
    <w:multiLevelType w:val="multilevel"/>
    <w:tmpl w:val="FB1C0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56918D3"/>
    <w:multiLevelType w:val="hybridMultilevel"/>
    <w:tmpl w:val="362213CE"/>
    <w:lvl w:ilvl="0" w:tplc="EA6CEE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19A167DF"/>
    <w:multiLevelType w:val="hybridMultilevel"/>
    <w:tmpl w:val="61C2D208"/>
    <w:lvl w:ilvl="0" w:tplc="DFD2141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nsid w:val="1FAB2A42"/>
    <w:multiLevelType w:val="hybridMultilevel"/>
    <w:tmpl w:val="7F1854EE"/>
    <w:lvl w:ilvl="0" w:tplc="9A46E5B8">
      <w:start w:val="1"/>
      <w:numFmt w:val="upperRoman"/>
      <w:lvlText w:val="%1."/>
      <w:lvlJc w:val="left"/>
      <w:pPr>
        <w:ind w:left="1260" w:hanging="720"/>
      </w:pPr>
      <w:rPr>
        <w:rFonts w:hint="default"/>
      </w:r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10">
    <w:nsid w:val="23AB186F"/>
    <w:multiLevelType w:val="hybridMultilevel"/>
    <w:tmpl w:val="091821B6"/>
    <w:lvl w:ilvl="0" w:tplc="29E0D42A">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11">
    <w:nsid w:val="24B208F4"/>
    <w:multiLevelType w:val="hybridMultilevel"/>
    <w:tmpl w:val="05FA8C6C"/>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2F2B500F"/>
    <w:multiLevelType w:val="hybridMultilevel"/>
    <w:tmpl w:val="7BF25E3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58729AB"/>
    <w:multiLevelType w:val="hybridMultilevel"/>
    <w:tmpl w:val="97C86C94"/>
    <w:lvl w:ilvl="0" w:tplc="DFD2141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nsid w:val="3A841FCD"/>
    <w:multiLevelType w:val="hybridMultilevel"/>
    <w:tmpl w:val="7ED062A4"/>
    <w:lvl w:ilvl="0" w:tplc="BF86FE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3C9A14AA"/>
    <w:multiLevelType w:val="hybridMultilevel"/>
    <w:tmpl w:val="F94ED6F0"/>
    <w:lvl w:ilvl="0" w:tplc="DB32D07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3F5676BF"/>
    <w:multiLevelType w:val="hybridMultilevel"/>
    <w:tmpl w:val="9F0E52DC"/>
    <w:lvl w:ilvl="0" w:tplc="DFD2141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nsid w:val="495041C3"/>
    <w:multiLevelType w:val="hybridMultilevel"/>
    <w:tmpl w:val="42F079E0"/>
    <w:lvl w:ilvl="0" w:tplc="BF86FEA4">
      <w:start w:val="1"/>
      <w:numFmt w:val="bullet"/>
      <w:lvlText w:val=""/>
      <w:lvlJc w:val="left"/>
      <w:pPr>
        <w:ind w:left="152" w:hanging="360"/>
      </w:pPr>
      <w:rPr>
        <w:rFonts w:ascii="Symbol" w:hAnsi="Symbol" w:hint="default"/>
      </w:rPr>
    </w:lvl>
    <w:lvl w:ilvl="1" w:tplc="04150003" w:tentative="1">
      <w:start w:val="1"/>
      <w:numFmt w:val="bullet"/>
      <w:lvlText w:val="o"/>
      <w:lvlJc w:val="left"/>
      <w:pPr>
        <w:ind w:left="872" w:hanging="360"/>
      </w:pPr>
      <w:rPr>
        <w:rFonts w:ascii="Courier New" w:hAnsi="Courier New" w:cs="Courier New" w:hint="default"/>
      </w:rPr>
    </w:lvl>
    <w:lvl w:ilvl="2" w:tplc="04150005" w:tentative="1">
      <w:start w:val="1"/>
      <w:numFmt w:val="bullet"/>
      <w:lvlText w:val=""/>
      <w:lvlJc w:val="left"/>
      <w:pPr>
        <w:ind w:left="1592" w:hanging="360"/>
      </w:pPr>
      <w:rPr>
        <w:rFonts w:ascii="Wingdings" w:hAnsi="Wingdings" w:hint="default"/>
      </w:rPr>
    </w:lvl>
    <w:lvl w:ilvl="3" w:tplc="04150001" w:tentative="1">
      <w:start w:val="1"/>
      <w:numFmt w:val="bullet"/>
      <w:lvlText w:val=""/>
      <w:lvlJc w:val="left"/>
      <w:pPr>
        <w:ind w:left="2312" w:hanging="360"/>
      </w:pPr>
      <w:rPr>
        <w:rFonts w:ascii="Symbol" w:hAnsi="Symbol" w:hint="default"/>
      </w:rPr>
    </w:lvl>
    <w:lvl w:ilvl="4" w:tplc="04150003" w:tentative="1">
      <w:start w:val="1"/>
      <w:numFmt w:val="bullet"/>
      <w:lvlText w:val="o"/>
      <w:lvlJc w:val="left"/>
      <w:pPr>
        <w:ind w:left="3032" w:hanging="360"/>
      </w:pPr>
      <w:rPr>
        <w:rFonts w:ascii="Courier New" w:hAnsi="Courier New" w:cs="Courier New" w:hint="default"/>
      </w:rPr>
    </w:lvl>
    <w:lvl w:ilvl="5" w:tplc="04150005" w:tentative="1">
      <w:start w:val="1"/>
      <w:numFmt w:val="bullet"/>
      <w:lvlText w:val=""/>
      <w:lvlJc w:val="left"/>
      <w:pPr>
        <w:ind w:left="3752" w:hanging="360"/>
      </w:pPr>
      <w:rPr>
        <w:rFonts w:ascii="Wingdings" w:hAnsi="Wingdings" w:hint="default"/>
      </w:rPr>
    </w:lvl>
    <w:lvl w:ilvl="6" w:tplc="04150001" w:tentative="1">
      <w:start w:val="1"/>
      <w:numFmt w:val="bullet"/>
      <w:lvlText w:val=""/>
      <w:lvlJc w:val="left"/>
      <w:pPr>
        <w:ind w:left="4472" w:hanging="360"/>
      </w:pPr>
      <w:rPr>
        <w:rFonts w:ascii="Symbol" w:hAnsi="Symbol" w:hint="default"/>
      </w:rPr>
    </w:lvl>
    <w:lvl w:ilvl="7" w:tplc="04150003" w:tentative="1">
      <w:start w:val="1"/>
      <w:numFmt w:val="bullet"/>
      <w:lvlText w:val="o"/>
      <w:lvlJc w:val="left"/>
      <w:pPr>
        <w:ind w:left="5192" w:hanging="360"/>
      </w:pPr>
      <w:rPr>
        <w:rFonts w:ascii="Courier New" w:hAnsi="Courier New" w:cs="Courier New" w:hint="default"/>
      </w:rPr>
    </w:lvl>
    <w:lvl w:ilvl="8" w:tplc="04150005" w:tentative="1">
      <w:start w:val="1"/>
      <w:numFmt w:val="bullet"/>
      <w:lvlText w:val=""/>
      <w:lvlJc w:val="left"/>
      <w:pPr>
        <w:ind w:left="5912" w:hanging="360"/>
      </w:pPr>
      <w:rPr>
        <w:rFonts w:ascii="Wingdings" w:hAnsi="Wingdings" w:hint="default"/>
      </w:rPr>
    </w:lvl>
  </w:abstractNum>
  <w:abstractNum w:abstractNumId="18">
    <w:nsid w:val="49FB5549"/>
    <w:multiLevelType w:val="hybridMultilevel"/>
    <w:tmpl w:val="5624F3D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nsid w:val="4CE520D8"/>
    <w:multiLevelType w:val="hybridMultilevel"/>
    <w:tmpl w:val="4FE20934"/>
    <w:lvl w:ilvl="0" w:tplc="E94219E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4D626BDB"/>
    <w:multiLevelType w:val="hybridMultilevel"/>
    <w:tmpl w:val="B3C0778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DD52B21"/>
    <w:multiLevelType w:val="hybridMultilevel"/>
    <w:tmpl w:val="AE4056F2"/>
    <w:lvl w:ilvl="0" w:tplc="DB32D07A">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22">
    <w:nsid w:val="4FD4475B"/>
    <w:multiLevelType w:val="hybridMultilevel"/>
    <w:tmpl w:val="4D88C886"/>
    <w:lvl w:ilvl="0" w:tplc="DFD2141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nsid w:val="563C137E"/>
    <w:multiLevelType w:val="hybridMultilevel"/>
    <w:tmpl w:val="F0E05FAA"/>
    <w:lvl w:ilvl="0" w:tplc="DB32D07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59FB3306"/>
    <w:multiLevelType w:val="hybridMultilevel"/>
    <w:tmpl w:val="A548678A"/>
    <w:lvl w:ilvl="0" w:tplc="003AEE3A">
      <w:start w:val="1"/>
      <w:numFmt w:val="decimal"/>
      <w:lvlText w:val="%1)"/>
      <w:lvlJc w:val="left"/>
      <w:pPr>
        <w:ind w:left="900" w:hanging="54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60B55BCE"/>
    <w:multiLevelType w:val="hybridMultilevel"/>
    <w:tmpl w:val="75ACE194"/>
    <w:lvl w:ilvl="0" w:tplc="04150011">
      <w:start w:val="1"/>
      <w:numFmt w:val="decimal"/>
      <w:lvlText w:val="%1)"/>
      <w:lvlJc w:val="left"/>
      <w:pPr>
        <w:ind w:left="-274" w:hanging="360"/>
      </w:pPr>
    </w:lvl>
    <w:lvl w:ilvl="1" w:tplc="04150019" w:tentative="1">
      <w:start w:val="1"/>
      <w:numFmt w:val="lowerLetter"/>
      <w:lvlText w:val="%2."/>
      <w:lvlJc w:val="left"/>
      <w:pPr>
        <w:ind w:left="446" w:hanging="360"/>
      </w:pPr>
    </w:lvl>
    <w:lvl w:ilvl="2" w:tplc="0415001B" w:tentative="1">
      <w:start w:val="1"/>
      <w:numFmt w:val="lowerRoman"/>
      <w:lvlText w:val="%3."/>
      <w:lvlJc w:val="right"/>
      <w:pPr>
        <w:ind w:left="1166" w:hanging="180"/>
      </w:pPr>
    </w:lvl>
    <w:lvl w:ilvl="3" w:tplc="0415000F" w:tentative="1">
      <w:start w:val="1"/>
      <w:numFmt w:val="decimal"/>
      <w:lvlText w:val="%4."/>
      <w:lvlJc w:val="left"/>
      <w:pPr>
        <w:ind w:left="1886" w:hanging="360"/>
      </w:pPr>
    </w:lvl>
    <w:lvl w:ilvl="4" w:tplc="04150019" w:tentative="1">
      <w:start w:val="1"/>
      <w:numFmt w:val="lowerLetter"/>
      <w:lvlText w:val="%5."/>
      <w:lvlJc w:val="left"/>
      <w:pPr>
        <w:ind w:left="2606" w:hanging="360"/>
      </w:pPr>
    </w:lvl>
    <w:lvl w:ilvl="5" w:tplc="0415001B" w:tentative="1">
      <w:start w:val="1"/>
      <w:numFmt w:val="lowerRoman"/>
      <w:lvlText w:val="%6."/>
      <w:lvlJc w:val="right"/>
      <w:pPr>
        <w:ind w:left="3326" w:hanging="180"/>
      </w:pPr>
    </w:lvl>
    <w:lvl w:ilvl="6" w:tplc="0415000F" w:tentative="1">
      <w:start w:val="1"/>
      <w:numFmt w:val="decimal"/>
      <w:lvlText w:val="%7."/>
      <w:lvlJc w:val="left"/>
      <w:pPr>
        <w:ind w:left="4046" w:hanging="360"/>
      </w:pPr>
    </w:lvl>
    <w:lvl w:ilvl="7" w:tplc="04150019" w:tentative="1">
      <w:start w:val="1"/>
      <w:numFmt w:val="lowerLetter"/>
      <w:lvlText w:val="%8."/>
      <w:lvlJc w:val="left"/>
      <w:pPr>
        <w:ind w:left="4766" w:hanging="360"/>
      </w:pPr>
    </w:lvl>
    <w:lvl w:ilvl="8" w:tplc="0415001B" w:tentative="1">
      <w:start w:val="1"/>
      <w:numFmt w:val="lowerRoman"/>
      <w:lvlText w:val="%9."/>
      <w:lvlJc w:val="right"/>
      <w:pPr>
        <w:ind w:left="5486" w:hanging="180"/>
      </w:pPr>
    </w:lvl>
  </w:abstractNum>
  <w:abstractNum w:abstractNumId="26">
    <w:nsid w:val="614F5C84"/>
    <w:multiLevelType w:val="hybridMultilevel"/>
    <w:tmpl w:val="75ACE1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16363DF"/>
    <w:multiLevelType w:val="hybridMultilevel"/>
    <w:tmpl w:val="6022732A"/>
    <w:lvl w:ilvl="0" w:tplc="DFD2141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
    <w:nsid w:val="61F36164"/>
    <w:multiLevelType w:val="hybridMultilevel"/>
    <w:tmpl w:val="100056B2"/>
    <w:lvl w:ilvl="0" w:tplc="DFD2141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
    <w:nsid w:val="63DF2F8C"/>
    <w:multiLevelType w:val="hybridMultilevel"/>
    <w:tmpl w:val="73562ACA"/>
    <w:lvl w:ilvl="0" w:tplc="DB32D07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66412724"/>
    <w:multiLevelType w:val="hybridMultilevel"/>
    <w:tmpl w:val="7C80CE7C"/>
    <w:lvl w:ilvl="0" w:tplc="DFD214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69D2781A"/>
    <w:multiLevelType w:val="hybridMultilevel"/>
    <w:tmpl w:val="9058E990"/>
    <w:lvl w:ilvl="0" w:tplc="EA6CEE04">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AEE0D77"/>
    <w:multiLevelType w:val="hybridMultilevel"/>
    <w:tmpl w:val="95C8ADE0"/>
    <w:lvl w:ilvl="0" w:tplc="EA6CEE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6C084AD0"/>
    <w:multiLevelType w:val="hybridMultilevel"/>
    <w:tmpl w:val="9EB888AC"/>
    <w:lvl w:ilvl="0" w:tplc="EA6CEE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6D146B09"/>
    <w:multiLevelType w:val="hybridMultilevel"/>
    <w:tmpl w:val="209C4BA8"/>
    <w:lvl w:ilvl="0" w:tplc="BF86FE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6D2D33F6"/>
    <w:multiLevelType w:val="hybridMultilevel"/>
    <w:tmpl w:val="384E9206"/>
    <w:lvl w:ilvl="0" w:tplc="E94219E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71CB3916"/>
    <w:multiLevelType w:val="hybridMultilevel"/>
    <w:tmpl w:val="753E6BF4"/>
    <w:lvl w:ilvl="0" w:tplc="DB32D07A">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37">
    <w:nsid w:val="72B13A67"/>
    <w:multiLevelType w:val="hybridMultilevel"/>
    <w:tmpl w:val="6EE82C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42B601A"/>
    <w:multiLevelType w:val="hybridMultilevel"/>
    <w:tmpl w:val="FCECA48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nsid w:val="75395B75"/>
    <w:multiLevelType w:val="hybridMultilevel"/>
    <w:tmpl w:val="C0C82A1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nsid w:val="79160EFE"/>
    <w:multiLevelType w:val="hybridMultilevel"/>
    <w:tmpl w:val="9E6871B0"/>
    <w:lvl w:ilvl="0" w:tplc="E94219E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7C7A2FA7"/>
    <w:multiLevelType w:val="hybridMultilevel"/>
    <w:tmpl w:val="8FFAD12A"/>
    <w:lvl w:ilvl="0" w:tplc="DFD2141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2">
    <w:nsid w:val="7DD76BA3"/>
    <w:multiLevelType w:val="multilevel"/>
    <w:tmpl w:val="1B9C8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E902964"/>
    <w:multiLevelType w:val="hybridMultilevel"/>
    <w:tmpl w:val="47F27F62"/>
    <w:lvl w:ilvl="0" w:tplc="EA6CEE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7E9E5563"/>
    <w:multiLevelType w:val="hybridMultilevel"/>
    <w:tmpl w:val="E5941670"/>
    <w:lvl w:ilvl="0" w:tplc="DFD2141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9"/>
  </w:num>
  <w:num w:numId="2">
    <w:abstractNumId w:val="34"/>
  </w:num>
  <w:num w:numId="3">
    <w:abstractNumId w:val="14"/>
  </w:num>
  <w:num w:numId="4">
    <w:abstractNumId w:val="17"/>
  </w:num>
  <w:num w:numId="5">
    <w:abstractNumId w:val="8"/>
  </w:num>
  <w:num w:numId="6">
    <w:abstractNumId w:val="22"/>
  </w:num>
  <w:num w:numId="7">
    <w:abstractNumId w:val="13"/>
  </w:num>
  <w:num w:numId="8">
    <w:abstractNumId w:val="44"/>
  </w:num>
  <w:num w:numId="9">
    <w:abstractNumId w:val="41"/>
  </w:num>
  <w:num w:numId="10">
    <w:abstractNumId w:val="4"/>
  </w:num>
  <w:num w:numId="11">
    <w:abstractNumId w:val="38"/>
  </w:num>
  <w:num w:numId="12">
    <w:abstractNumId w:val="2"/>
  </w:num>
  <w:num w:numId="13">
    <w:abstractNumId w:val="16"/>
  </w:num>
  <w:num w:numId="14">
    <w:abstractNumId w:val="0"/>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num>
  <w:num w:numId="26">
    <w:abstractNumId w:val="27"/>
  </w:num>
  <w:num w:numId="27">
    <w:abstractNumId w:val="27"/>
  </w:num>
  <w:num w:numId="28">
    <w:abstractNumId w:val="6"/>
  </w:num>
  <w:num w:numId="29">
    <w:abstractNumId w:val="42"/>
  </w:num>
  <w:num w:numId="30">
    <w:abstractNumId w:val="36"/>
  </w:num>
  <w:num w:numId="31">
    <w:abstractNumId w:val="21"/>
  </w:num>
  <w:num w:numId="32">
    <w:abstractNumId w:val="10"/>
  </w:num>
  <w:num w:numId="33">
    <w:abstractNumId w:val="29"/>
  </w:num>
  <w:num w:numId="34">
    <w:abstractNumId w:val="23"/>
  </w:num>
  <w:num w:numId="35">
    <w:abstractNumId w:val="12"/>
  </w:num>
  <w:num w:numId="36">
    <w:abstractNumId w:val="15"/>
  </w:num>
  <w:num w:numId="37">
    <w:abstractNumId w:val="30"/>
  </w:num>
  <w:num w:numId="38">
    <w:abstractNumId w:val="25"/>
  </w:num>
  <w:num w:numId="39">
    <w:abstractNumId w:val="24"/>
  </w:num>
  <w:num w:numId="40">
    <w:abstractNumId w:val="19"/>
  </w:num>
  <w:num w:numId="41">
    <w:abstractNumId w:val="26"/>
  </w:num>
  <w:num w:numId="42">
    <w:abstractNumId w:val="3"/>
  </w:num>
  <w:num w:numId="43">
    <w:abstractNumId w:val="1"/>
  </w:num>
  <w:num w:numId="44">
    <w:abstractNumId w:val="18"/>
  </w:num>
  <w:num w:numId="45">
    <w:abstractNumId w:val="5"/>
  </w:num>
  <w:num w:numId="46">
    <w:abstractNumId w:val="7"/>
  </w:num>
  <w:num w:numId="47">
    <w:abstractNumId w:val="37"/>
  </w:num>
  <w:num w:numId="48">
    <w:abstractNumId w:val="31"/>
  </w:num>
  <w:num w:numId="49">
    <w:abstractNumId w:val="35"/>
  </w:num>
  <w:num w:numId="50">
    <w:abstractNumId w:val="40"/>
  </w:num>
  <w:num w:numId="51">
    <w:abstractNumId w:val="33"/>
  </w:num>
  <w:num w:numId="52">
    <w:abstractNumId w:val="39"/>
  </w:num>
  <w:num w:numId="53">
    <w:abstractNumId w:val="20"/>
  </w:num>
  <w:num w:numId="54">
    <w:abstractNumId w:val="32"/>
  </w:num>
  <w:num w:numId="55">
    <w:abstractNumId w:val="43"/>
  </w:num>
  <w:num w:numId="56">
    <w:abstractNumId w:val="11"/>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autoHyphenation/>
  <w:hyphenationZone w:val="425"/>
  <w:characterSpacingControl w:val="doNotCompress"/>
  <w:hdrShapeDefaults>
    <o:shapedefaults v:ext="edit" spidmax="50178"/>
  </w:hdrShapeDefaults>
  <w:footnotePr>
    <w:footnote w:id="0"/>
    <w:footnote w:id="1"/>
  </w:footnotePr>
  <w:endnotePr>
    <w:endnote w:id="0"/>
    <w:endnote w:id="1"/>
  </w:endnotePr>
  <w:compat/>
  <w:rsids>
    <w:rsidRoot w:val="00E31139"/>
    <w:rsid w:val="00000134"/>
    <w:rsid w:val="0000061F"/>
    <w:rsid w:val="00000B7B"/>
    <w:rsid w:val="00002272"/>
    <w:rsid w:val="000024E1"/>
    <w:rsid w:val="00002939"/>
    <w:rsid w:val="00002BE6"/>
    <w:rsid w:val="00002CC2"/>
    <w:rsid w:val="000034FE"/>
    <w:rsid w:val="00003DC5"/>
    <w:rsid w:val="000043A7"/>
    <w:rsid w:val="000045FB"/>
    <w:rsid w:val="00005E11"/>
    <w:rsid w:val="000062E7"/>
    <w:rsid w:val="000067E6"/>
    <w:rsid w:val="00006918"/>
    <w:rsid w:val="00006D17"/>
    <w:rsid w:val="00007411"/>
    <w:rsid w:val="00007618"/>
    <w:rsid w:val="00007AEF"/>
    <w:rsid w:val="00010252"/>
    <w:rsid w:val="00010665"/>
    <w:rsid w:val="00011260"/>
    <w:rsid w:val="000112DF"/>
    <w:rsid w:val="00014447"/>
    <w:rsid w:val="0001502B"/>
    <w:rsid w:val="000161A4"/>
    <w:rsid w:val="00017054"/>
    <w:rsid w:val="00017CE2"/>
    <w:rsid w:val="00017D68"/>
    <w:rsid w:val="00020638"/>
    <w:rsid w:val="0002078A"/>
    <w:rsid w:val="00020BB2"/>
    <w:rsid w:val="00020F57"/>
    <w:rsid w:val="00021A76"/>
    <w:rsid w:val="00021B96"/>
    <w:rsid w:val="000220F2"/>
    <w:rsid w:val="00022D7C"/>
    <w:rsid w:val="00023565"/>
    <w:rsid w:val="00023719"/>
    <w:rsid w:val="0002514C"/>
    <w:rsid w:val="000253BD"/>
    <w:rsid w:val="00027841"/>
    <w:rsid w:val="00027924"/>
    <w:rsid w:val="00027D56"/>
    <w:rsid w:val="00027E1B"/>
    <w:rsid w:val="0003021C"/>
    <w:rsid w:val="000306C5"/>
    <w:rsid w:val="00030F43"/>
    <w:rsid w:val="00031D23"/>
    <w:rsid w:val="00031FEC"/>
    <w:rsid w:val="00033840"/>
    <w:rsid w:val="00034324"/>
    <w:rsid w:val="000344BD"/>
    <w:rsid w:val="00034872"/>
    <w:rsid w:val="000357AE"/>
    <w:rsid w:val="00036204"/>
    <w:rsid w:val="000369CA"/>
    <w:rsid w:val="00036DE2"/>
    <w:rsid w:val="00037053"/>
    <w:rsid w:val="00040465"/>
    <w:rsid w:val="000418C1"/>
    <w:rsid w:val="00042390"/>
    <w:rsid w:val="00042B8D"/>
    <w:rsid w:val="00042C9F"/>
    <w:rsid w:val="00043168"/>
    <w:rsid w:val="00043D0F"/>
    <w:rsid w:val="0004427D"/>
    <w:rsid w:val="0004459E"/>
    <w:rsid w:val="00044ACD"/>
    <w:rsid w:val="00044BA5"/>
    <w:rsid w:val="0004567E"/>
    <w:rsid w:val="000458DF"/>
    <w:rsid w:val="0004673F"/>
    <w:rsid w:val="00046A2A"/>
    <w:rsid w:val="00046AB7"/>
    <w:rsid w:val="00046ECB"/>
    <w:rsid w:val="000502A2"/>
    <w:rsid w:val="000512CF"/>
    <w:rsid w:val="0005174A"/>
    <w:rsid w:val="000518D3"/>
    <w:rsid w:val="0005208A"/>
    <w:rsid w:val="0005208C"/>
    <w:rsid w:val="000524F0"/>
    <w:rsid w:val="00052F64"/>
    <w:rsid w:val="000533DC"/>
    <w:rsid w:val="00053461"/>
    <w:rsid w:val="000541C6"/>
    <w:rsid w:val="00054974"/>
    <w:rsid w:val="00054F90"/>
    <w:rsid w:val="00055777"/>
    <w:rsid w:val="00055BA8"/>
    <w:rsid w:val="00055D35"/>
    <w:rsid w:val="00055D5D"/>
    <w:rsid w:val="00056890"/>
    <w:rsid w:val="00056BA9"/>
    <w:rsid w:val="0005721D"/>
    <w:rsid w:val="000579EA"/>
    <w:rsid w:val="00057AD9"/>
    <w:rsid w:val="00057D0D"/>
    <w:rsid w:val="00060610"/>
    <w:rsid w:val="00060995"/>
    <w:rsid w:val="000609EC"/>
    <w:rsid w:val="000620B3"/>
    <w:rsid w:val="00062D42"/>
    <w:rsid w:val="000632E2"/>
    <w:rsid w:val="00063E38"/>
    <w:rsid w:val="00064328"/>
    <w:rsid w:val="0006452D"/>
    <w:rsid w:val="00064584"/>
    <w:rsid w:val="0006458D"/>
    <w:rsid w:val="00064620"/>
    <w:rsid w:val="00065181"/>
    <w:rsid w:val="000652CC"/>
    <w:rsid w:val="0006714D"/>
    <w:rsid w:val="000672E7"/>
    <w:rsid w:val="00067350"/>
    <w:rsid w:val="00067CCE"/>
    <w:rsid w:val="00070726"/>
    <w:rsid w:val="000707D9"/>
    <w:rsid w:val="000730E9"/>
    <w:rsid w:val="000738B2"/>
    <w:rsid w:val="00073DE5"/>
    <w:rsid w:val="0007436F"/>
    <w:rsid w:val="00074DF5"/>
    <w:rsid w:val="00074E08"/>
    <w:rsid w:val="00075762"/>
    <w:rsid w:val="0007588A"/>
    <w:rsid w:val="000760EE"/>
    <w:rsid w:val="000762BC"/>
    <w:rsid w:val="00076ECD"/>
    <w:rsid w:val="00077480"/>
    <w:rsid w:val="00077B88"/>
    <w:rsid w:val="00077D7B"/>
    <w:rsid w:val="00080654"/>
    <w:rsid w:val="000815A3"/>
    <w:rsid w:val="00081E20"/>
    <w:rsid w:val="00082044"/>
    <w:rsid w:val="000822E6"/>
    <w:rsid w:val="000825B8"/>
    <w:rsid w:val="0008416F"/>
    <w:rsid w:val="00084423"/>
    <w:rsid w:val="000847FF"/>
    <w:rsid w:val="0008518B"/>
    <w:rsid w:val="00085431"/>
    <w:rsid w:val="00090429"/>
    <w:rsid w:val="00091A8F"/>
    <w:rsid w:val="00091BBF"/>
    <w:rsid w:val="000921E2"/>
    <w:rsid w:val="000928D8"/>
    <w:rsid w:val="00092934"/>
    <w:rsid w:val="00092BEC"/>
    <w:rsid w:val="00092D2C"/>
    <w:rsid w:val="0009321B"/>
    <w:rsid w:val="0009336A"/>
    <w:rsid w:val="000937AF"/>
    <w:rsid w:val="00093990"/>
    <w:rsid w:val="00094A8C"/>
    <w:rsid w:val="000962F8"/>
    <w:rsid w:val="000964CD"/>
    <w:rsid w:val="00096CDA"/>
    <w:rsid w:val="000978BF"/>
    <w:rsid w:val="00097D9F"/>
    <w:rsid w:val="000A07B8"/>
    <w:rsid w:val="000A0DE1"/>
    <w:rsid w:val="000A13FE"/>
    <w:rsid w:val="000A1513"/>
    <w:rsid w:val="000A1833"/>
    <w:rsid w:val="000A24EC"/>
    <w:rsid w:val="000A26ED"/>
    <w:rsid w:val="000A3B1F"/>
    <w:rsid w:val="000A3B8A"/>
    <w:rsid w:val="000A4C98"/>
    <w:rsid w:val="000A4CB3"/>
    <w:rsid w:val="000A64BC"/>
    <w:rsid w:val="000A6597"/>
    <w:rsid w:val="000A6612"/>
    <w:rsid w:val="000A6AE2"/>
    <w:rsid w:val="000A7258"/>
    <w:rsid w:val="000A79D0"/>
    <w:rsid w:val="000A7EDD"/>
    <w:rsid w:val="000B0392"/>
    <w:rsid w:val="000B1431"/>
    <w:rsid w:val="000B2032"/>
    <w:rsid w:val="000B2A3F"/>
    <w:rsid w:val="000B46FB"/>
    <w:rsid w:val="000B4ACC"/>
    <w:rsid w:val="000B4C38"/>
    <w:rsid w:val="000B4E32"/>
    <w:rsid w:val="000B5889"/>
    <w:rsid w:val="000B6A4B"/>
    <w:rsid w:val="000B6FDB"/>
    <w:rsid w:val="000C096A"/>
    <w:rsid w:val="000C0F94"/>
    <w:rsid w:val="000C0FCA"/>
    <w:rsid w:val="000C1DD6"/>
    <w:rsid w:val="000C1F2D"/>
    <w:rsid w:val="000C2640"/>
    <w:rsid w:val="000C29E6"/>
    <w:rsid w:val="000C2A6C"/>
    <w:rsid w:val="000C3228"/>
    <w:rsid w:val="000C3C66"/>
    <w:rsid w:val="000C4271"/>
    <w:rsid w:val="000C43ED"/>
    <w:rsid w:val="000C4920"/>
    <w:rsid w:val="000C498C"/>
    <w:rsid w:val="000C4A62"/>
    <w:rsid w:val="000C4B35"/>
    <w:rsid w:val="000C5A43"/>
    <w:rsid w:val="000C5EE1"/>
    <w:rsid w:val="000C6A94"/>
    <w:rsid w:val="000C77AD"/>
    <w:rsid w:val="000C7929"/>
    <w:rsid w:val="000C7A39"/>
    <w:rsid w:val="000C7B5E"/>
    <w:rsid w:val="000D03B9"/>
    <w:rsid w:val="000D0526"/>
    <w:rsid w:val="000D19E3"/>
    <w:rsid w:val="000D1C84"/>
    <w:rsid w:val="000D33A1"/>
    <w:rsid w:val="000D383F"/>
    <w:rsid w:val="000D3E03"/>
    <w:rsid w:val="000D4154"/>
    <w:rsid w:val="000D4249"/>
    <w:rsid w:val="000D4318"/>
    <w:rsid w:val="000D4424"/>
    <w:rsid w:val="000D4B1D"/>
    <w:rsid w:val="000D543F"/>
    <w:rsid w:val="000D6317"/>
    <w:rsid w:val="000D6551"/>
    <w:rsid w:val="000D6CD3"/>
    <w:rsid w:val="000D7429"/>
    <w:rsid w:val="000D79C4"/>
    <w:rsid w:val="000D7D70"/>
    <w:rsid w:val="000E0B49"/>
    <w:rsid w:val="000E0ECB"/>
    <w:rsid w:val="000E169F"/>
    <w:rsid w:val="000E1799"/>
    <w:rsid w:val="000E1FD6"/>
    <w:rsid w:val="000E27AF"/>
    <w:rsid w:val="000E27BE"/>
    <w:rsid w:val="000E2C6C"/>
    <w:rsid w:val="000E2E72"/>
    <w:rsid w:val="000E2ED6"/>
    <w:rsid w:val="000E33FA"/>
    <w:rsid w:val="000E3E93"/>
    <w:rsid w:val="000E40BF"/>
    <w:rsid w:val="000E4841"/>
    <w:rsid w:val="000E4A6B"/>
    <w:rsid w:val="000E54EF"/>
    <w:rsid w:val="000E5936"/>
    <w:rsid w:val="000E6840"/>
    <w:rsid w:val="000E6C1F"/>
    <w:rsid w:val="000E7736"/>
    <w:rsid w:val="000F00E6"/>
    <w:rsid w:val="000F06DB"/>
    <w:rsid w:val="000F0A90"/>
    <w:rsid w:val="000F0BD4"/>
    <w:rsid w:val="000F1893"/>
    <w:rsid w:val="000F1AE8"/>
    <w:rsid w:val="000F1B82"/>
    <w:rsid w:val="000F2121"/>
    <w:rsid w:val="000F366C"/>
    <w:rsid w:val="000F3943"/>
    <w:rsid w:val="000F4213"/>
    <w:rsid w:val="000F4B90"/>
    <w:rsid w:val="000F51BC"/>
    <w:rsid w:val="000F589A"/>
    <w:rsid w:val="000F6420"/>
    <w:rsid w:val="000F6C4D"/>
    <w:rsid w:val="000F6F1F"/>
    <w:rsid w:val="000F7460"/>
    <w:rsid w:val="001003FA"/>
    <w:rsid w:val="00100663"/>
    <w:rsid w:val="00100B63"/>
    <w:rsid w:val="00100E46"/>
    <w:rsid w:val="0010119C"/>
    <w:rsid w:val="0010190F"/>
    <w:rsid w:val="0010192B"/>
    <w:rsid w:val="00101D7D"/>
    <w:rsid w:val="0010394E"/>
    <w:rsid w:val="001046E0"/>
    <w:rsid w:val="00105080"/>
    <w:rsid w:val="00105288"/>
    <w:rsid w:val="00105D51"/>
    <w:rsid w:val="0010630C"/>
    <w:rsid w:val="00111073"/>
    <w:rsid w:val="00111211"/>
    <w:rsid w:val="001112B4"/>
    <w:rsid w:val="001113AE"/>
    <w:rsid w:val="00111718"/>
    <w:rsid w:val="00111BF0"/>
    <w:rsid w:val="00111E3A"/>
    <w:rsid w:val="00111F5A"/>
    <w:rsid w:val="00112085"/>
    <w:rsid w:val="001123C8"/>
    <w:rsid w:val="00112542"/>
    <w:rsid w:val="001125F7"/>
    <w:rsid w:val="0011277A"/>
    <w:rsid w:val="00112909"/>
    <w:rsid w:val="00112C60"/>
    <w:rsid w:val="00113189"/>
    <w:rsid w:val="001147BE"/>
    <w:rsid w:val="001149FD"/>
    <w:rsid w:val="001154A6"/>
    <w:rsid w:val="00115EB6"/>
    <w:rsid w:val="00117176"/>
    <w:rsid w:val="0011784F"/>
    <w:rsid w:val="001179A5"/>
    <w:rsid w:val="00117D50"/>
    <w:rsid w:val="0012001F"/>
    <w:rsid w:val="0012077A"/>
    <w:rsid w:val="00120939"/>
    <w:rsid w:val="001213A6"/>
    <w:rsid w:val="00122A3C"/>
    <w:rsid w:val="00122D44"/>
    <w:rsid w:val="0012339A"/>
    <w:rsid w:val="0012391A"/>
    <w:rsid w:val="0012416C"/>
    <w:rsid w:val="00124195"/>
    <w:rsid w:val="00124837"/>
    <w:rsid w:val="00124CC9"/>
    <w:rsid w:val="00124F7F"/>
    <w:rsid w:val="00125468"/>
    <w:rsid w:val="00125AF3"/>
    <w:rsid w:val="001266CA"/>
    <w:rsid w:val="00126F93"/>
    <w:rsid w:val="00127952"/>
    <w:rsid w:val="0013029A"/>
    <w:rsid w:val="0013057D"/>
    <w:rsid w:val="0013079F"/>
    <w:rsid w:val="00131678"/>
    <w:rsid w:val="00131CCB"/>
    <w:rsid w:val="00133294"/>
    <w:rsid w:val="001355D8"/>
    <w:rsid w:val="00136803"/>
    <w:rsid w:val="0013686F"/>
    <w:rsid w:val="00137182"/>
    <w:rsid w:val="0013764D"/>
    <w:rsid w:val="00137650"/>
    <w:rsid w:val="00137B20"/>
    <w:rsid w:val="0014096E"/>
    <w:rsid w:val="001412A8"/>
    <w:rsid w:val="0014147C"/>
    <w:rsid w:val="001420E9"/>
    <w:rsid w:val="0014251D"/>
    <w:rsid w:val="001426D8"/>
    <w:rsid w:val="001426FF"/>
    <w:rsid w:val="00142ACE"/>
    <w:rsid w:val="00144374"/>
    <w:rsid w:val="00144AE0"/>
    <w:rsid w:val="001455BC"/>
    <w:rsid w:val="00145A40"/>
    <w:rsid w:val="00145EC2"/>
    <w:rsid w:val="00146381"/>
    <w:rsid w:val="001469D2"/>
    <w:rsid w:val="001474E1"/>
    <w:rsid w:val="001502E9"/>
    <w:rsid w:val="0015167C"/>
    <w:rsid w:val="00151BBD"/>
    <w:rsid w:val="00152884"/>
    <w:rsid w:val="001529B7"/>
    <w:rsid w:val="00153D8A"/>
    <w:rsid w:val="00154BE3"/>
    <w:rsid w:val="00155591"/>
    <w:rsid w:val="00155A17"/>
    <w:rsid w:val="0015631F"/>
    <w:rsid w:val="00157977"/>
    <w:rsid w:val="001601C6"/>
    <w:rsid w:val="00160381"/>
    <w:rsid w:val="00160448"/>
    <w:rsid w:val="0016053B"/>
    <w:rsid w:val="0016173E"/>
    <w:rsid w:val="001617CD"/>
    <w:rsid w:val="00161BC2"/>
    <w:rsid w:val="00161CDB"/>
    <w:rsid w:val="00162814"/>
    <w:rsid w:val="00162A93"/>
    <w:rsid w:val="00162D5D"/>
    <w:rsid w:val="00162E53"/>
    <w:rsid w:val="001634A4"/>
    <w:rsid w:val="0016458F"/>
    <w:rsid w:val="001650DC"/>
    <w:rsid w:val="00165896"/>
    <w:rsid w:val="00165B76"/>
    <w:rsid w:val="001667A1"/>
    <w:rsid w:val="0016781B"/>
    <w:rsid w:val="001678E5"/>
    <w:rsid w:val="00167BC3"/>
    <w:rsid w:val="00170EE4"/>
    <w:rsid w:val="0017155B"/>
    <w:rsid w:val="001720D0"/>
    <w:rsid w:val="00172348"/>
    <w:rsid w:val="0017316D"/>
    <w:rsid w:val="001731C4"/>
    <w:rsid w:val="0017327C"/>
    <w:rsid w:val="001733B6"/>
    <w:rsid w:val="00173678"/>
    <w:rsid w:val="00174618"/>
    <w:rsid w:val="001753CB"/>
    <w:rsid w:val="001765C3"/>
    <w:rsid w:val="001765FF"/>
    <w:rsid w:val="00176833"/>
    <w:rsid w:val="00177B16"/>
    <w:rsid w:val="0018027D"/>
    <w:rsid w:val="0018028E"/>
    <w:rsid w:val="0018031D"/>
    <w:rsid w:val="001804CD"/>
    <w:rsid w:val="00180729"/>
    <w:rsid w:val="00180794"/>
    <w:rsid w:val="001821F0"/>
    <w:rsid w:val="0018252E"/>
    <w:rsid w:val="00182755"/>
    <w:rsid w:val="00183E66"/>
    <w:rsid w:val="00185746"/>
    <w:rsid w:val="00185FD3"/>
    <w:rsid w:val="001871E1"/>
    <w:rsid w:val="001874E8"/>
    <w:rsid w:val="00187681"/>
    <w:rsid w:val="00187B4F"/>
    <w:rsid w:val="00187CC1"/>
    <w:rsid w:val="001907A2"/>
    <w:rsid w:val="00191BEC"/>
    <w:rsid w:val="00191BFA"/>
    <w:rsid w:val="00191F94"/>
    <w:rsid w:val="00192225"/>
    <w:rsid w:val="00192735"/>
    <w:rsid w:val="00192C3C"/>
    <w:rsid w:val="001935ED"/>
    <w:rsid w:val="0019367C"/>
    <w:rsid w:val="00193EBB"/>
    <w:rsid w:val="001959CB"/>
    <w:rsid w:val="00195F06"/>
    <w:rsid w:val="00196BAF"/>
    <w:rsid w:val="00197781"/>
    <w:rsid w:val="00197836"/>
    <w:rsid w:val="001978DB"/>
    <w:rsid w:val="00197EEE"/>
    <w:rsid w:val="00197F87"/>
    <w:rsid w:val="001A027B"/>
    <w:rsid w:val="001A07A4"/>
    <w:rsid w:val="001A193A"/>
    <w:rsid w:val="001A1956"/>
    <w:rsid w:val="001A203E"/>
    <w:rsid w:val="001A3E4F"/>
    <w:rsid w:val="001A3EB4"/>
    <w:rsid w:val="001A48B2"/>
    <w:rsid w:val="001A5061"/>
    <w:rsid w:val="001A5233"/>
    <w:rsid w:val="001A5AC6"/>
    <w:rsid w:val="001A699F"/>
    <w:rsid w:val="001A72A2"/>
    <w:rsid w:val="001A77DC"/>
    <w:rsid w:val="001A7BDA"/>
    <w:rsid w:val="001A7C67"/>
    <w:rsid w:val="001A7DAF"/>
    <w:rsid w:val="001B1005"/>
    <w:rsid w:val="001B1200"/>
    <w:rsid w:val="001B14C7"/>
    <w:rsid w:val="001B19A8"/>
    <w:rsid w:val="001B1D4C"/>
    <w:rsid w:val="001B1F45"/>
    <w:rsid w:val="001B1FA8"/>
    <w:rsid w:val="001B2220"/>
    <w:rsid w:val="001B2D36"/>
    <w:rsid w:val="001B2F5D"/>
    <w:rsid w:val="001B326F"/>
    <w:rsid w:val="001B345E"/>
    <w:rsid w:val="001B383B"/>
    <w:rsid w:val="001B39D7"/>
    <w:rsid w:val="001B3D3D"/>
    <w:rsid w:val="001B4181"/>
    <w:rsid w:val="001B5B06"/>
    <w:rsid w:val="001B5D9A"/>
    <w:rsid w:val="001C07FE"/>
    <w:rsid w:val="001C1F10"/>
    <w:rsid w:val="001C26BE"/>
    <w:rsid w:val="001C2C9C"/>
    <w:rsid w:val="001C4728"/>
    <w:rsid w:val="001C48F9"/>
    <w:rsid w:val="001C494C"/>
    <w:rsid w:val="001C54CF"/>
    <w:rsid w:val="001C5582"/>
    <w:rsid w:val="001C5687"/>
    <w:rsid w:val="001C5CCC"/>
    <w:rsid w:val="001C6EAE"/>
    <w:rsid w:val="001C700D"/>
    <w:rsid w:val="001D03FA"/>
    <w:rsid w:val="001D1301"/>
    <w:rsid w:val="001D1BA0"/>
    <w:rsid w:val="001D1FF9"/>
    <w:rsid w:val="001D23E7"/>
    <w:rsid w:val="001D3E7D"/>
    <w:rsid w:val="001D3EB2"/>
    <w:rsid w:val="001D46B3"/>
    <w:rsid w:val="001D5CCC"/>
    <w:rsid w:val="001D642F"/>
    <w:rsid w:val="001D70D2"/>
    <w:rsid w:val="001E0193"/>
    <w:rsid w:val="001E0239"/>
    <w:rsid w:val="001E08AF"/>
    <w:rsid w:val="001E2640"/>
    <w:rsid w:val="001E2ACE"/>
    <w:rsid w:val="001E34AE"/>
    <w:rsid w:val="001E501D"/>
    <w:rsid w:val="001E5F3B"/>
    <w:rsid w:val="001E6036"/>
    <w:rsid w:val="001E6047"/>
    <w:rsid w:val="001E666A"/>
    <w:rsid w:val="001E6970"/>
    <w:rsid w:val="001E69B3"/>
    <w:rsid w:val="001E6C3F"/>
    <w:rsid w:val="001E70FA"/>
    <w:rsid w:val="001E7892"/>
    <w:rsid w:val="001E79D6"/>
    <w:rsid w:val="001F0371"/>
    <w:rsid w:val="001F0A23"/>
    <w:rsid w:val="001F0BEC"/>
    <w:rsid w:val="001F15E6"/>
    <w:rsid w:val="001F186D"/>
    <w:rsid w:val="001F2147"/>
    <w:rsid w:val="001F230C"/>
    <w:rsid w:val="001F3BAC"/>
    <w:rsid w:val="001F45EB"/>
    <w:rsid w:val="001F54B9"/>
    <w:rsid w:val="001F5560"/>
    <w:rsid w:val="001F6173"/>
    <w:rsid w:val="001F6345"/>
    <w:rsid w:val="001F63F2"/>
    <w:rsid w:val="001F64A7"/>
    <w:rsid w:val="001F64C1"/>
    <w:rsid w:val="001F688C"/>
    <w:rsid w:val="001F690E"/>
    <w:rsid w:val="001F6D59"/>
    <w:rsid w:val="001F79F7"/>
    <w:rsid w:val="001F7F98"/>
    <w:rsid w:val="002001BE"/>
    <w:rsid w:val="00200BD3"/>
    <w:rsid w:val="00200CEA"/>
    <w:rsid w:val="00200D38"/>
    <w:rsid w:val="00200F9C"/>
    <w:rsid w:val="002032D4"/>
    <w:rsid w:val="0020334B"/>
    <w:rsid w:val="002037AF"/>
    <w:rsid w:val="0020399B"/>
    <w:rsid w:val="0020408E"/>
    <w:rsid w:val="002050F1"/>
    <w:rsid w:val="00205602"/>
    <w:rsid w:val="00206857"/>
    <w:rsid w:val="00207005"/>
    <w:rsid w:val="002072BC"/>
    <w:rsid w:val="00207E75"/>
    <w:rsid w:val="002101A9"/>
    <w:rsid w:val="0021057B"/>
    <w:rsid w:val="00210B17"/>
    <w:rsid w:val="002117E0"/>
    <w:rsid w:val="00212447"/>
    <w:rsid w:val="00213016"/>
    <w:rsid w:val="00213C77"/>
    <w:rsid w:val="00214094"/>
    <w:rsid w:val="00214722"/>
    <w:rsid w:val="002149CF"/>
    <w:rsid w:val="00214D07"/>
    <w:rsid w:val="00214DC7"/>
    <w:rsid w:val="00215313"/>
    <w:rsid w:val="0021541D"/>
    <w:rsid w:val="0021570C"/>
    <w:rsid w:val="00216602"/>
    <w:rsid w:val="00216727"/>
    <w:rsid w:val="00216857"/>
    <w:rsid w:val="00217D8E"/>
    <w:rsid w:val="00220200"/>
    <w:rsid w:val="0022080C"/>
    <w:rsid w:val="0022090F"/>
    <w:rsid w:val="0022152B"/>
    <w:rsid w:val="002215DA"/>
    <w:rsid w:val="002224C9"/>
    <w:rsid w:val="00225236"/>
    <w:rsid w:val="002257CE"/>
    <w:rsid w:val="002257E9"/>
    <w:rsid w:val="00225C71"/>
    <w:rsid w:val="00226612"/>
    <w:rsid w:val="002268D6"/>
    <w:rsid w:val="00226A1A"/>
    <w:rsid w:val="00226B8D"/>
    <w:rsid w:val="00226C99"/>
    <w:rsid w:val="002301FB"/>
    <w:rsid w:val="0023159C"/>
    <w:rsid w:val="002321C0"/>
    <w:rsid w:val="00233988"/>
    <w:rsid w:val="00234274"/>
    <w:rsid w:val="0023514E"/>
    <w:rsid w:val="00235D9E"/>
    <w:rsid w:val="00235F33"/>
    <w:rsid w:val="00236FEC"/>
    <w:rsid w:val="002371B0"/>
    <w:rsid w:val="002378FF"/>
    <w:rsid w:val="00240D6C"/>
    <w:rsid w:val="00240F6C"/>
    <w:rsid w:val="00241099"/>
    <w:rsid w:val="002413EF"/>
    <w:rsid w:val="00241C2C"/>
    <w:rsid w:val="0024276B"/>
    <w:rsid w:val="00242B6C"/>
    <w:rsid w:val="00242FF6"/>
    <w:rsid w:val="00243EF7"/>
    <w:rsid w:val="0024571F"/>
    <w:rsid w:val="00245E9A"/>
    <w:rsid w:val="00246259"/>
    <w:rsid w:val="00247146"/>
    <w:rsid w:val="002506D2"/>
    <w:rsid w:val="00250D9D"/>
    <w:rsid w:val="00251778"/>
    <w:rsid w:val="00251848"/>
    <w:rsid w:val="00252BF0"/>
    <w:rsid w:val="002531EE"/>
    <w:rsid w:val="00253307"/>
    <w:rsid w:val="00253A04"/>
    <w:rsid w:val="0025503B"/>
    <w:rsid w:val="00255306"/>
    <w:rsid w:val="002557DF"/>
    <w:rsid w:val="00255CD1"/>
    <w:rsid w:val="002565C2"/>
    <w:rsid w:val="002565FB"/>
    <w:rsid w:val="0025786F"/>
    <w:rsid w:val="00257C24"/>
    <w:rsid w:val="002606A4"/>
    <w:rsid w:val="00260E57"/>
    <w:rsid w:val="00263A1F"/>
    <w:rsid w:val="002645A4"/>
    <w:rsid w:val="00266856"/>
    <w:rsid w:val="00267F3F"/>
    <w:rsid w:val="00270CA3"/>
    <w:rsid w:val="00271207"/>
    <w:rsid w:val="0027190F"/>
    <w:rsid w:val="00272C36"/>
    <w:rsid w:val="002736CA"/>
    <w:rsid w:val="00274AE4"/>
    <w:rsid w:val="002755C5"/>
    <w:rsid w:val="00276B68"/>
    <w:rsid w:val="002803A9"/>
    <w:rsid w:val="00280ABB"/>
    <w:rsid w:val="00281066"/>
    <w:rsid w:val="00281346"/>
    <w:rsid w:val="0028199D"/>
    <w:rsid w:val="002820C3"/>
    <w:rsid w:val="0028353B"/>
    <w:rsid w:val="002839E5"/>
    <w:rsid w:val="00283AE9"/>
    <w:rsid w:val="00283FDB"/>
    <w:rsid w:val="002842E4"/>
    <w:rsid w:val="00284531"/>
    <w:rsid w:val="002847D2"/>
    <w:rsid w:val="00284FC8"/>
    <w:rsid w:val="00284FD3"/>
    <w:rsid w:val="00286492"/>
    <w:rsid w:val="00287051"/>
    <w:rsid w:val="00287997"/>
    <w:rsid w:val="00287E5C"/>
    <w:rsid w:val="00290CBF"/>
    <w:rsid w:val="00290FC3"/>
    <w:rsid w:val="002910E4"/>
    <w:rsid w:val="00291D0D"/>
    <w:rsid w:val="00291E06"/>
    <w:rsid w:val="00291EC2"/>
    <w:rsid w:val="00292609"/>
    <w:rsid w:val="0029291E"/>
    <w:rsid w:val="00293244"/>
    <w:rsid w:val="00293334"/>
    <w:rsid w:val="002939E4"/>
    <w:rsid w:val="00294BC0"/>
    <w:rsid w:val="002953B3"/>
    <w:rsid w:val="00295A7D"/>
    <w:rsid w:val="002A04CA"/>
    <w:rsid w:val="002A0648"/>
    <w:rsid w:val="002A0726"/>
    <w:rsid w:val="002A0B7D"/>
    <w:rsid w:val="002A1FDD"/>
    <w:rsid w:val="002A27B8"/>
    <w:rsid w:val="002A35FF"/>
    <w:rsid w:val="002A360C"/>
    <w:rsid w:val="002A4D79"/>
    <w:rsid w:val="002A4E9C"/>
    <w:rsid w:val="002A52E8"/>
    <w:rsid w:val="002A61DA"/>
    <w:rsid w:val="002A6901"/>
    <w:rsid w:val="002A6AAC"/>
    <w:rsid w:val="002A6B14"/>
    <w:rsid w:val="002A71CF"/>
    <w:rsid w:val="002A76B0"/>
    <w:rsid w:val="002A78DE"/>
    <w:rsid w:val="002B0613"/>
    <w:rsid w:val="002B10DC"/>
    <w:rsid w:val="002B1F2A"/>
    <w:rsid w:val="002B1F4B"/>
    <w:rsid w:val="002B247F"/>
    <w:rsid w:val="002B253E"/>
    <w:rsid w:val="002B3220"/>
    <w:rsid w:val="002B328E"/>
    <w:rsid w:val="002B33EE"/>
    <w:rsid w:val="002B47AC"/>
    <w:rsid w:val="002B4965"/>
    <w:rsid w:val="002B4A10"/>
    <w:rsid w:val="002B50A7"/>
    <w:rsid w:val="002B514A"/>
    <w:rsid w:val="002B59CE"/>
    <w:rsid w:val="002B6078"/>
    <w:rsid w:val="002B644F"/>
    <w:rsid w:val="002B67D9"/>
    <w:rsid w:val="002B6A5C"/>
    <w:rsid w:val="002B7F88"/>
    <w:rsid w:val="002C0527"/>
    <w:rsid w:val="002C0867"/>
    <w:rsid w:val="002C0C99"/>
    <w:rsid w:val="002C14DB"/>
    <w:rsid w:val="002C191A"/>
    <w:rsid w:val="002C1EF4"/>
    <w:rsid w:val="002C1FF6"/>
    <w:rsid w:val="002C2199"/>
    <w:rsid w:val="002C22AD"/>
    <w:rsid w:val="002C27DA"/>
    <w:rsid w:val="002C31BC"/>
    <w:rsid w:val="002C3D0A"/>
    <w:rsid w:val="002C3D22"/>
    <w:rsid w:val="002C404D"/>
    <w:rsid w:val="002C4575"/>
    <w:rsid w:val="002C4BE2"/>
    <w:rsid w:val="002C6541"/>
    <w:rsid w:val="002C6AF9"/>
    <w:rsid w:val="002C77B9"/>
    <w:rsid w:val="002C7DAA"/>
    <w:rsid w:val="002C7F50"/>
    <w:rsid w:val="002D0BA0"/>
    <w:rsid w:val="002D26B5"/>
    <w:rsid w:val="002D31DF"/>
    <w:rsid w:val="002D456E"/>
    <w:rsid w:val="002D4E57"/>
    <w:rsid w:val="002D4F6E"/>
    <w:rsid w:val="002D5222"/>
    <w:rsid w:val="002D66C4"/>
    <w:rsid w:val="002D687E"/>
    <w:rsid w:val="002D7A17"/>
    <w:rsid w:val="002D7F3D"/>
    <w:rsid w:val="002E07CA"/>
    <w:rsid w:val="002E0ABC"/>
    <w:rsid w:val="002E0C26"/>
    <w:rsid w:val="002E197A"/>
    <w:rsid w:val="002E494E"/>
    <w:rsid w:val="002E4E95"/>
    <w:rsid w:val="002E509C"/>
    <w:rsid w:val="002E58F7"/>
    <w:rsid w:val="002E5967"/>
    <w:rsid w:val="002E6BE9"/>
    <w:rsid w:val="002E6C82"/>
    <w:rsid w:val="002E726A"/>
    <w:rsid w:val="002E757F"/>
    <w:rsid w:val="002E7CD7"/>
    <w:rsid w:val="002E7D97"/>
    <w:rsid w:val="002E7E52"/>
    <w:rsid w:val="002E7F36"/>
    <w:rsid w:val="002F01C3"/>
    <w:rsid w:val="002F038F"/>
    <w:rsid w:val="002F03A8"/>
    <w:rsid w:val="002F14DA"/>
    <w:rsid w:val="002F175B"/>
    <w:rsid w:val="002F18C5"/>
    <w:rsid w:val="002F1B6D"/>
    <w:rsid w:val="002F1E49"/>
    <w:rsid w:val="002F4367"/>
    <w:rsid w:val="002F4DCF"/>
    <w:rsid w:val="002F5726"/>
    <w:rsid w:val="002F78A6"/>
    <w:rsid w:val="002F7AB5"/>
    <w:rsid w:val="002F7DC1"/>
    <w:rsid w:val="0030072F"/>
    <w:rsid w:val="003011F0"/>
    <w:rsid w:val="0030189B"/>
    <w:rsid w:val="00303664"/>
    <w:rsid w:val="00303863"/>
    <w:rsid w:val="003038C6"/>
    <w:rsid w:val="003057D5"/>
    <w:rsid w:val="00306B83"/>
    <w:rsid w:val="00306DAA"/>
    <w:rsid w:val="00307247"/>
    <w:rsid w:val="00307321"/>
    <w:rsid w:val="00307BD6"/>
    <w:rsid w:val="00311059"/>
    <w:rsid w:val="0031129B"/>
    <w:rsid w:val="00311339"/>
    <w:rsid w:val="003113B3"/>
    <w:rsid w:val="003114B2"/>
    <w:rsid w:val="00312276"/>
    <w:rsid w:val="00312DAF"/>
    <w:rsid w:val="00313AE1"/>
    <w:rsid w:val="00314D64"/>
    <w:rsid w:val="00314EF3"/>
    <w:rsid w:val="0031514D"/>
    <w:rsid w:val="003169CD"/>
    <w:rsid w:val="00317CC4"/>
    <w:rsid w:val="0032086A"/>
    <w:rsid w:val="00320FE9"/>
    <w:rsid w:val="003213A0"/>
    <w:rsid w:val="00321406"/>
    <w:rsid w:val="00321719"/>
    <w:rsid w:val="00321B1C"/>
    <w:rsid w:val="00321F63"/>
    <w:rsid w:val="003230E7"/>
    <w:rsid w:val="00323928"/>
    <w:rsid w:val="0032409F"/>
    <w:rsid w:val="003247B5"/>
    <w:rsid w:val="0032482E"/>
    <w:rsid w:val="00325249"/>
    <w:rsid w:val="00325BA9"/>
    <w:rsid w:val="00326895"/>
    <w:rsid w:val="00326ABA"/>
    <w:rsid w:val="0032712F"/>
    <w:rsid w:val="00327AD0"/>
    <w:rsid w:val="00331295"/>
    <w:rsid w:val="0033131E"/>
    <w:rsid w:val="00331559"/>
    <w:rsid w:val="00331E08"/>
    <w:rsid w:val="003339D9"/>
    <w:rsid w:val="00333B4A"/>
    <w:rsid w:val="00334142"/>
    <w:rsid w:val="003348FB"/>
    <w:rsid w:val="00334AA1"/>
    <w:rsid w:val="003351BA"/>
    <w:rsid w:val="00335B49"/>
    <w:rsid w:val="00336296"/>
    <w:rsid w:val="00336A70"/>
    <w:rsid w:val="00336B03"/>
    <w:rsid w:val="0033718B"/>
    <w:rsid w:val="00337204"/>
    <w:rsid w:val="0033722D"/>
    <w:rsid w:val="0033723A"/>
    <w:rsid w:val="00337879"/>
    <w:rsid w:val="00337F40"/>
    <w:rsid w:val="00340496"/>
    <w:rsid w:val="00340718"/>
    <w:rsid w:val="00340FBB"/>
    <w:rsid w:val="0034139E"/>
    <w:rsid w:val="00342C2B"/>
    <w:rsid w:val="00343046"/>
    <w:rsid w:val="003437C9"/>
    <w:rsid w:val="00343FDD"/>
    <w:rsid w:val="0034484D"/>
    <w:rsid w:val="00344AB5"/>
    <w:rsid w:val="00345196"/>
    <w:rsid w:val="003455E4"/>
    <w:rsid w:val="00346346"/>
    <w:rsid w:val="00346951"/>
    <w:rsid w:val="0034699D"/>
    <w:rsid w:val="00351509"/>
    <w:rsid w:val="00351D95"/>
    <w:rsid w:val="00351DA1"/>
    <w:rsid w:val="00353998"/>
    <w:rsid w:val="00354915"/>
    <w:rsid w:val="00355909"/>
    <w:rsid w:val="00355CC3"/>
    <w:rsid w:val="00357671"/>
    <w:rsid w:val="003579F8"/>
    <w:rsid w:val="00357AC3"/>
    <w:rsid w:val="00357BFF"/>
    <w:rsid w:val="00357FA8"/>
    <w:rsid w:val="003601CA"/>
    <w:rsid w:val="00360731"/>
    <w:rsid w:val="00360CCE"/>
    <w:rsid w:val="003611AF"/>
    <w:rsid w:val="00362500"/>
    <w:rsid w:val="00362702"/>
    <w:rsid w:val="0036325A"/>
    <w:rsid w:val="003634D3"/>
    <w:rsid w:val="003636B3"/>
    <w:rsid w:val="00363A80"/>
    <w:rsid w:val="003647AC"/>
    <w:rsid w:val="00364CC7"/>
    <w:rsid w:val="00364DB8"/>
    <w:rsid w:val="00365AC5"/>
    <w:rsid w:val="003664E9"/>
    <w:rsid w:val="00366599"/>
    <w:rsid w:val="0036791B"/>
    <w:rsid w:val="00367D7D"/>
    <w:rsid w:val="0037047A"/>
    <w:rsid w:val="00370D34"/>
    <w:rsid w:val="003719F1"/>
    <w:rsid w:val="00371C2D"/>
    <w:rsid w:val="00372BF6"/>
    <w:rsid w:val="003747FE"/>
    <w:rsid w:val="00374A02"/>
    <w:rsid w:val="00375721"/>
    <w:rsid w:val="00375CD1"/>
    <w:rsid w:val="00375FD1"/>
    <w:rsid w:val="00376424"/>
    <w:rsid w:val="00377496"/>
    <w:rsid w:val="00377DCD"/>
    <w:rsid w:val="00377E52"/>
    <w:rsid w:val="00380FCF"/>
    <w:rsid w:val="0038157F"/>
    <w:rsid w:val="0038195D"/>
    <w:rsid w:val="00381A61"/>
    <w:rsid w:val="003826D9"/>
    <w:rsid w:val="00383060"/>
    <w:rsid w:val="003833F0"/>
    <w:rsid w:val="00383C10"/>
    <w:rsid w:val="00383E13"/>
    <w:rsid w:val="003844EC"/>
    <w:rsid w:val="00384A78"/>
    <w:rsid w:val="00384B31"/>
    <w:rsid w:val="00384CFB"/>
    <w:rsid w:val="003855E9"/>
    <w:rsid w:val="00387390"/>
    <w:rsid w:val="003879BC"/>
    <w:rsid w:val="00387CB2"/>
    <w:rsid w:val="00387CF2"/>
    <w:rsid w:val="00387D1F"/>
    <w:rsid w:val="00387E0B"/>
    <w:rsid w:val="00390F79"/>
    <w:rsid w:val="00392890"/>
    <w:rsid w:val="00392B3C"/>
    <w:rsid w:val="003934BA"/>
    <w:rsid w:val="003937DC"/>
    <w:rsid w:val="003939B3"/>
    <w:rsid w:val="00393BE6"/>
    <w:rsid w:val="00393E93"/>
    <w:rsid w:val="00394262"/>
    <w:rsid w:val="0039707A"/>
    <w:rsid w:val="003979A4"/>
    <w:rsid w:val="003A0022"/>
    <w:rsid w:val="003A0380"/>
    <w:rsid w:val="003A04F5"/>
    <w:rsid w:val="003A0BC4"/>
    <w:rsid w:val="003A1C80"/>
    <w:rsid w:val="003A237D"/>
    <w:rsid w:val="003A2603"/>
    <w:rsid w:val="003A2A38"/>
    <w:rsid w:val="003A2E38"/>
    <w:rsid w:val="003A4408"/>
    <w:rsid w:val="003A465E"/>
    <w:rsid w:val="003A4B91"/>
    <w:rsid w:val="003A4D94"/>
    <w:rsid w:val="003A4F6E"/>
    <w:rsid w:val="003A5BFA"/>
    <w:rsid w:val="003A6600"/>
    <w:rsid w:val="003A67B0"/>
    <w:rsid w:val="003A6AF1"/>
    <w:rsid w:val="003A6D68"/>
    <w:rsid w:val="003A78B6"/>
    <w:rsid w:val="003B054C"/>
    <w:rsid w:val="003B065B"/>
    <w:rsid w:val="003B1091"/>
    <w:rsid w:val="003B1428"/>
    <w:rsid w:val="003B1911"/>
    <w:rsid w:val="003B1BC6"/>
    <w:rsid w:val="003B1C86"/>
    <w:rsid w:val="003B2E85"/>
    <w:rsid w:val="003B7575"/>
    <w:rsid w:val="003B7DE1"/>
    <w:rsid w:val="003C0BAA"/>
    <w:rsid w:val="003C1C6A"/>
    <w:rsid w:val="003C3095"/>
    <w:rsid w:val="003C3CD2"/>
    <w:rsid w:val="003C46B7"/>
    <w:rsid w:val="003C4F5E"/>
    <w:rsid w:val="003C5076"/>
    <w:rsid w:val="003C5305"/>
    <w:rsid w:val="003C536F"/>
    <w:rsid w:val="003C55CD"/>
    <w:rsid w:val="003C58BE"/>
    <w:rsid w:val="003C58E3"/>
    <w:rsid w:val="003C5BA9"/>
    <w:rsid w:val="003C5E3A"/>
    <w:rsid w:val="003C5F90"/>
    <w:rsid w:val="003C762F"/>
    <w:rsid w:val="003D11D3"/>
    <w:rsid w:val="003D29FF"/>
    <w:rsid w:val="003D2BCE"/>
    <w:rsid w:val="003D2E16"/>
    <w:rsid w:val="003D36B9"/>
    <w:rsid w:val="003D4930"/>
    <w:rsid w:val="003D494A"/>
    <w:rsid w:val="003D5A3A"/>
    <w:rsid w:val="003D5CF6"/>
    <w:rsid w:val="003D6CDF"/>
    <w:rsid w:val="003D7EE6"/>
    <w:rsid w:val="003E01FB"/>
    <w:rsid w:val="003E0549"/>
    <w:rsid w:val="003E1504"/>
    <w:rsid w:val="003E178A"/>
    <w:rsid w:val="003E1805"/>
    <w:rsid w:val="003E1A59"/>
    <w:rsid w:val="003E1DFF"/>
    <w:rsid w:val="003E202E"/>
    <w:rsid w:val="003E2C72"/>
    <w:rsid w:val="003E2E77"/>
    <w:rsid w:val="003E33C1"/>
    <w:rsid w:val="003E3DA5"/>
    <w:rsid w:val="003E419C"/>
    <w:rsid w:val="003E41FF"/>
    <w:rsid w:val="003E5706"/>
    <w:rsid w:val="003E6A4C"/>
    <w:rsid w:val="003E727D"/>
    <w:rsid w:val="003E7A7D"/>
    <w:rsid w:val="003E7AF7"/>
    <w:rsid w:val="003F0625"/>
    <w:rsid w:val="003F0D84"/>
    <w:rsid w:val="003F103C"/>
    <w:rsid w:val="003F1859"/>
    <w:rsid w:val="003F1883"/>
    <w:rsid w:val="003F1E20"/>
    <w:rsid w:val="003F2DE0"/>
    <w:rsid w:val="003F4682"/>
    <w:rsid w:val="003F48DD"/>
    <w:rsid w:val="003F4D65"/>
    <w:rsid w:val="003F4F9F"/>
    <w:rsid w:val="003F5DAB"/>
    <w:rsid w:val="003F68CB"/>
    <w:rsid w:val="003F6E8C"/>
    <w:rsid w:val="003F6EBC"/>
    <w:rsid w:val="003F786F"/>
    <w:rsid w:val="003F79B5"/>
    <w:rsid w:val="00400700"/>
    <w:rsid w:val="004024F1"/>
    <w:rsid w:val="00403323"/>
    <w:rsid w:val="00403881"/>
    <w:rsid w:val="00403ABC"/>
    <w:rsid w:val="00403AE1"/>
    <w:rsid w:val="00403EB9"/>
    <w:rsid w:val="0040401B"/>
    <w:rsid w:val="00405382"/>
    <w:rsid w:val="00405A75"/>
    <w:rsid w:val="00405AB6"/>
    <w:rsid w:val="00405DC2"/>
    <w:rsid w:val="00406863"/>
    <w:rsid w:val="00407FEA"/>
    <w:rsid w:val="00410155"/>
    <w:rsid w:val="00410175"/>
    <w:rsid w:val="00410B28"/>
    <w:rsid w:val="00411C9B"/>
    <w:rsid w:val="0041254F"/>
    <w:rsid w:val="004128A4"/>
    <w:rsid w:val="0041314A"/>
    <w:rsid w:val="004131ED"/>
    <w:rsid w:val="00413B91"/>
    <w:rsid w:val="00414518"/>
    <w:rsid w:val="00414652"/>
    <w:rsid w:val="00416512"/>
    <w:rsid w:val="00417CDD"/>
    <w:rsid w:val="00417D90"/>
    <w:rsid w:val="00422DC1"/>
    <w:rsid w:val="004231CC"/>
    <w:rsid w:val="004233E5"/>
    <w:rsid w:val="0042373D"/>
    <w:rsid w:val="0042407F"/>
    <w:rsid w:val="004256BD"/>
    <w:rsid w:val="00425AB6"/>
    <w:rsid w:val="004278B4"/>
    <w:rsid w:val="00427B19"/>
    <w:rsid w:val="00427C88"/>
    <w:rsid w:val="00430501"/>
    <w:rsid w:val="00430B41"/>
    <w:rsid w:val="00432AE3"/>
    <w:rsid w:val="00434BBB"/>
    <w:rsid w:val="004354E9"/>
    <w:rsid w:val="00435E40"/>
    <w:rsid w:val="00436936"/>
    <w:rsid w:val="00436DDB"/>
    <w:rsid w:val="0043745A"/>
    <w:rsid w:val="00437767"/>
    <w:rsid w:val="00437E6D"/>
    <w:rsid w:val="00440E4C"/>
    <w:rsid w:val="00441010"/>
    <w:rsid w:val="00441734"/>
    <w:rsid w:val="00441CF4"/>
    <w:rsid w:val="0044251A"/>
    <w:rsid w:val="004426F4"/>
    <w:rsid w:val="004427DF"/>
    <w:rsid w:val="0044337E"/>
    <w:rsid w:val="00443F42"/>
    <w:rsid w:val="004448FE"/>
    <w:rsid w:val="00445458"/>
    <w:rsid w:val="00445969"/>
    <w:rsid w:val="00445F2F"/>
    <w:rsid w:val="004466E3"/>
    <w:rsid w:val="00447486"/>
    <w:rsid w:val="00450089"/>
    <w:rsid w:val="0045065F"/>
    <w:rsid w:val="00450F35"/>
    <w:rsid w:val="0045117B"/>
    <w:rsid w:val="0045196A"/>
    <w:rsid w:val="00452320"/>
    <w:rsid w:val="004523CE"/>
    <w:rsid w:val="004538F7"/>
    <w:rsid w:val="0045426A"/>
    <w:rsid w:val="004544BE"/>
    <w:rsid w:val="00454AE5"/>
    <w:rsid w:val="00454B63"/>
    <w:rsid w:val="00454FFE"/>
    <w:rsid w:val="00455B7E"/>
    <w:rsid w:val="00457ECA"/>
    <w:rsid w:val="00460128"/>
    <w:rsid w:val="004614AA"/>
    <w:rsid w:val="00462049"/>
    <w:rsid w:val="004632B2"/>
    <w:rsid w:val="00463896"/>
    <w:rsid w:val="00463B26"/>
    <w:rsid w:val="00464B65"/>
    <w:rsid w:val="004650C1"/>
    <w:rsid w:val="0046522D"/>
    <w:rsid w:val="00466109"/>
    <w:rsid w:val="00466671"/>
    <w:rsid w:val="00466700"/>
    <w:rsid w:val="0046723E"/>
    <w:rsid w:val="00467928"/>
    <w:rsid w:val="00467A02"/>
    <w:rsid w:val="00467CE8"/>
    <w:rsid w:val="00467FFB"/>
    <w:rsid w:val="004705A9"/>
    <w:rsid w:val="00471252"/>
    <w:rsid w:val="004714BA"/>
    <w:rsid w:val="00471789"/>
    <w:rsid w:val="00471CA7"/>
    <w:rsid w:val="00471D91"/>
    <w:rsid w:val="00472141"/>
    <w:rsid w:val="004724F4"/>
    <w:rsid w:val="004729E4"/>
    <w:rsid w:val="0047322D"/>
    <w:rsid w:val="00473B38"/>
    <w:rsid w:val="00473C8B"/>
    <w:rsid w:val="00474230"/>
    <w:rsid w:val="004746F1"/>
    <w:rsid w:val="00475607"/>
    <w:rsid w:val="004757F4"/>
    <w:rsid w:val="00475B67"/>
    <w:rsid w:val="00476301"/>
    <w:rsid w:val="00477858"/>
    <w:rsid w:val="00477E92"/>
    <w:rsid w:val="004800E7"/>
    <w:rsid w:val="004803B7"/>
    <w:rsid w:val="00480C08"/>
    <w:rsid w:val="00481298"/>
    <w:rsid w:val="004815C4"/>
    <w:rsid w:val="0048169D"/>
    <w:rsid w:val="00481DC3"/>
    <w:rsid w:val="00482573"/>
    <w:rsid w:val="0048323B"/>
    <w:rsid w:val="004835C9"/>
    <w:rsid w:val="0048375F"/>
    <w:rsid w:val="004837DE"/>
    <w:rsid w:val="00483B84"/>
    <w:rsid w:val="00484593"/>
    <w:rsid w:val="00484E84"/>
    <w:rsid w:val="00486126"/>
    <w:rsid w:val="004866A2"/>
    <w:rsid w:val="0048787E"/>
    <w:rsid w:val="00487C7E"/>
    <w:rsid w:val="00491E7E"/>
    <w:rsid w:val="0049279D"/>
    <w:rsid w:val="004927D7"/>
    <w:rsid w:val="00494F5F"/>
    <w:rsid w:val="0049579D"/>
    <w:rsid w:val="004958F5"/>
    <w:rsid w:val="00495E7F"/>
    <w:rsid w:val="0049617E"/>
    <w:rsid w:val="00496ABB"/>
    <w:rsid w:val="00496FB3"/>
    <w:rsid w:val="00497BF6"/>
    <w:rsid w:val="00497DAD"/>
    <w:rsid w:val="004A18EA"/>
    <w:rsid w:val="004A1A46"/>
    <w:rsid w:val="004A1ABF"/>
    <w:rsid w:val="004A1C85"/>
    <w:rsid w:val="004A1EF9"/>
    <w:rsid w:val="004A23BD"/>
    <w:rsid w:val="004A314A"/>
    <w:rsid w:val="004A3979"/>
    <w:rsid w:val="004A3D71"/>
    <w:rsid w:val="004A4D30"/>
    <w:rsid w:val="004A534A"/>
    <w:rsid w:val="004A53FB"/>
    <w:rsid w:val="004A55A9"/>
    <w:rsid w:val="004A5B90"/>
    <w:rsid w:val="004A5D8F"/>
    <w:rsid w:val="004A6B36"/>
    <w:rsid w:val="004A6F83"/>
    <w:rsid w:val="004A70B6"/>
    <w:rsid w:val="004A77A3"/>
    <w:rsid w:val="004A7B91"/>
    <w:rsid w:val="004B1382"/>
    <w:rsid w:val="004B1399"/>
    <w:rsid w:val="004B2314"/>
    <w:rsid w:val="004B2E5C"/>
    <w:rsid w:val="004B427F"/>
    <w:rsid w:val="004B495A"/>
    <w:rsid w:val="004B5AD5"/>
    <w:rsid w:val="004B5D90"/>
    <w:rsid w:val="004B64D9"/>
    <w:rsid w:val="004B6B7F"/>
    <w:rsid w:val="004B702C"/>
    <w:rsid w:val="004B7466"/>
    <w:rsid w:val="004B748D"/>
    <w:rsid w:val="004B7691"/>
    <w:rsid w:val="004C0007"/>
    <w:rsid w:val="004C153C"/>
    <w:rsid w:val="004C230C"/>
    <w:rsid w:val="004C25C9"/>
    <w:rsid w:val="004C2637"/>
    <w:rsid w:val="004C32D9"/>
    <w:rsid w:val="004C410F"/>
    <w:rsid w:val="004C4319"/>
    <w:rsid w:val="004C494A"/>
    <w:rsid w:val="004C58B0"/>
    <w:rsid w:val="004C5C23"/>
    <w:rsid w:val="004C7A17"/>
    <w:rsid w:val="004C7D9D"/>
    <w:rsid w:val="004D10A3"/>
    <w:rsid w:val="004D13C0"/>
    <w:rsid w:val="004D174D"/>
    <w:rsid w:val="004D1D7F"/>
    <w:rsid w:val="004D2CB4"/>
    <w:rsid w:val="004D30E1"/>
    <w:rsid w:val="004D3380"/>
    <w:rsid w:val="004D3C61"/>
    <w:rsid w:val="004D40D0"/>
    <w:rsid w:val="004D4827"/>
    <w:rsid w:val="004D5A8D"/>
    <w:rsid w:val="004D7AFB"/>
    <w:rsid w:val="004E0009"/>
    <w:rsid w:val="004E02FF"/>
    <w:rsid w:val="004E0614"/>
    <w:rsid w:val="004E172E"/>
    <w:rsid w:val="004E282C"/>
    <w:rsid w:val="004E3FE5"/>
    <w:rsid w:val="004E4EA6"/>
    <w:rsid w:val="004E4F7B"/>
    <w:rsid w:val="004E534B"/>
    <w:rsid w:val="004E53C7"/>
    <w:rsid w:val="004E6054"/>
    <w:rsid w:val="004E6748"/>
    <w:rsid w:val="004E73E8"/>
    <w:rsid w:val="004E7F84"/>
    <w:rsid w:val="004F0961"/>
    <w:rsid w:val="004F1079"/>
    <w:rsid w:val="004F1A52"/>
    <w:rsid w:val="004F2BE2"/>
    <w:rsid w:val="004F35CC"/>
    <w:rsid w:val="004F3772"/>
    <w:rsid w:val="004F3EEE"/>
    <w:rsid w:val="004F4A8B"/>
    <w:rsid w:val="004F4F86"/>
    <w:rsid w:val="004F6FCD"/>
    <w:rsid w:val="004F7872"/>
    <w:rsid w:val="004F7AFD"/>
    <w:rsid w:val="00500721"/>
    <w:rsid w:val="005007A9"/>
    <w:rsid w:val="00501264"/>
    <w:rsid w:val="00501304"/>
    <w:rsid w:val="00501486"/>
    <w:rsid w:val="0050196F"/>
    <w:rsid w:val="00501A31"/>
    <w:rsid w:val="00501E8E"/>
    <w:rsid w:val="00501FEB"/>
    <w:rsid w:val="005028CC"/>
    <w:rsid w:val="005032B1"/>
    <w:rsid w:val="00503383"/>
    <w:rsid w:val="005049BB"/>
    <w:rsid w:val="00505024"/>
    <w:rsid w:val="0050516E"/>
    <w:rsid w:val="00505427"/>
    <w:rsid w:val="00505CD5"/>
    <w:rsid w:val="005062BF"/>
    <w:rsid w:val="00506BD1"/>
    <w:rsid w:val="00507295"/>
    <w:rsid w:val="005075F9"/>
    <w:rsid w:val="0050796D"/>
    <w:rsid w:val="00507C56"/>
    <w:rsid w:val="00510396"/>
    <w:rsid w:val="005108F6"/>
    <w:rsid w:val="00511302"/>
    <w:rsid w:val="00511373"/>
    <w:rsid w:val="00511602"/>
    <w:rsid w:val="00511BA7"/>
    <w:rsid w:val="00511F90"/>
    <w:rsid w:val="005136EB"/>
    <w:rsid w:val="00513ACD"/>
    <w:rsid w:val="005140BA"/>
    <w:rsid w:val="005144FF"/>
    <w:rsid w:val="0051458A"/>
    <w:rsid w:val="00514A1B"/>
    <w:rsid w:val="00514DD7"/>
    <w:rsid w:val="0051543E"/>
    <w:rsid w:val="005154A1"/>
    <w:rsid w:val="005159B9"/>
    <w:rsid w:val="005159E7"/>
    <w:rsid w:val="00515AC8"/>
    <w:rsid w:val="00516314"/>
    <w:rsid w:val="0051650A"/>
    <w:rsid w:val="00517D14"/>
    <w:rsid w:val="005202DC"/>
    <w:rsid w:val="005209C1"/>
    <w:rsid w:val="00520ECE"/>
    <w:rsid w:val="0052253E"/>
    <w:rsid w:val="005225B5"/>
    <w:rsid w:val="00523D37"/>
    <w:rsid w:val="00524264"/>
    <w:rsid w:val="005250A4"/>
    <w:rsid w:val="0052519D"/>
    <w:rsid w:val="00525294"/>
    <w:rsid w:val="005253D2"/>
    <w:rsid w:val="00525BDE"/>
    <w:rsid w:val="005263B3"/>
    <w:rsid w:val="005265EC"/>
    <w:rsid w:val="0052736A"/>
    <w:rsid w:val="005302BF"/>
    <w:rsid w:val="0053070E"/>
    <w:rsid w:val="00530893"/>
    <w:rsid w:val="00531A3C"/>
    <w:rsid w:val="00531D15"/>
    <w:rsid w:val="005326BF"/>
    <w:rsid w:val="00532C2A"/>
    <w:rsid w:val="00534924"/>
    <w:rsid w:val="005352AE"/>
    <w:rsid w:val="00535667"/>
    <w:rsid w:val="00536254"/>
    <w:rsid w:val="005366A9"/>
    <w:rsid w:val="00536D5F"/>
    <w:rsid w:val="00537486"/>
    <w:rsid w:val="005405F0"/>
    <w:rsid w:val="00540776"/>
    <w:rsid w:val="00540D94"/>
    <w:rsid w:val="005414F6"/>
    <w:rsid w:val="005415E6"/>
    <w:rsid w:val="00541BC4"/>
    <w:rsid w:val="00542F9E"/>
    <w:rsid w:val="005432E8"/>
    <w:rsid w:val="005435BF"/>
    <w:rsid w:val="00543DCE"/>
    <w:rsid w:val="00544028"/>
    <w:rsid w:val="00544687"/>
    <w:rsid w:val="00544E0C"/>
    <w:rsid w:val="00544F16"/>
    <w:rsid w:val="00545E26"/>
    <w:rsid w:val="00546050"/>
    <w:rsid w:val="00546F7F"/>
    <w:rsid w:val="00550C5E"/>
    <w:rsid w:val="00550EB0"/>
    <w:rsid w:val="005512B1"/>
    <w:rsid w:val="00551433"/>
    <w:rsid w:val="00552386"/>
    <w:rsid w:val="00552EA5"/>
    <w:rsid w:val="005530B7"/>
    <w:rsid w:val="0055349B"/>
    <w:rsid w:val="00553BB6"/>
    <w:rsid w:val="00553F7A"/>
    <w:rsid w:val="00554B04"/>
    <w:rsid w:val="00556025"/>
    <w:rsid w:val="005562FB"/>
    <w:rsid w:val="00556D9C"/>
    <w:rsid w:val="0055759E"/>
    <w:rsid w:val="00557683"/>
    <w:rsid w:val="00560A2F"/>
    <w:rsid w:val="00561572"/>
    <w:rsid w:val="005619B5"/>
    <w:rsid w:val="005625E1"/>
    <w:rsid w:val="005628CE"/>
    <w:rsid w:val="005632A1"/>
    <w:rsid w:val="005636D4"/>
    <w:rsid w:val="00563D24"/>
    <w:rsid w:val="00563EBD"/>
    <w:rsid w:val="0056418D"/>
    <w:rsid w:val="00564E92"/>
    <w:rsid w:val="00565015"/>
    <w:rsid w:val="005652E7"/>
    <w:rsid w:val="0056543E"/>
    <w:rsid w:val="00565B62"/>
    <w:rsid w:val="00566194"/>
    <w:rsid w:val="00566B53"/>
    <w:rsid w:val="00566EFF"/>
    <w:rsid w:val="00567370"/>
    <w:rsid w:val="005673DF"/>
    <w:rsid w:val="0056792B"/>
    <w:rsid w:val="0057026C"/>
    <w:rsid w:val="00572ED7"/>
    <w:rsid w:val="00573AFB"/>
    <w:rsid w:val="005746E4"/>
    <w:rsid w:val="00575768"/>
    <w:rsid w:val="005768A5"/>
    <w:rsid w:val="00576BC5"/>
    <w:rsid w:val="00576C97"/>
    <w:rsid w:val="00576DB6"/>
    <w:rsid w:val="0057705A"/>
    <w:rsid w:val="0057705B"/>
    <w:rsid w:val="00580ABF"/>
    <w:rsid w:val="00580BD3"/>
    <w:rsid w:val="00580F4E"/>
    <w:rsid w:val="00581D36"/>
    <w:rsid w:val="00581DC6"/>
    <w:rsid w:val="00582A11"/>
    <w:rsid w:val="00582BC2"/>
    <w:rsid w:val="00583C0F"/>
    <w:rsid w:val="00585927"/>
    <w:rsid w:val="005859AE"/>
    <w:rsid w:val="00587AD3"/>
    <w:rsid w:val="00587F45"/>
    <w:rsid w:val="00590C3F"/>
    <w:rsid w:val="00591771"/>
    <w:rsid w:val="0059403C"/>
    <w:rsid w:val="00595771"/>
    <w:rsid w:val="005959D6"/>
    <w:rsid w:val="00596201"/>
    <w:rsid w:val="005963C7"/>
    <w:rsid w:val="00596AA8"/>
    <w:rsid w:val="005971AA"/>
    <w:rsid w:val="0059730E"/>
    <w:rsid w:val="005A08D4"/>
    <w:rsid w:val="005A0EAA"/>
    <w:rsid w:val="005A2C9E"/>
    <w:rsid w:val="005A318B"/>
    <w:rsid w:val="005A4959"/>
    <w:rsid w:val="005A50E3"/>
    <w:rsid w:val="005A71D9"/>
    <w:rsid w:val="005B02FB"/>
    <w:rsid w:val="005B038A"/>
    <w:rsid w:val="005B0921"/>
    <w:rsid w:val="005B0D68"/>
    <w:rsid w:val="005B153E"/>
    <w:rsid w:val="005B1E2F"/>
    <w:rsid w:val="005B1F93"/>
    <w:rsid w:val="005B215D"/>
    <w:rsid w:val="005B281B"/>
    <w:rsid w:val="005B2AB7"/>
    <w:rsid w:val="005B38F9"/>
    <w:rsid w:val="005B480A"/>
    <w:rsid w:val="005B4A81"/>
    <w:rsid w:val="005B5597"/>
    <w:rsid w:val="005B5623"/>
    <w:rsid w:val="005B5D0E"/>
    <w:rsid w:val="005B6407"/>
    <w:rsid w:val="005B69A7"/>
    <w:rsid w:val="005B7718"/>
    <w:rsid w:val="005B7A15"/>
    <w:rsid w:val="005C001D"/>
    <w:rsid w:val="005C0E7E"/>
    <w:rsid w:val="005C1374"/>
    <w:rsid w:val="005C2BFE"/>
    <w:rsid w:val="005C4566"/>
    <w:rsid w:val="005C46DF"/>
    <w:rsid w:val="005C47F8"/>
    <w:rsid w:val="005C4838"/>
    <w:rsid w:val="005C5489"/>
    <w:rsid w:val="005C55E8"/>
    <w:rsid w:val="005C58EA"/>
    <w:rsid w:val="005C5FB2"/>
    <w:rsid w:val="005C7888"/>
    <w:rsid w:val="005C7BB9"/>
    <w:rsid w:val="005D0161"/>
    <w:rsid w:val="005D0623"/>
    <w:rsid w:val="005D17C4"/>
    <w:rsid w:val="005D184C"/>
    <w:rsid w:val="005D188D"/>
    <w:rsid w:val="005D1A4C"/>
    <w:rsid w:val="005D2128"/>
    <w:rsid w:val="005D3919"/>
    <w:rsid w:val="005D3B4B"/>
    <w:rsid w:val="005D3FC1"/>
    <w:rsid w:val="005D4877"/>
    <w:rsid w:val="005D51FC"/>
    <w:rsid w:val="005D58DD"/>
    <w:rsid w:val="005D5F98"/>
    <w:rsid w:val="005D615A"/>
    <w:rsid w:val="005D7016"/>
    <w:rsid w:val="005D70B4"/>
    <w:rsid w:val="005D72E1"/>
    <w:rsid w:val="005D799B"/>
    <w:rsid w:val="005D7E80"/>
    <w:rsid w:val="005E0435"/>
    <w:rsid w:val="005E0479"/>
    <w:rsid w:val="005E1F1E"/>
    <w:rsid w:val="005E3248"/>
    <w:rsid w:val="005E3B19"/>
    <w:rsid w:val="005E4554"/>
    <w:rsid w:val="005E4F08"/>
    <w:rsid w:val="005E6157"/>
    <w:rsid w:val="005E699A"/>
    <w:rsid w:val="005E6D1B"/>
    <w:rsid w:val="005F0296"/>
    <w:rsid w:val="005F0483"/>
    <w:rsid w:val="005F14FC"/>
    <w:rsid w:val="005F19C7"/>
    <w:rsid w:val="005F2700"/>
    <w:rsid w:val="005F2D6F"/>
    <w:rsid w:val="005F2E2B"/>
    <w:rsid w:val="005F3FC3"/>
    <w:rsid w:val="005F46A6"/>
    <w:rsid w:val="005F48CE"/>
    <w:rsid w:val="005F4CD3"/>
    <w:rsid w:val="005F4E95"/>
    <w:rsid w:val="005F646A"/>
    <w:rsid w:val="005F6A44"/>
    <w:rsid w:val="005F6B51"/>
    <w:rsid w:val="005F6DA7"/>
    <w:rsid w:val="005F7104"/>
    <w:rsid w:val="005F7DE1"/>
    <w:rsid w:val="006010B0"/>
    <w:rsid w:val="00601186"/>
    <w:rsid w:val="00602596"/>
    <w:rsid w:val="0060283B"/>
    <w:rsid w:val="00602954"/>
    <w:rsid w:val="00603D75"/>
    <w:rsid w:val="006048AB"/>
    <w:rsid w:val="00604A04"/>
    <w:rsid w:val="006050AD"/>
    <w:rsid w:val="0060570D"/>
    <w:rsid w:val="00607054"/>
    <w:rsid w:val="00607155"/>
    <w:rsid w:val="006072D5"/>
    <w:rsid w:val="006103BA"/>
    <w:rsid w:val="00610C0D"/>
    <w:rsid w:val="006110E9"/>
    <w:rsid w:val="00611FF8"/>
    <w:rsid w:val="0061200F"/>
    <w:rsid w:val="00612D2D"/>
    <w:rsid w:val="00613474"/>
    <w:rsid w:val="00615835"/>
    <w:rsid w:val="0061609D"/>
    <w:rsid w:val="00616116"/>
    <w:rsid w:val="0061634E"/>
    <w:rsid w:val="00616F52"/>
    <w:rsid w:val="0062163C"/>
    <w:rsid w:val="00621F51"/>
    <w:rsid w:val="006221D1"/>
    <w:rsid w:val="006227E6"/>
    <w:rsid w:val="00622963"/>
    <w:rsid w:val="006239F7"/>
    <w:rsid w:val="00625469"/>
    <w:rsid w:val="00625887"/>
    <w:rsid w:val="00626209"/>
    <w:rsid w:val="0062658A"/>
    <w:rsid w:val="006320BE"/>
    <w:rsid w:val="00632771"/>
    <w:rsid w:val="00632E04"/>
    <w:rsid w:val="00633544"/>
    <w:rsid w:val="00633DAD"/>
    <w:rsid w:val="00633E72"/>
    <w:rsid w:val="0063409A"/>
    <w:rsid w:val="0063484F"/>
    <w:rsid w:val="00635ED2"/>
    <w:rsid w:val="00636735"/>
    <w:rsid w:val="00636794"/>
    <w:rsid w:val="00637635"/>
    <w:rsid w:val="00640483"/>
    <w:rsid w:val="00640F03"/>
    <w:rsid w:val="00641424"/>
    <w:rsid w:val="00642086"/>
    <w:rsid w:val="00642588"/>
    <w:rsid w:val="00642853"/>
    <w:rsid w:val="006440F9"/>
    <w:rsid w:val="00644167"/>
    <w:rsid w:val="00644664"/>
    <w:rsid w:val="00644ED7"/>
    <w:rsid w:val="00644F86"/>
    <w:rsid w:val="0064558F"/>
    <w:rsid w:val="00645F9D"/>
    <w:rsid w:val="0064672D"/>
    <w:rsid w:val="00647630"/>
    <w:rsid w:val="00650021"/>
    <w:rsid w:val="006503AE"/>
    <w:rsid w:val="0065093B"/>
    <w:rsid w:val="0065171F"/>
    <w:rsid w:val="00651B2C"/>
    <w:rsid w:val="00651B36"/>
    <w:rsid w:val="00651F98"/>
    <w:rsid w:val="0065263C"/>
    <w:rsid w:val="00652D38"/>
    <w:rsid w:val="00653313"/>
    <w:rsid w:val="00654279"/>
    <w:rsid w:val="00654B5E"/>
    <w:rsid w:val="0065646B"/>
    <w:rsid w:val="006565F5"/>
    <w:rsid w:val="00656896"/>
    <w:rsid w:val="006600F4"/>
    <w:rsid w:val="0066071E"/>
    <w:rsid w:val="00660AAB"/>
    <w:rsid w:val="00661A77"/>
    <w:rsid w:val="006623CA"/>
    <w:rsid w:val="00662984"/>
    <w:rsid w:val="00662FD6"/>
    <w:rsid w:val="0066359A"/>
    <w:rsid w:val="006635D0"/>
    <w:rsid w:val="00664017"/>
    <w:rsid w:val="00664487"/>
    <w:rsid w:val="006646E8"/>
    <w:rsid w:val="00665763"/>
    <w:rsid w:val="00665E3E"/>
    <w:rsid w:val="00665F84"/>
    <w:rsid w:val="00666B18"/>
    <w:rsid w:val="006674CF"/>
    <w:rsid w:val="00670455"/>
    <w:rsid w:val="006708BB"/>
    <w:rsid w:val="00670CAE"/>
    <w:rsid w:val="00671A23"/>
    <w:rsid w:val="00671FD4"/>
    <w:rsid w:val="006722DC"/>
    <w:rsid w:val="0067322F"/>
    <w:rsid w:val="006732EA"/>
    <w:rsid w:val="0067348D"/>
    <w:rsid w:val="00674E49"/>
    <w:rsid w:val="0067578C"/>
    <w:rsid w:val="00675CC1"/>
    <w:rsid w:val="00676139"/>
    <w:rsid w:val="00676642"/>
    <w:rsid w:val="00676BE9"/>
    <w:rsid w:val="00676F7B"/>
    <w:rsid w:val="0067752D"/>
    <w:rsid w:val="00677579"/>
    <w:rsid w:val="00677A06"/>
    <w:rsid w:val="006801C2"/>
    <w:rsid w:val="006802D9"/>
    <w:rsid w:val="00680BC1"/>
    <w:rsid w:val="00682A88"/>
    <w:rsid w:val="00683F6B"/>
    <w:rsid w:val="006840BD"/>
    <w:rsid w:val="006843E1"/>
    <w:rsid w:val="0068443D"/>
    <w:rsid w:val="0068546F"/>
    <w:rsid w:val="00686F6D"/>
    <w:rsid w:val="00687717"/>
    <w:rsid w:val="0068779E"/>
    <w:rsid w:val="00690036"/>
    <w:rsid w:val="0069170B"/>
    <w:rsid w:val="0069237C"/>
    <w:rsid w:val="0069266A"/>
    <w:rsid w:val="006928F6"/>
    <w:rsid w:val="00693036"/>
    <w:rsid w:val="00693677"/>
    <w:rsid w:val="00694009"/>
    <w:rsid w:val="00694114"/>
    <w:rsid w:val="006941E9"/>
    <w:rsid w:val="006944DD"/>
    <w:rsid w:val="00694886"/>
    <w:rsid w:val="00694E72"/>
    <w:rsid w:val="00694EBA"/>
    <w:rsid w:val="00695A1B"/>
    <w:rsid w:val="0069630B"/>
    <w:rsid w:val="00696EC0"/>
    <w:rsid w:val="006A02F1"/>
    <w:rsid w:val="006A0A99"/>
    <w:rsid w:val="006A0ECA"/>
    <w:rsid w:val="006A0FF6"/>
    <w:rsid w:val="006A111C"/>
    <w:rsid w:val="006A14C3"/>
    <w:rsid w:val="006A15DD"/>
    <w:rsid w:val="006A1E11"/>
    <w:rsid w:val="006A26AF"/>
    <w:rsid w:val="006A2F93"/>
    <w:rsid w:val="006A4262"/>
    <w:rsid w:val="006A496D"/>
    <w:rsid w:val="006A5441"/>
    <w:rsid w:val="006A54F9"/>
    <w:rsid w:val="006A552E"/>
    <w:rsid w:val="006A5F33"/>
    <w:rsid w:val="006A60FB"/>
    <w:rsid w:val="006A7766"/>
    <w:rsid w:val="006A7D81"/>
    <w:rsid w:val="006A7FED"/>
    <w:rsid w:val="006B195A"/>
    <w:rsid w:val="006B22C9"/>
    <w:rsid w:val="006B2EEE"/>
    <w:rsid w:val="006B3040"/>
    <w:rsid w:val="006B3DA7"/>
    <w:rsid w:val="006B45B9"/>
    <w:rsid w:val="006B4D70"/>
    <w:rsid w:val="006B689C"/>
    <w:rsid w:val="006B68D3"/>
    <w:rsid w:val="006B7673"/>
    <w:rsid w:val="006B7B22"/>
    <w:rsid w:val="006C1192"/>
    <w:rsid w:val="006C13C3"/>
    <w:rsid w:val="006C24F3"/>
    <w:rsid w:val="006C2E02"/>
    <w:rsid w:val="006C34AA"/>
    <w:rsid w:val="006C4110"/>
    <w:rsid w:val="006C41B5"/>
    <w:rsid w:val="006C468C"/>
    <w:rsid w:val="006C5187"/>
    <w:rsid w:val="006C5B44"/>
    <w:rsid w:val="006C6663"/>
    <w:rsid w:val="006C6670"/>
    <w:rsid w:val="006C7A96"/>
    <w:rsid w:val="006D00F7"/>
    <w:rsid w:val="006D0908"/>
    <w:rsid w:val="006D1E60"/>
    <w:rsid w:val="006D2AE1"/>
    <w:rsid w:val="006D463C"/>
    <w:rsid w:val="006D50A7"/>
    <w:rsid w:val="006D5427"/>
    <w:rsid w:val="006D5BBB"/>
    <w:rsid w:val="006D65F2"/>
    <w:rsid w:val="006D6F53"/>
    <w:rsid w:val="006D730B"/>
    <w:rsid w:val="006D7867"/>
    <w:rsid w:val="006D7D44"/>
    <w:rsid w:val="006E00A9"/>
    <w:rsid w:val="006E0124"/>
    <w:rsid w:val="006E0841"/>
    <w:rsid w:val="006E0B0B"/>
    <w:rsid w:val="006E0B22"/>
    <w:rsid w:val="006E1BB1"/>
    <w:rsid w:val="006E455F"/>
    <w:rsid w:val="006E45E4"/>
    <w:rsid w:val="006E4EB6"/>
    <w:rsid w:val="006E53A4"/>
    <w:rsid w:val="006E5A8C"/>
    <w:rsid w:val="006E6D4D"/>
    <w:rsid w:val="006E6D6C"/>
    <w:rsid w:val="006E7494"/>
    <w:rsid w:val="006E7822"/>
    <w:rsid w:val="006E7870"/>
    <w:rsid w:val="006E7DB8"/>
    <w:rsid w:val="006F0472"/>
    <w:rsid w:val="006F0D0C"/>
    <w:rsid w:val="006F119B"/>
    <w:rsid w:val="006F17B2"/>
    <w:rsid w:val="006F185A"/>
    <w:rsid w:val="006F1A06"/>
    <w:rsid w:val="006F1C69"/>
    <w:rsid w:val="006F2026"/>
    <w:rsid w:val="006F36C1"/>
    <w:rsid w:val="006F3715"/>
    <w:rsid w:val="006F3AEA"/>
    <w:rsid w:val="006F407F"/>
    <w:rsid w:val="006F4AAF"/>
    <w:rsid w:val="006F50B6"/>
    <w:rsid w:val="006F51C4"/>
    <w:rsid w:val="006F53E1"/>
    <w:rsid w:val="006F676E"/>
    <w:rsid w:val="006F6B42"/>
    <w:rsid w:val="006F77CF"/>
    <w:rsid w:val="007004ED"/>
    <w:rsid w:val="00700BC0"/>
    <w:rsid w:val="00702B86"/>
    <w:rsid w:val="00703698"/>
    <w:rsid w:val="00703A1C"/>
    <w:rsid w:val="007043CA"/>
    <w:rsid w:val="00705076"/>
    <w:rsid w:val="007050CA"/>
    <w:rsid w:val="00705140"/>
    <w:rsid w:val="0070525B"/>
    <w:rsid w:val="00706298"/>
    <w:rsid w:val="007064A6"/>
    <w:rsid w:val="007064D4"/>
    <w:rsid w:val="007065FE"/>
    <w:rsid w:val="007067EC"/>
    <w:rsid w:val="00707813"/>
    <w:rsid w:val="0070799C"/>
    <w:rsid w:val="00707A55"/>
    <w:rsid w:val="0071050B"/>
    <w:rsid w:val="007106C4"/>
    <w:rsid w:val="00710796"/>
    <w:rsid w:val="00710DD3"/>
    <w:rsid w:val="00711C24"/>
    <w:rsid w:val="00712BA0"/>
    <w:rsid w:val="0071305A"/>
    <w:rsid w:val="0071325E"/>
    <w:rsid w:val="00713313"/>
    <w:rsid w:val="00713FB3"/>
    <w:rsid w:val="0071415D"/>
    <w:rsid w:val="0071490D"/>
    <w:rsid w:val="00714E69"/>
    <w:rsid w:val="0071551E"/>
    <w:rsid w:val="00715626"/>
    <w:rsid w:val="00715E99"/>
    <w:rsid w:val="00716240"/>
    <w:rsid w:val="00716756"/>
    <w:rsid w:val="00717C68"/>
    <w:rsid w:val="00717C8E"/>
    <w:rsid w:val="00717DC7"/>
    <w:rsid w:val="0072060C"/>
    <w:rsid w:val="0072178C"/>
    <w:rsid w:val="00721D29"/>
    <w:rsid w:val="007225D7"/>
    <w:rsid w:val="00722A92"/>
    <w:rsid w:val="00722E88"/>
    <w:rsid w:val="0072339D"/>
    <w:rsid w:val="00725047"/>
    <w:rsid w:val="00725977"/>
    <w:rsid w:val="00725A49"/>
    <w:rsid w:val="0072614A"/>
    <w:rsid w:val="007261D9"/>
    <w:rsid w:val="00726735"/>
    <w:rsid w:val="00726AFE"/>
    <w:rsid w:val="00727C7C"/>
    <w:rsid w:val="007300E0"/>
    <w:rsid w:val="007302A3"/>
    <w:rsid w:val="007303D9"/>
    <w:rsid w:val="00730411"/>
    <w:rsid w:val="0073041E"/>
    <w:rsid w:val="00730F0A"/>
    <w:rsid w:val="0073117F"/>
    <w:rsid w:val="007316E1"/>
    <w:rsid w:val="00731B7D"/>
    <w:rsid w:val="00732345"/>
    <w:rsid w:val="00732E43"/>
    <w:rsid w:val="00733714"/>
    <w:rsid w:val="00733C3E"/>
    <w:rsid w:val="007345DA"/>
    <w:rsid w:val="007346E3"/>
    <w:rsid w:val="0073497A"/>
    <w:rsid w:val="00734BBE"/>
    <w:rsid w:val="00734D32"/>
    <w:rsid w:val="00736C5C"/>
    <w:rsid w:val="00737708"/>
    <w:rsid w:val="0074132C"/>
    <w:rsid w:val="007414B0"/>
    <w:rsid w:val="007418D3"/>
    <w:rsid w:val="00741B47"/>
    <w:rsid w:val="00744D19"/>
    <w:rsid w:val="00744E9A"/>
    <w:rsid w:val="00744EBD"/>
    <w:rsid w:val="00745001"/>
    <w:rsid w:val="0074523E"/>
    <w:rsid w:val="0074564D"/>
    <w:rsid w:val="00746366"/>
    <w:rsid w:val="00747032"/>
    <w:rsid w:val="00747561"/>
    <w:rsid w:val="00750ADB"/>
    <w:rsid w:val="00750E44"/>
    <w:rsid w:val="00750F05"/>
    <w:rsid w:val="0075100D"/>
    <w:rsid w:val="00751A45"/>
    <w:rsid w:val="00752BA7"/>
    <w:rsid w:val="00753A75"/>
    <w:rsid w:val="007545DE"/>
    <w:rsid w:val="00755CE0"/>
    <w:rsid w:val="007567C5"/>
    <w:rsid w:val="007568A6"/>
    <w:rsid w:val="00757598"/>
    <w:rsid w:val="00760A4B"/>
    <w:rsid w:val="00761B7D"/>
    <w:rsid w:val="00761C95"/>
    <w:rsid w:val="007623ED"/>
    <w:rsid w:val="00762C18"/>
    <w:rsid w:val="00762E7D"/>
    <w:rsid w:val="00764A23"/>
    <w:rsid w:val="007660C4"/>
    <w:rsid w:val="00766680"/>
    <w:rsid w:val="00766FA4"/>
    <w:rsid w:val="007673BF"/>
    <w:rsid w:val="0076741B"/>
    <w:rsid w:val="00767445"/>
    <w:rsid w:val="00767FA1"/>
    <w:rsid w:val="00770A7E"/>
    <w:rsid w:val="00770C52"/>
    <w:rsid w:val="00770F0C"/>
    <w:rsid w:val="00771719"/>
    <w:rsid w:val="00772150"/>
    <w:rsid w:val="0077285C"/>
    <w:rsid w:val="007734ED"/>
    <w:rsid w:val="00773D51"/>
    <w:rsid w:val="00774958"/>
    <w:rsid w:val="00774A87"/>
    <w:rsid w:val="00774C4D"/>
    <w:rsid w:val="007757E3"/>
    <w:rsid w:val="00775CDE"/>
    <w:rsid w:val="007768A6"/>
    <w:rsid w:val="00776993"/>
    <w:rsid w:val="00776F1D"/>
    <w:rsid w:val="007772C2"/>
    <w:rsid w:val="00777B4B"/>
    <w:rsid w:val="00777B76"/>
    <w:rsid w:val="00780708"/>
    <w:rsid w:val="00780A6D"/>
    <w:rsid w:val="00780B7E"/>
    <w:rsid w:val="00781BF0"/>
    <w:rsid w:val="007831D5"/>
    <w:rsid w:val="007848B3"/>
    <w:rsid w:val="00785B7E"/>
    <w:rsid w:val="00786598"/>
    <w:rsid w:val="0078790D"/>
    <w:rsid w:val="00790F56"/>
    <w:rsid w:val="00790FA8"/>
    <w:rsid w:val="007913EC"/>
    <w:rsid w:val="0079158B"/>
    <w:rsid w:val="00791FBD"/>
    <w:rsid w:val="00792100"/>
    <w:rsid w:val="00792FB0"/>
    <w:rsid w:val="007937AB"/>
    <w:rsid w:val="00794147"/>
    <w:rsid w:val="007946C5"/>
    <w:rsid w:val="00794743"/>
    <w:rsid w:val="00794D37"/>
    <w:rsid w:val="007960ED"/>
    <w:rsid w:val="0079634A"/>
    <w:rsid w:val="00797360"/>
    <w:rsid w:val="00797B7D"/>
    <w:rsid w:val="007A25D4"/>
    <w:rsid w:val="007A37C5"/>
    <w:rsid w:val="007A3C07"/>
    <w:rsid w:val="007A3F89"/>
    <w:rsid w:val="007A5292"/>
    <w:rsid w:val="007A5596"/>
    <w:rsid w:val="007A59D7"/>
    <w:rsid w:val="007A650F"/>
    <w:rsid w:val="007A6EAF"/>
    <w:rsid w:val="007A72BB"/>
    <w:rsid w:val="007A784D"/>
    <w:rsid w:val="007A79F9"/>
    <w:rsid w:val="007B03CD"/>
    <w:rsid w:val="007B045F"/>
    <w:rsid w:val="007B06D7"/>
    <w:rsid w:val="007B0829"/>
    <w:rsid w:val="007B1BB7"/>
    <w:rsid w:val="007B1F2B"/>
    <w:rsid w:val="007B36D1"/>
    <w:rsid w:val="007B43DF"/>
    <w:rsid w:val="007B44CC"/>
    <w:rsid w:val="007B45C4"/>
    <w:rsid w:val="007B46DE"/>
    <w:rsid w:val="007B5097"/>
    <w:rsid w:val="007B6D92"/>
    <w:rsid w:val="007B73A2"/>
    <w:rsid w:val="007B790A"/>
    <w:rsid w:val="007B79D7"/>
    <w:rsid w:val="007B7B95"/>
    <w:rsid w:val="007C0564"/>
    <w:rsid w:val="007C1C19"/>
    <w:rsid w:val="007C22CA"/>
    <w:rsid w:val="007C30DA"/>
    <w:rsid w:val="007C44D9"/>
    <w:rsid w:val="007C4FD3"/>
    <w:rsid w:val="007C55F4"/>
    <w:rsid w:val="007C6173"/>
    <w:rsid w:val="007C6B55"/>
    <w:rsid w:val="007C7584"/>
    <w:rsid w:val="007C79CD"/>
    <w:rsid w:val="007C7D23"/>
    <w:rsid w:val="007D1511"/>
    <w:rsid w:val="007D16E4"/>
    <w:rsid w:val="007D1B23"/>
    <w:rsid w:val="007D1EB0"/>
    <w:rsid w:val="007D26C3"/>
    <w:rsid w:val="007D2707"/>
    <w:rsid w:val="007D3873"/>
    <w:rsid w:val="007D4254"/>
    <w:rsid w:val="007D4461"/>
    <w:rsid w:val="007D46B4"/>
    <w:rsid w:val="007D59A7"/>
    <w:rsid w:val="007D5C5A"/>
    <w:rsid w:val="007D6257"/>
    <w:rsid w:val="007D63C5"/>
    <w:rsid w:val="007D6CC2"/>
    <w:rsid w:val="007D7A87"/>
    <w:rsid w:val="007D7E8C"/>
    <w:rsid w:val="007E0073"/>
    <w:rsid w:val="007E01D3"/>
    <w:rsid w:val="007E0206"/>
    <w:rsid w:val="007E08FD"/>
    <w:rsid w:val="007E1519"/>
    <w:rsid w:val="007E1C1C"/>
    <w:rsid w:val="007E2E93"/>
    <w:rsid w:val="007E33B5"/>
    <w:rsid w:val="007E3F4E"/>
    <w:rsid w:val="007E436B"/>
    <w:rsid w:val="007E5018"/>
    <w:rsid w:val="007E50DB"/>
    <w:rsid w:val="007E528C"/>
    <w:rsid w:val="007E60AA"/>
    <w:rsid w:val="007E7001"/>
    <w:rsid w:val="007E72F5"/>
    <w:rsid w:val="007E7559"/>
    <w:rsid w:val="007E765A"/>
    <w:rsid w:val="007E78F7"/>
    <w:rsid w:val="007E7B10"/>
    <w:rsid w:val="007F01F1"/>
    <w:rsid w:val="007F0770"/>
    <w:rsid w:val="007F091C"/>
    <w:rsid w:val="007F0C11"/>
    <w:rsid w:val="007F0D95"/>
    <w:rsid w:val="007F12D0"/>
    <w:rsid w:val="007F1460"/>
    <w:rsid w:val="007F427D"/>
    <w:rsid w:val="007F49A6"/>
    <w:rsid w:val="007F4E22"/>
    <w:rsid w:val="007F5B6E"/>
    <w:rsid w:val="007F5F0F"/>
    <w:rsid w:val="007F70F3"/>
    <w:rsid w:val="007F74ED"/>
    <w:rsid w:val="007F7FC4"/>
    <w:rsid w:val="00800961"/>
    <w:rsid w:val="00801135"/>
    <w:rsid w:val="00801433"/>
    <w:rsid w:val="00801ACF"/>
    <w:rsid w:val="00803019"/>
    <w:rsid w:val="0080307E"/>
    <w:rsid w:val="00803085"/>
    <w:rsid w:val="00803214"/>
    <w:rsid w:val="0080347B"/>
    <w:rsid w:val="00804705"/>
    <w:rsid w:val="00804EAD"/>
    <w:rsid w:val="008053D1"/>
    <w:rsid w:val="008055E9"/>
    <w:rsid w:val="008058AD"/>
    <w:rsid w:val="00805C11"/>
    <w:rsid w:val="00805C3A"/>
    <w:rsid w:val="0080651A"/>
    <w:rsid w:val="00806C97"/>
    <w:rsid w:val="00807445"/>
    <w:rsid w:val="00810864"/>
    <w:rsid w:val="00810B03"/>
    <w:rsid w:val="008111B6"/>
    <w:rsid w:val="0081234F"/>
    <w:rsid w:val="008128AD"/>
    <w:rsid w:val="008135D5"/>
    <w:rsid w:val="008147AE"/>
    <w:rsid w:val="008158F3"/>
    <w:rsid w:val="00815AE6"/>
    <w:rsid w:val="00815F89"/>
    <w:rsid w:val="0081703E"/>
    <w:rsid w:val="008170BF"/>
    <w:rsid w:val="0081786D"/>
    <w:rsid w:val="008179F1"/>
    <w:rsid w:val="00817DDD"/>
    <w:rsid w:val="00820019"/>
    <w:rsid w:val="008208E4"/>
    <w:rsid w:val="0082099E"/>
    <w:rsid w:val="00820C90"/>
    <w:rsid w:val="008221C3"/>
    <w:rsid w:val="0082227A"/>
    <w:rsid w:val="0082242E"/>
    <w:rsid w:val="00822C14"/>
    <w:rsid w:val="00822CD6"/>
    <w:rsid w:val="008230D8"/>
    <w:rsid w:val="00823141"/>
    <w:rsid w:val="0082324C"/>
    <w:rsid w:val="00823CF9"/>
    <w:rsid w:val="0082409F"/>
    <w:rsid w:val="008247AE"/>
    <w:rsid w:val="00824F8F"/>
    <w:rsid w:val="008258F7"/>
    <w:rsid w:val="00825C4C"/>
    <w:rsid w:val="00826214"/>
    <w:rsid w:val="00826C16"/>
    <w:rsid w:val="00827537"/>
    <w:rsid w:val="00827D28"/>
    <w:rsid w:val="00830AED"/>
    <w:rsid w:val="00831B2A"/>
    <w:rsid w:val="00831BCA"/>
    <w:rsid w:val="00831C9D"/>
    <w:rsid w:val="008323F0"/>
    <w:rsid w:val="00833A04"/>
    <w:rsid w:val="008350D6"/>
    <w:rsid w:val="008353FD"/>
    <w:rsid w:val="00836561"/>
    <w:rsid w:val="008376B6"/>
    <w:rsid w:val="00837AF5"/>
    <w:rsid w:val="008404CE"/>
    <w:rsid w:val="0084059F"/>
    <w:rsid w:val="00842A4E"/>
    <w:rsid w:val="008432FD"/>
    <w:rsid w:val="008437D1"/>
    <w:rsid w:val="00843851"/>
    <w:rsid w:val="0084524D"/>
    <w:rsid w:val="00845DA4"/>
    <w:rsid w:val="00846BD6"/>
    <w:rsid w:val="00846C41"/>
    <w:rsid w:val="00846D55"/>
    <w:rsid w:val="00847534"/>
    <w:rsid w:val="00851230"/>
    <w:rsid w:val="008515A5"/>
    <w:rsid w:val="0085169D"/>
    <w:rsid w:val="008522F5"/>
    <w:rsid w:val="00852C71"/>
    <w:rsid w:val="00852EE2"/>
    <w:rsid w:val="008532FA"/>
    <w:rsid w:val="008536CD"/>
    <w:rsid w:val="00854E95"/>
    <w:rsid w:val="008552FD"/>
    <w:rsid w:val="008559A2"/>
    <w:rsid w:val="008568DE"/>
    <w:rsid w:val="00856BE4"/>
    <w:rsid w:val="008576CF"/>
    <w:rsid w:val="00860047"/>
    <w:rsid w:val="00860390"/>
    <w:rsid w:val="00860CDE"/>
    <w:rsid w:val="00861C0F"/>
    <w:rsid w:val="00861D23"/>
    <w:rsid w:val="00861F97"/>
    <w:rsid w:val="008623E2"/>
    <w:rsid w:val="00863150"/>
    <w:rsid w:val="00863688"/>
    <w:rsid w:val="00864501"/>
    <w:rsid w:val="00865168"/>
    <w:rsid w:val="008651AC"/>
    <w:rsid w:val="008654C8"/>
    <w:rsid w:val="00865641"/>
    <w:rsid w:val="0086711A"/>
    <w:rsid w:val="00867EDB"/>
    <w:rsid w:val="00870FC6"/>
    <w:rsid w:val="0087105B"/>
    <w:rsid w:val="0087110A"/>
    <w:rsid w:val="00872D64"/>
    <w:rsid w:val="008738CB"/>
    <w:rsid w:val="00874F63"/>
    <w:rsid w:val="008750AF"/>
    <w:rsid w:val="008750D2"/>
    <w:rsid w:val="008755F7"/>
    <w:rsid w:val="008757AE"/>
    <w:rsid w:val="008762AB"/>
    <w:rsid w:val="0087677A"/>
    <w:rsid w:val="0087745A"/>
    <w:rsid w:val="008779D7"/>
    <w:rsid w:val="00877E89"/>
    <w:rsid w:val="0088130A"/>
    <w:rsid w:val="00881351"/>
    <w:rsid w:val="008816E1"/>
    <w:rsid w:val="00881F9A"/>
    <w:rsid w:val="00882524"/>
    <w:rsid w:val="00882649"/>
    <w:rsid w:val="00882EEC"/>
    <w:rsid w:val="008846B2"/>
    <w:rsid w:val="00884848"/>
    <w:rsid w:val="00884BDC"/>
    <w:rsid w:val="0088522B"/>
    <w:rsid w:val="0088660A"/>
    <w:rsid w:val="00886773"/>
    <w:rsid w:val="00886E53"/>
    <w:rsid w:val="008873C2"/>
    <w:rsid w:val="00887C91"/>
    <w:rsid w:val="00890203"/>
    <w:rsid w:val="0089135A"/>
    <w:rsid w:val="008915A6"/>
    <w:rsid w:val="00891E06"/>
    <w:rsid w:val="0089212B"/>
    <w:rsid w:val="008936CB"/>
    <w:rsid w:val="0089459F"/>
    <w:rsid w:val="00894736"/>
    <w:rsid w:val="00895A95"/>
    <w:rsid w:val="00896505"/>
    <w:rsid w:val="00896527"/>
    <w:rsid w:val="00896AE4"/>
    <w:rsid w:val="00897CC1"/>
    <w:rsid w:val="00897D5D"/>
    <w:rsid w:val="00897EDF"/>
    <w:rsid w:val="008A16A7"/>
    <w:rsid w:val="008A171B"/>
    <w:rsid w:val="008A1A10"/>
    <w:rsid w:val="008A1E5B"/>
    <w:rsid w:val="008A204B"/>
    <w:rsid w:val="008A21C3"/>
    <w:rsid w:val="008A3A7D"/>
    <w:rsid w:val="008A3B33"/>
    <w:rsid w:val="008A3C17"/>
    <w:rsid w:val="008A47A5"/>
    <w:rsid w:val="008A4D98"/>
    <w:rsid w:val="008A5AFD"/>
    <w:rsid w:val="008A66B2"/>
    <w:rsid w:val="008A7149"/>
    <w:rsid w:val="008A72A9"/>
    <w:rsid w:val="008A76D0"/>
    <w:rsid w:val="008A7C90"/>
    <w:rsid w:val="008A7DEC"/>
    <w:rsid w:val="008B0332"/>
    <w:rsid w:val="008B0427"/>
    <w:rsid w:val="008B0EAF"/>
    <w:rsid w:val="008B11AF"/>
    <w:rsid w:val="008B1622"/>
    <w:rsid w:val="008B16E1"/>
    <w:rsid w:val="008B1703"/>
    <w:rsid w:val="008B2931"/>
    <w:rsid w:val="008B32A4"/>
    <w:rsid w:val="008B4039"/>
    <w:rsid w:val="008B5837"/>
    <w:rsid w:val="008B5CB2"/>
    <w:rsid w:val="008B6253"/>
    <w:rsid w:val="008B6D33"/>
    <w:rsid w:val="008B7113"/>
    <w:rsid w:val="008B74D3"/>
    <w:rsid w:val="008B7610"/>
    <w:rsid w:val="008C03CC"/>
    <w:rsid w:val="008C0A02"/>
    <w:rsid w:val="008C1B09"/>
    <w:rsid w:val="008C3078"/>
    <w:rsid w:val="008C3945"/>
    <w:rsid w:val="008C44E7"/>
    <w:rsid w:val="008C4984"/>
    <w:rsid w:val="008C5C8B"/>
    <w:rsid w:val="008C7766"/>
    <w:rsid w:val="008D008B"/>
    <w:rsid w:val="008D00F4"/>
    <w:rsid w:val="008D0593"/>
    <w:rsid w:val="008D0AA7"/>
    <w:rsid w:val="008D0D47"/>
    <w:rsid w:val="008D2E3B"/>
    <w:rsid w:val="008D386C"/>
    <w:rsid w:val="008D3AE3"/>
    <w:rsid w:val="008D4265"/>
    <w:rsid w:val="008D51C1"/>
    <w:rsid w:val="008D56D6"/>
    <w:rsid w:val="008D589D"/>
    <w:rsid w:val="008D5951"/>
    <w:rsid w:val="008D7697"/>
    <w:rsid w:val="008E2A15"/>
    <w:rsid w:val="008E3714"/>
    <w:rsid w:val="008E382E"/>
    <w:rsid w:val="008E4181"/>
    <w:rsid w:val="008E4BDB"/>
    <w:rsid w:val="008E56FA"/>
    <w:rsid w:val="008E5EA7"/>
    <w:rsid w:val="008E5EE4"/>
    <w:rsid w:val="008E67CD"/>
    <w:rsid w:val="008E7298"/>
    <w:rsid w:val="008E73F4"/>
    <w:rsid w:val="008E7421"/>
    <w:rsid w:val="008E7A2F"/>
    <w:rsid w:val="008E7BE1"/>
    <w:rsid w:val="008F1D24"/>
    <w:rsid w:val="008F23C8"/>
    <w:rsid w:val="008F2B50"/>
    <w:rsid w:val="008F2C69"/>
    <w:rsid w:val="008F3147"/>
    <w:rsid w:val="008F5A93"/>
    <w:rsid w:val="008F6D96"/>
    <w:rsid w:val="008F776E"/>
    <w:rsid w:val="008F781C"/>
    <w:rsid w:val="00900CE6"/>
    <w:rsid w:val="00900FC7"/>
    <w:rsid w:val="00901A06"/>
    <w:rsid w:val="0090232E"/>
    <w:rsid w:val="009038BB"/>
    <w:rsid w:val="009040E0"/>
    <w:rsid w:val="00904100"/>
    <w:rsid w:val="009058FF"/>
    <w:rsid w:val="0090593F"/>
    <w:rsid w:val="00906036"/>
    <w:rsid w:val="0090637A"/>
    <w:rsid w:val="009065E3"/>
    <w:rsid w:val="0090721E"/>
    <w:rsid w:val="00910198"/>
    <w:rsid w:val="00913FAF"/>
    <w:rsid w:val="0091420A"/>
    <w:rsid w:val="00914570"/>
    <w:rsid w:val="0091458B"/>
    <w:rsid w:val="0091487C"/>
    <w:rsid w:val="00914D10"/>
    <w:rsid w:val="00915092"/>
    <w:rsid w:val="00916023"/>
    <w:rsid w:val="009165F5"/>
    <w:rsid w:val="009176A4"/>
    <w:rsid w:val="00917B2F"/>
    <w:rsid w:val="00920487"/>
    <w:rsid w:val="00920B85"/>
    <w:rsid w:val="00921960"/>
    <w:rsid w:val="009221C7"/>
    <w:rsid w:val="0092280A"/>
    <w:rsid w:val="009233E9"/>
    <w:rsid w:val="009239E6"/>
    <w:rsid w:val="00924F69"/>
    <w:rsid w:val="009250ED"/>
    <w:rsid w:val="00925BE4"/>
    <w:rsid w:val="00925EAF"/>
    <w:rsid w:val="00925EBA"/>
    <w:rsid w:val="009261B0"/>
    <w:rsid w:val="009277B6"/>
    <w:rsid w:val="00927A02"/>
    <w:rsid w:val="00930180"/>
    <w:rsid w:val="009301BD"/>
    <w:rsid w:val="00932676"/>
    <w:rsid w:val="00932D94"/>
    <w:rsid w:val="009337A5"/>
    <w:rsid w:val="0093479E"/>
    <w:rsid w:val="00934DEA"/>
    <w:rsid w:val="0093520F"/>
    <w:rsid w:val="00935544"/>
    <w:rsid w:val="009357A9"/>
    <w:rsid w:val="00935B19"/>
    <w:rsid w:val="00935FCD"/>
    <w:rsid w:val="009361E8"/>
    <w:rsid w:val="009361EB"/>
    <w:rsid w:val="00936656"/>
    <w:rsid w:val="00937417"/>
    <w:rsid w:val="0094011C"/>
    <w:rsid w:val="0094112A"/>
    <w:rsid w:val="0094128C"/>
    <w:rsid w:val="009416AF"/>
    <w:rsid w:val="0094214B"/>
    <w:rsid w:val="009426B9"/>
    <w:rsid w:val="00942E1B"/>
    <w:rsid w:val="009431AF"/>
    <w:rsid w:val="0094327C"/>
    <w:rsid w:val="00943FE6"/>
    <w:rsid w:val="009444C6"/>
    <w:rsid w:val="00944C23"/>
    <w:rsid w:val="00945198"/>
    <w:rsid w:val="00945F40"/>
    <w:rsid w:val="00946D8C"/>
    <w:rsid w:val="00946F44"/>
    <w:rsid w:val="00947097"/>
    <w:rsid w:val="00947C20"/>
    <w:rsid w:val="00950BD2"/>
    <w:rsid w:val="00951B08"/>
    <w:rsid w:val="00951D40"/>
    <w:rsid w:val="0095287E"/>
    <w:rsid w:val="00953C59"/>
    <w:rsid w:val="009540A7"/>
    <w:rsid w:val="00954120"/>
    <w:rsid w:val="00955484"/>
    <w:rsid w:val="0095592C"/>
    <w:rsid w:val="00957F76"/>
    <w:rsid w:val="009605D3"/>
    <w:rsid w:val="009607C1"/>
    <w:rsid w:val="009613BD"/>
    <w:rsid w:val="00961C2E"/>
    <w:rsid w:val="009623C0"/>
    <w:rsid w:val="00962A93"/>
    <w:rsid w:val="00962B7F"/>
    <w:rsid w:val="009637C1"/>
    <w:rsid w:val="009654DD"/>
    <w:rsid w:val="009657CD"/>
    <w:rsid w:val="00966096"/>
    <w:rsid w:val="00966436"/>
    <w:rsid w:val="00966746"/>
    <w:rsid w:val="00967ADE"/>
    <w:rsid w:val="00967C25"/>
    <w:rsid w:val="00967DFB"/>
    <w:rsid w:val="00967F9F"/>
    <w:rsid w:val="009712BD"/>
    <w:rsid w:val="00971703"/>
    <w:rsid w:val="00971808"/>
    <w:rsid w:val="009722CE"/>
    <w:rsid w:val="0097352D"/>
    <w:rsid w:val="00973820"/>
    <w:rsid w:val="00973B95"/>
    <w:rsid w:val="00974008"/>
    <w:rsid w:val="00974631"/>
    <w:rsid w:val="009747E4"/>
    <w:rsid w:val="009747EE"/>
    <w:rsid w:val="00974BA4"/>
    <w:rsid w:val="0097514C"/>
    <w:rsid w:val="0097693E"/>
    <w:rsid w:val="009777D8"/>
    <w:rsid w:val="00977A69"/>
    <w:rsid w:val="00980773"/>
    <w:rsid w:val="0098147C"/>
    <w:rsid w:val="00982AE2"/>
    <w:rsid w:val="00982D4A"/>
    <w:rsid w:val="009835E6"/>
    <w:rsid w:val="00984583"/>
    <w:rsid w:val="009849E8"/>
    <w:rsid w:val="009849EA"/>
    <w:rsid w:val="00984A5E"/>
    <w:rsid w:val="00985F9B"/>
    <w:rsid w:val="00986F35"/>
    <w:rsid w:val="00987D7A"/>
    <w:rsid w:val="00990279"/>
    <w:rsid w:val="00991FD4"/>
    <w:rsid w:val="00992718"/>
    <w:rsid w:val="00992F33"/>
    <w:rsid w:val="0099445C"/>
    <w:rsid w:val="00994E25"/>
    <w:rsid w:val="009951DC"/>
    <w:rsid w:val="009952B2"/>
    <w:rsid w:val="009962DC"/>
    <w:rsid w:val="00996AC1"/>
    <w:rsid w:val="00996BDE"/>
    <w:rsid w:val="00996F60"/>
    <w:rsid w:val="009970A1"/>
    <w:rsid w:val="009974AC"/>
    <w:rsid w:val="009A0435"/>
    <w:rsid w:val="009A0A2E"/>
    <w:rsid w:val="009A225D"/>
    <w:rsid w:val="009A29E9"/>
    <w:rsid w:val="009A339D"/>
    <w:rsid w:val="009A361B"/>
    <w:rsid w:val="009A3FEC"/>
    <w:rsid w:val="009A611B"/>
    <w:rsid w:val="009A6FC7"/>
    <w:rsid w:val="009A7F79"/>
    <w:rsid w:val="009B0556"/>
    <w:rsid w:val="009B0DFA"/>
    <w:rsid w:val="009B12AE"/>
    <w:rsid w:val="009B161F"/>
    <w:rsid w:val="009B2E7C"/>
    <w:rsid w:val="009B3017"/>
    <w:rsid w:val="009B36B0"/>
    <w:rsid w:val="009B386E"/>
    <w:rsid w:val="009B3B71"/>
    <w:rsid w:val="009B3E2B"/>
    <w:rsid w:val="009B4095"/>
    <w:rsid w:val="009B4593"/>
    <w:rsid w:val="009B4AA0"/>
    <w:rsid w:val="009B53EF"/>
    <w:rsid w:val="009B5ACF"/>
    <w:rsid w:val="009B5CA6"/>
    <w:rsid w:val="009B5EFF"/>
    <w:rsid w:val="009B7101"/>
    <w:rsid w:val="009B7A77"/>
    <w:rsid w:val="009C0C61"/>
    <w:rsid w:val="009C104A"/>
    <w:rsid w:val="009C2940"/>
    <w:rsid w:val="009C343A"/>
    <w:rsid w:val="009C3585"/>
    <w:rsid w:val="009C380D"/>
    <w:rsid w:val="009C3965"/>
    <w:rsid w:val="009C47D7"/>
    <w:rsid w:val="009C6834"/>
    <w:rsid w:val="009C7039"/>
    <w:rsid w:val="009C7220"/>
    <w:rsid w:val="009D0337"/>
    <w:rsid w:val="009D0E3F"/>
    <w:rsid w:val="009D0FB1"/>
    <w:rsid w:val="009D1380"/>
    <w:rsid w:val="009D1E00"/>
    <w:rsid w:val="009D25BE"/>
    <w:rsid w:val="009D3FCD"/>
    <w:rsid w:val="009D4117"/>
    <w:rsid w:val="009D4B40"/>
    <w:rsid w:val="009D59A3"/>
    <w:rsid w:val="009D6163"/>
    <w:rsid w:val="009D6541"/>
    <w:rsid w:val="009D691A"/>
    <w:rsid w:val="009D71F6"/>
    <w:rsid w:val="009D7C1D"/>
    <w:rsid w:val="009E07FC"/>
    <w:rsid w:val="009E0A0B"/>
    <w:rsid w:val="009E1256"/>
    <w:rsid w:val="009E13F1"/>
    <w:rsid w:val="009E4AB4"/>
    <w:rsid w:val="009E52FD"/>
    <w:rsid w:val="009E5AC4"/>
    <w:rsid w:val="009E5DF8"/>
    <w:rsid w:val="009E7B60"/>
    <w:rsid w:val="009E7D2C"/>
    <w:rsid w:val="009F00A4"/>
    <w:rsid w:val="009F0B55"/>
    <w:rsid w:val="009F1954"/>
    <w:rsid w:val="009F1FAC"/>
    <w:rsid w:val="009F209E"/>
    <w:rsid w:val="009F271C"/>
    <w:rsid w:val="009F2FE6"/>
    <w:rsid w:val="009F3638"/>
    <w:rsid w:val="009F3877"/>
    <w:rsid w:val="009F3DCD"/>
    <w:rsid w:val="009F3FB5"/>
    <w:rsid w:val="009F4177"/>
    <w:rsid w:val="009F44CC"/>
    <w:rsid w:val="009F4D03"/>
    <w:rsid w:val="009F5865"/>
    <w:rsid w:val="009F6205"/>
    <w:rsid w:val="009F6268"/>
    <w:rsid w:val="009F64B0"/>
    <w:rsid w:val="009F6625"/>
    <w:rsid w:val="009F68AD"/>
    <w:rsid w:val="009F6A3D"/>
    <w:rsid w:val="009F6F89"/>
    <w:rsid w:val="009F794D"/>
    <w:rsid w:val="009F796A"/>
    <w:rsid w:val="009F7F8C"/>
    <w:rsid w:val="00A00195"/>
    <w:rsid w:val="00A00554"/>
    <w:rsid w:val="00A011AB"/>
    <w:rsid w:val="00A02794"/>
    <w:rsid w:val="00A03744"/>
    <w:rsid w:val="00A03F90"/>
    <w:rsid w:val="00A04B67"/>
    <w:rsid w:val="00A05C3D"/>
    <w:rsid w:val="00A05EFB"/>
    <w:rsid w:val="00A05FEF"/>
    <w:rsid w:val="00A06714"/>
    <w:rsid w:val="00A06979"/>
    <w:rsid w:val="00A06BE5"/>
    <w:rsid w:val="00A06CA5"/>
    <w:rsid w:val="00A07EC1"/>
    <w:rsid w:val="00A10C68"/>
    <w:rsid w:val="00A12B39"/>
    <w:rsid w:val="00A14AB1"/>
    <w:rsid w:val="00A154C9"/>
    <w:rsid w:val="00A15825"/>
    <w:rsid w:val="00A16D0E"/>
    <w:rsid w:val="00A17E88"/>
    <w:rsid w:val="00A20CAB"/>
    <w:rsid w:val="00A20DCA"/>
    <w:rsid w:val="00A20E63"/>
    <w:rsid w:val="00A2138E"/>
    <w:rsid w:val="00A214A6"/>
    <w:rsid w:val="00A21718"/>
    <w:rsid w:val="00A21E9D"/>
    <w:rsid w:val="00A21F18"/>
    <w:rsid w:val="00A22D7D"/>
    <w:rsid w:val="00A23DFD"/>
    <w:rsid w:val="00A24095"/>
    <w:rsid w:val="00A24E48"/>
    <w:rsid w:val="00A25027"/>
    <w:rsid w:val="00A256FB"/>
    <w:rsid w:val="00A26375"/>
    <w:rsid w:val="00A264A8"/>
    <w:rsid w:val="00A26869"/>
    <w:rsid w:val="00A30FED"/>
    <w:rsid w:val="00A31BAF"/>
    <w:rsid w:val="00A31BC1"/>
    <w:rsid w:val="00A31EEC"/>
    <w:rsid w:val="00A32867"/>
    <w:rsid w:val="00A3288D"/>
    <w:rsid w:val="00A32B67"/>
    <w:rsid w:val="00A32D57"/>
    <w:rsid w:val="00A331D9"/>
    <w:rsid w:val="00A341F3"/>
    <w:rsid w:val="00A342BB"/>
    <w:rsid w:val="00A345D0"/>
    <w:rsid w:val="00A35126"/>
    <w:rsid w:val="00A36202"/>
    <w:rsid w:val="00A36565"/>
    <w:rsid w:val="00A3664F"/>
    <w:rsid w:val="00A36C52"/>
    <w:rsid w:val="00A37B2A"/>
    <w:rsid w:val="00A40D43"/>
    <w:rsid w:val="00A40DD7"/>
    <w:rsid w:val="00A41304"/>
    <w:rsid w:val="00A417D9"/>
    <w:rsid w:val="00A4245C"/>
    <w:rsid w:val="00A427A5"/>
    <w:rsid w:val="00A42BF0"/>
    <w:rsid w:val="00A439D0"/>
    <w:rsid w:val="00A43E52"/>
    <w:rsid w:val="00A45226"/>
    <w:rsid w:val="00A4531D"/>
    <w:rsid w:val="00A4643A"/>
    <w:rsid w:val="00A46443"/>
    <w:rsid w:val="00A5055F"/>
    <w:rsid w:val="00A51E43"/>
    <w:rsid w:val="00A52CBD"/>
    <w:rsid w:val="00A535CC"/>
    <w:rsid w:val="00A54BC5"/>
    <w:rsid w:val="00A550B4"/>
    <w:rsid w:val="00A55853"/>
    <w:rsid w:val="00A56272"/>
    <w:rsid w:val="00A56C00"/>
    <w:rsid w:val="00A572EC"/>
    <w:rsid w:val="00A57EDC"/>
    <w:rsid w:val="00A60314"/>
    <w:rsid w:val="00A61F6E"/>
    <w:rsid w:val="00A62723"/>
    <w:rsid w:val="00A62BFB"/>
    <w:rsid w:val="00A62D7F"/>
    <w:rsid w:val="00A63883"/>
    <w:rsid w:val="00A65DC2"/>
    <w:rsid w:val="00A6688D"/>
    <w:rsid w:val="00A66FA6"/>
    <w:rsid w:val="00A672F7"/>
    <w:rsid w:val="00A67E29"/>
    <w:rsid w:val="00A70130"/>
    <w:rsid w:val="00A704FC"/>
    <w:rsid w:val="00A71105"/>
    <w:rsid w:val="00A71BA6"/>
    <w:rsid w:val="00A723A7"/>
    <w:rsid w:val="00A723D1"/>
    <w:rsid w:val="00A73FF9"/>
    <w:rsid w:val="00A74BD9"/>
    <w:rsid w:val="00A7553B"/>
    <w:rsid w:val="00A75881"/>
    <w:rsid w:val="00A77058"/>
    <w:rsid w:val="00A7724F"/>
    <w:rsid w:val="00A77280"/>
    <w:rsid w:val="00A77A07"/>
    <w:rsid w:val="00A77DC8"/>
    <w:rsid w:val="00A80615"/>
    <w:rsid w:val="00A80BC3"/>
    <w:rsid w:val="00A80D97"/>
    <w:rsid w:val="00A80FF2"/>
    <w:rsid w:val="00A81448"/>
    <w:rsid w:val="00A823DE"/>
    <w:rsid w:val="00A846DD"/>
    <w:rsid w:val="00A86097"/>
    <w:rsid w:val="00A864F3"/>
    <w:rsid w:val="00A905F0"/>
    <w:rsid w:val="00A90790"/>
    <w:rsid w:val="00A90930"/>
    <w:rsid w:val="00A914FF"/>
    <w:rsid w:val="00A9156E"/>
    <w:rsid w:val="00A915CF"/>
    <w:rsid w:val="00A91A82"/>
    <w:rsid w:val="00A91C20"/>
    <w:rsid w:val="00A91C29"/>
    <w:rsid w:val="00A91D1B"/>
    <w:rsid w:val="00A92F84"/>
    <w:rsid w:val="00A93D2D"/>
    <w:rsid w:val="00A94A81"/>
    <w:rsid w:val="00A95578"/>
    <w:rsid w:val="00A95713"/>
    <w:rsid w:val="00A95BAE"/>
    <w:rsid w:val="00A96999"/>
    <w:rsid w:val="00A97D91"/>
    <w:rsid w:val="00AA02E8"/>
    <w:rsid w:val="00AA0361"/>
    <w:rsid w:val="00AA06C9"/>
    <w:rsid w:val="00AA0AAA"/>
    <w:rsid w:val="00AA12B2"/>
    <w:rsid w:val="00AA16C1"/>
    <w:rsid w:val="00AA17C8"/>
    <w:rsid w:val="00AA1984"/>
    <w:rsid w:val="00AA19B1"/>
    <w:rsid w:val="00AA25C3"/>
    <w:rsid w:val="00AA2700"/>
    <w:rsid w:val="00AA3D60"/>
    <w:rsid w:val="00AA4214"/>
    <w:rsid w:val="00AA511E"/>
    <w:rsid w:val="00AA61C4"/>
    <w:rsid w:val="00AA6AC6"/>
    <w:rsid w:val="00AA6B39"/>
    <w:rsid w:val="00AA6D61"/>
    <w:rsid w:val="00AA7408"/>
    <w:rsid w:val="00AA7B58"/>
    <w:rsid w:val="00AA7D89"/>
    <w:rsid w:val="00AB0FA2"/>
    <w:rsid w:val="00AB20F5"/>
    <w:rsid w:val="00AB2163"/>
    <w:rsid w:val="00AB2476"/>
    <w:rsid w:val="00AB2C31"/>
    <w:rsid w:val="00AB2F13"/>
    <w:rsid w:val="00AB4A8D"/>
    <w:rsid w:val="00AB51EB"/>
    <w:rsid w:val="00AB59A2"/>
    <w:rsid w:val="00AB7234"/>
    <w:rsid w:val="00AB7412"/>
    <w:rsid w:val="00AB7530"/>
    <w:rsid w:val="00AB7A82"/>
    <w:rsid w:val="00AC01B3"/>
    <w:rsid w:val="00AC0A77"/>
    <w:rsid w:val="00AC17A6"/>
    <w:rsid w:val="00AC2555"/>
    <w:rsid w:val="00AC2845"/>
    <w:rsid w:val="00AC2EDC"/>
    <w:rsid w:val="00AC392A"/>
    <w:rsid w:val="00AC52A5"/>
    <w:rsid w:val="00AC5BC4"/>
    <w:rsid w:val="00AC6376"/>
    <w:rsid w:val="00AC6944"/>
    <w:rsid w:val="00AC6E91"/>
    <w:rsid w:val="00AC7748"/>
    <w:rsid w:val="00AD087C"/>
    <w:rsid w:val="00AD0C70"/>
    <w:rsid w:val="00AD0F10"/>
    <w:rsid w:val="00AD1476"/>
    <w:rsid w:val="00AD1CF2"/>
    <w:rsid w:val="00AD2306"/>
    <w:rsid w:val="00AD2447"/>
    <w:rsid w:val="00AD25FE"/>
    <w:rsid w:val="00AD2AF2"/>
    <w:rsid w:val="00AD3A53"/>
    <w:rsid w:val="00AD4EA3"/>
    <w:rsid w:val="00AD502B"/>
    <w:rsid w:val="00AD537D"/>
    <w:rsid w:val="00AD66F2"/>
    <w:rsid w:val="00AD774E"/>
    <w:rsid w:val="00AD7CA7"/>
    <w:rsid w:val="00AD7FD3"/>
    <w:rsid w:val="00AE0EF0"/>
    <w:rsid w:val="00AE1163"/>
    <w:rsid w:val="00AE1B3A"/>
    <w:rsid w:val="00AE1F4F"/>
    <w:rsid w:val="00AE254A"/>
    <w:rsid w:val="00AE33F4"/>
    <w:rsid w:val="00AE3A62"/>
    <w:rsid w:val="00AE4D57"/>
    <w:rsid w:val="00AE6A27"/>
    <w:rsid w:val="00AE7E92"/>
    <w:rsid w:val="00AF086A"/>
    <w:rsid w:val="00AF13EA"/>
    <w:rsid w:val="00AF1725"/>
    <w:rsid w:val="00AF1795"/>
    <w:rsid w:val="00AF1D6F"/>
    <w:rsid w:val="00AF202B"/>
    <w:rsid w:val="00AF214C"/>
    <w:rsid w:val="00AF21F0"/>
    <w:rsid w:val="00AF3535"/>
    <w:rsid w:val="00AF3CB7"/>
    <w:rsid w:val="00AF438B"/>
    <w:rsid w:val="00AF48A1"/>
    <w:rsid w:val="00AF48E1"/>
    <w:rsid w:val="00AF4991"/>
    <w:rsid w:val="00AF4DF8"/>
    <w:rsid w:val="00AF4E88"/>
    <w:rsid w:val="00AF4F9E"/>
    <w:rsid w:val="00AF51FB"/>
    <w:rsid w:val="00AF5DE3"/>
    <w:rsid w:val="00AF6E37"/>
    <w:rsid w:val="00AF7E57"/>
    <w:rsid w:val="00B00199"/>
    <w:rsid w:val="00B0098E"/>
    <w:rsid w:val="00B00A94"/>
    <w:rsid w:val="00B00F1D"/>
    <w:rsid w:val="00B012D7"/>
    <w:rsid w:val="00B015DB"/>
    <w:rsid w:val="00B02CEE"/>
    <w:rsid w:val="00B0326B"/>
    <w:rsid w:val="00B0358B"/>
    <w:rsid w:val="00B03FE6"/>
    <w:rsid w:val="00B04540"/>
    <w:rsid w:val="00B04572"/>
    <w:rsid w:val="00B05251"/>
    <w:rsid w:val="00B05568"/>
    <w:rsid w:val="00B05FD2"/>
    <w:rsid w:val="00B06408"/>
    <w:rsid w:val="00B071D6"/>
    <w:rsid w:val="00B07BAF"/>
    <w:rsid w:val="00B07FA0"/>
    <w:rsid w:val="00B10043"/>
    <w:rsid w:val="00B1111E"/>
    <w:rsid w:val="00B11170"/>
    <w:rsid w:val="00B11ED9"/>
    <w:rsid w:val="00B12209"/>
    <w:rsid w:val="00B12633"/>
    <w:rsid w:val="00B12A06"/>
    <w:rsid w:val="00B12E42"/>
    <w:rsid w:val="00B12FA1"/>
    <w:rsid w:val="00B1324F"/>
    <w:rsid w:val="00B13825"/>
    <w:rsid w:val="00B1388D"/>
    <w:rsid w:val="00B1404D"/>
    <w:rsid w:val="00B144EF"/>
    <w:rsid w:val="00B14821"/>
    <w:rsid w:val="00B14EC9"/>
    <w:rsid w:val="00B1513B"/>
    <w:rsid w:val="00B15150"/>
    <w:rsid w:val="00B152E9"/>
    <w:rsid w:val="00B1539F"/>
    <w:rsid w:val="00B15590"/>
    <w:rsid w:val="00B1592E"/>
    <w:rsid w:val="00B15A5A"/>
    <w:rsid w:val="00B15BAC"/>
    <w:rsid w:val="00B15E4D"/>
    <w:rsid w:val="00B17E07"/>
    <w:rsid w:val="00B17EDD"/>
    <w:rsid w:val="00B2292C"/>
    <w:rsid w:val="00B2302B"/>
    <w:rsid w:val="00B231D7"/>
    <w:rsid w:val="00B234CC"/>
    <w:rsid w:val="00B24F32"/>
    <w:rsid w:val="00B26738"/>
    <w:rsid w:val="00B275ED"/>
    <w:rsid w:val="00B27950"/>
    <w:rsid w:val="00B27D8A"/>
    <w:rsid w:val="00B27E43"/>
    <w:rsid w:val="00B30022"/>
    <w:rsid w:val="00B3049B"/>
    <w:rsid w:val="00B30D1D"/>
    <w:rsid w:val="00B30FE0"/>
    <w:rsid w:val="00B3212C"/>
    <w:rsid w:val="00B321E8"/>
    <w:rsid w:val="00B3249C"/>
    <w:rsid w:val="00B3330D"/>
    <w:rsid w:val="00B3375B"/>
    <w:rsid w:val="00B34F88"/>
    <w:rsid w:val="00B3519A"/>
    <w:rsid w:val="00B35906"/>
    <w:rsid w:val="00B36920"/>
    <w:rsid w:val="00B36C0D"/>
    <w:rsid w:val="00B372B3"/>
    <w:rsid w:val="00B37701"/>
    <w:rsid w:val="00B37948"/>
    <w:rsid w:val="00B37F72"/>
    <w:rsid w:val="00B40249"/>
    <w:rsid w:val="00B405AE"/>
    <w:rsid w:val="00B4117B"/>
    <w:rsid w:val="00B41EAB"/>
    <w:rsid w:val="00B41EDD"/>
    <w:rsid w:val="00B42313"/>
    <w:rsid w:val="00B43655"/>
    <w:rsid w:val="00B43789"/>
    <w:rsid w:val="00B439AA"/>
    <w:rsid w:val="00B43AB8"/>
    <w:rsid w:val="00B43E19"/>
    <w:rsid w:val="00B43E1A"/>
    <w:rsid w:val="00B44601"/>
    <w:rsid w:val="00B45168"/>
    <w:rsid w:val="00B45382"/>
    <w:rsid w:val="00B45AE5"/>
    <w:rsid w:val="00B463D0"/>
    <w:rsid w:val="00B46918"/>
    <w:rsid w:val="00B5022F"/>
    <w:rsid w:val="00B50C51"/>
    <w:rsid w:val="00B50DD2"/>
    <w:rsid w:val="00B5135D"/>
    <w:rsid w:val="00B51E5D"/>
    <w:rsid w:val="00B521C2"/>
    <w:rsid w:val="00B52B72"/>
    <w:rsid w:val="00B5349B"/>
    <w:rsid w:val="00B53B21"/>
    <w:rsid w:val="00B54240"/>
    <w:rsid w:val="00B5458F"/>
    <w:rsid w:val="00B55478"/>
    <w:rsid w:val="00B554FD"/>
    <w:rsid w:val="00B555DD"/>
    <w:rsid w:val="00B55AAA"/>
    <w:rsid w:val="00B55DF5"/>
    <w:rsid w:val="00B56535"/>
    <w:rsid w:val="00B56760"/>
    <w:rsid w:val="00B567E0"/>
    <w:rsid w:val="00B568A5"/>
    <w:rsid w:val="00B56C63"/>
    <w:rsid w:val="00B56F7F"/>
    <w:rsid w:val="00B60583"/>
    <w:rsid w:val="00B608EF"/>
    <w:rsid w:val="00B61191"/>
    <w:rsid w:val="00B61358"/>
    <w:rsid w:val="00B61939"/>
    <w:rsid w:val="00B62BFE"/>
    <w:rsid w:val="00B637D9"/>
    <w:rsid w:val="00B63E7C"/>
    <w:rsid w:val="00B647A5"/>
    <w:rsid w:val="00B651F5"/>
    <w:rsid w:val="00B6558D"/>
    <w:rsid w:val="00B65707"/>
    <w:rsid w:val="00B65BA0"/>
    <w:rsid w:val="00B6726B"/>
    <w:rsid w:val="00B678EF"/>
    <w:rsid w:val="00B7006E"/>
    <w:rsid w:val="00B71034"/>
    <w:rsid w:val="00B7266A"/>
    <w:rsid w:val="00B72F3E"/>
    <w:rsid w:val="00B73540"/>
    <w:rsid w:val="00B73CA6"/>
    <w:rsid w:val="00B73DCE"/>
    <w:rsid w:val="00B745A3"/>
    <w:rsid w:val="00B75E90"/>
    <w:rsid w:val="00B7718E"/>
    <w:rsid w:val="00B774CE"/>
    <w:rsid w:val="00B77AE7"/>
    <w:rsid w:val="00B80192"/>
    <w:rsid w:val="00B813D0"/>
    <w:rsid w:val="00B818BC"/>
    <w:rsid w:val="00B82510"/>
    <w:rsid w:val="00B83D94"/>
    <w:rsid w:val="00B850AB"/>
    <w:rsid w:val="00B85533"/>
    <w:rsid w:val="00B85C9F"/>
    <w:rsid w:val="00B85FDB"/>
    <w:rsid w:val="00B8617C"/>
    <w:rsid w:val="00B87279"/>
    <w:rsid w:val="00B87C27"/>
    <w:rsid w:val="00B87C82"/>
    <w:rsid w:val="00B90391"/>
    <w:rsid w:val="00B90799"/>
    <w:rsid w:val="00B90A45"/>
    <w:rsid w:val="00B9106B"/>
    <w:rsid w:val="00B918FD"/>
    <w:rsid w:val="00B91E4B"/>
    <w:rsid w:val="00B92950"/>
    <w:rsid w:val="00B93331"/>
    <w:rsid w:val="00B93AD7"/>
    <w:rsid w:val="00B9612D"/>
    <w:rsid w:val="00B967AD"/>
    <w:rsid w:val="00B9700F"/>
    <w:rsid w:val="00B97E17"/>
    <w:rsid w:val="00B97E44"/>
    <w:rsid w:val="00B97F76"/>
    <w:rsid w:val="00BA0382"/>
    <w:rsid w:val="00BA05A3"/>
    <w:rsid w:val="00BA079A"/>
    <w:rsid w:val="00BA1BDA"/>
    <w:rsid w:val="00BA2933"/>
    <w:rsid w:val="00BA3CD1"/>
    <w:rsid w:val="00BA3DE0"/>
    <w:rsid w:val="00BA3E99"/>
    <w:rsid w:val="00BA497C"/>
    <w:rsid w:val="00BA4DB4"/>
    <w:rsid w:val="00BA5A6A"/>
    <w:rsid w:val="00BA5A82"/>
    <w:rsid w:val="00BA6C7B"/>
    <w:rsid w:val="00BA7665"/>
    <w:rsid w:val="00BB245C"/>
    <w:rsid w:val="00BB2524"/>
    <w:rsid w:val="00BB2979"/>
    <w:rsid w:val="00BB2A23"/>
    <w:rsid w:val="00BB2D04"/>
    <w:rsid w:val="00BB2EB5"/>
    <w:rsid w:val="00BB4065"/>
    <w:rsid w:val="00BB6255"/>
    <w:rsid w:val="00BB674E"/>
    <w:rsid w:val="00BB6CD6"/>
    <w:rsid w:val="00BB704E"/>
    <w:rsid w:val="00BC05C6"/>
    <w:rsid w:val="00BC0863"/>
    <w:rsid w:val="00BC1704"/>
    <w:rsid w:val="00BC1F81"/>
    <w:rsid w:val="00BC335D"/>
    <w:rsid w:val="00BC3953"/>
    <w:rsid w:val="00BC48C2"/>
    <w:rsid w:val="00BC4A5F"/>
    <w:rsid w:val="00BC4D3A"/>
    <w:rsid w:val="00BC591B"/>
    <w:rsid w:val="00BC5B91"/>
    <w:rsid w:val="00BC6A40"/>
    <w:rsid w:val="00BC6A60"/>
    <w:rsid w:val="00BC6B5F"/>
    <w:rsid w:val="00BC7210"/>
    <w:rsid w:val="00BC74B4"/>
    <w:rsid w:val="00BC7E3E"/>
    <w:rsid w:val="00BC7FC4"/>
    <w:rsid w:val="00BD0683"/>
    <w:rsid w:val="00BD0745"/>
    <w:rsid w:val="00BD16A1"/>
    <w:rsid w:val="00BD191F"/>
    <w:rsid w:val="00BD1CD1"/>
    <w:rsid w:val="00BD32AC"/>
    <w:rsid w:val="00BD351A"/>
    <w:rsid w:val="00BD4A35"/>
    <w:rsid w:val="00BD4F55"/>
    <w:rsid w:val="00BD5A28"/>
    <w:rsid w:val="00BD5CF2"/>
    <w:rsid w:val="00BD64FF"/>
    <w:rsid w:val="00BD659A"/>
    <w:rsid w:val="00BD74AA"/>
    <w:rsid w:val="00BE116C"/>
    <w:rsid w:val="00BE1924"/>
    <w:rsid w:val="00BE1AAA"/>
    <w:rsid w:val="00BE1BDC"/>
    <w:rsid w:val="00BE28FF"/>
    <w:rsid w:val="00BE3162"/>
    <w:rsid w:val="00BE357E"/>
    <w:rsid w:val="00BE4D40"/>
    <w:rsid w:val="00BE4E7A"/>
    <w:rsid w:val="00BE562E"/>
    <w:rsid w:val="00BE56AD"/>
    <w:rsid w:val="00BE5E9F"/>
    <w:rsid w:val="00BE657C"/>
    <w:rsid w:val="00BE7D29"/>
    <w:rsid w:val="00BF0D5B"/>
    <w:rsid w:val="00BF2F8E"/>
    <w:rsid w:val="00BF378A"/>
    <w:rsid w:val="00BF4D0F"/>
    <w:rsid w:val="00BF52A1"/>
    <w:rsid w:val="00BF5CF1"/>
    <w:rsid w:val="00BF5EA6"/>
    <w:rsid w:val="00BF655F"/>
    <w:rsid w:val="00BF6B64"/>
    <w:rsid w:val="00BF6C37"/>
    <w:rsid w:val="00BF6FEC"/>
    <w:rsid w:val="00BF79E0"/>
    <w:rsid w:val="00C00316"/>
    <w:rsid w:val="00C00EB8"/>
    <w:rsid w:val="00C017E4"/>
    <w:rsid w:val="00C01C5D"/>
    <w:rsid w:val="00C02ED0"/>
    <w:rsid w:val="00C0359B"/>
    <w:rsid w:val="00C03903"/>
    <w:rsid w:val="00C03D0C"/>
    <w:rsid w:val="00C0428D"/>
    <w:rsid w:val="00C0585A"/>
    <w:rsid w:val="00C05A8E"/>
    <w:rsid w:val="00C064CE"/>
    <w:rsid w:val="00C06C9A"/>
    <w:rsid w:val="00C07629"/>
    <w:rsid w:val="00C1135D"/>
    <w:rsid w:val="00C113D7"/>
    <w:rsid w:val="00C115AF"/>
    <w:rsid w:val="00C118D6"/>
    <w:rsid w:val="00C11AE6"/>
    <w:rsid w:val="00C123BF"/>
    <w:rsid w:val="00C12767"/>
    <w:rsid w:val="00C139D4"/>
    <w:rsid w:val="00C13A50"/>
    <w:rsid w:val="00C14C91"/>
    <w:rsid w:val="00C14D6C"/>
    <w:rsid w:val="00C14F04"/>
    <w:rsid w:val="00C14F07"/>
    <w:rsid w:val="00C15274"/>
    <w:rsid w:val="00C15535"/>
    <w:rsid w:val="00C159B8"/>
    <w:rsid w:val="00C162B7"/>
    <w:rsid w:val="00C207AE"/>
    <w:rsid w:val="00C20E71"/>
    <w:rsid w:val="00C217FF"/>
    <w:rsid w:val="00C21CBB"/>
    <w:rsid w:val="00C21DD9"/>
    <w:rsid w:val="00C22041"/>
    <w:rsid w:val="00C229E1"/>
    <w:rsid w:val="00C229E8"/>
    <w:rsid w:val="00C22CAB"/>
    <w:rsid w:val="00C230CA"/>
    <w:rsid w:val="00C2377D"/>
    <w:rsid w:val="00C2445F"/>
    <w:rsid w:val="00C25378"/>
    <w:rsid w:val="00C26674"/>
    <w:rsid w:val="00C266E7"/>
    <w:rsid w:val="00C26E56"/>
    <w:rsid w:val="00C270F2"/>
    <w:rsid w:val="00C27186"/>
    <w:rsid w:val="00C311E9"/>
    <w:rsid w:val="00C3144C"/>
    <w:rsid w:val="00C32539"/>
    <w:rsid w:val="00C328E2"/>
    <w:rsid w:val="00C32D16"/>
    <w:rsid w:val="00C33330"/>
    <w:rsid w:val="00C3471C"/>
    <w:rsid w:val="00C34749"/>
    <w:rsid w:val="00C35C43"/>
    <w:rsid w:val="00C36C15"/>
    <w:rsid w:val="00C4169B"/>
    <w:rsid w:val="00C41F8C"/>
    <w:rsid w:val="00C42084"/>
    <w:rsid w:val="00C429D9"/>
    <w:rsid w:val="00C43773"/>
    <w:rsid w:val="00C43E46"/>
    <w:rsid w:val="00C44B54"/>
    <w:rsid w:val="00C44F1B"/>
    <w:rsid w:val="00C461B3"/>
    <w:rsid w:val="00C468CA"/>
    <w:rsid w:val="00C46ACC"/>
    <w:rsid w:val="00C46B48"/>
    <w:rsid w:val="00C47555"/>
    <w:rsid w:val="00C47899"/>
    <w:rsid w:val="00C478DE"/>
    <w:rsid w:val="00C50717"/>
    <w:rsid w:val="00C50F07"/>
    <w:rsid w:val="00C50F1F"/>
    <w:rsid w:val="00C51535"/>
    <w:rsid w:val="00C51639"/>
    <w:rsid w:val="00C51776"/>
    <w:rsid w:val="00C51812"/>
    <w:rsid w:val="00C518FC"/>
    <w:rsid w:val="00C52AF4"/>
    <w:rsid w:val="00C535DA"/>
    <w:rsid w:val="00C535DE"/>
    <w:rsid w:val="00C53A3D"/>
    <w:rsid w:val="00C53CD5"/>
    <w:rsid w:val="00C54597"/>
    <w:rsid w:val="00C54758"/>
    <w:rsid w:val="00C5525D"/>
    <w:rsid w:val="00C55724"/>
    <w:rsid w:val="00C55B33"/>
    <w:rsid w:val="00C5607A"/>
    <w:rsid w:val="00C56DB1"/>
    <w:rsid w:val="00C574EE"/>
    <w:rsid w:val="00C57D1D"/>
    <w:rsid w:val="00C6015C"/>
    <w:rsid w:val="00C60E6A"/>
    <w:rsid w:val="00C62EB0"/>
    <w:rsid w:val="00C633D5"/>
    <w:rsid w:val="00C63C47"/>
    <w:rsid w:val="00C643AA"/>
    <w:rsid w:val="00C64660"/>
    <w:rsid w:val="00C65561"/>
    <w:rsid w:val="00C65A31"/>
    <w:rsid w:val="00C65BB8"/>
    <w:rsid w:val="00C65DEA"/>
    <w:rsid w:val="00C65E3C"/>
    <w:rsid w:val="00C661EB"/>
    <w:rsid w:val="00C6634C"/>
    <w:rsid w:val="00C66656"/>
    <w:rsid w:val="00C6668A"/>
    <w:rsid w:val="00C66E97"/>
    <w:rsid w:val="00C67782"/>
    <w:rsid w:val="00C715EB"/>
    <w:rsid w:val="00C72070"/>
    <w:rsid w:val="00C7261E"/>
    <w:rsid w:val="00C73512"/>
    <w:rsid w:val="00C73903"/>
    <w:rsid w:val="00C74EE4"/>
    <w:rsid w:val="00C7538C"/>
    <w:rsid w:val="00C7793D"/>
    <w:rsid w:val="00C77980"/>
    <w:rsid w:val="00C77CE2"/>
    <w:rsid w:val="00C801ED"/>
    <w:rsid w:val="00C8033C"/>
    <w:rsid w:val="00C804B9"/>
    <w:rsid w:val="00C8122A"/>
    <w:rsid w:val="00C8186C"/>
    <w:rsid w:val="00C825EC"/>
    <w:rsid w:val="00C83A94"/>
    <w:rsid w:val="00C84224"/>
    <w:rsid w:val="00C84B3B"/>
    <w:rsid w:val="00C86817"/>
    <w:rsid w:val="00C86BFC"/>
    <w:rsid w:val="00C86C67"/>
    <w:rsid w:val="00C870A2"/>
    <w:rsid w:val="00C872AA"/>
    <w:rsid w:val="00C87537"/>
    <w:rsid w:val="00C8756D"/>
    <w:rsid w:val="00C87785"/>
    <w:rsid w:val="00C904E3"/>
    <w:rsid w:val="00C90BAE"/>
    <w:rsid w:val="00C91238"/>
    <w:rsid w:val="00C912DE"/>
    <w:rsid w:val="00C91B06"/>
    <w:rsid w:val="00C924ED"/>
    <w:rsid w:val="00C92BE4"/>
    <w:rsid w:val="00C93EF2"/>
    <w:rsid w:val="00C9416E"/>
    <w:rsid w:val="00C952A4"/>
    <w:rsid w:val="00C954E8"/>
    <w:rsid w:val="00C9678D"/>
    <w:rsid w:val="00C96858"/>
    <w:rsid w:val="00CA000A"/>
    <w:rsid w:val="00CA01DE"/>
    <w:rsid w:val="00CA08A7"/>
    <w:rsid w:val="00CA0D60"/>
    <w:rsid w:val="00CA100D"/>
    <w:rsid w:val="00CA148D"/>
    <w:rsid w:val="00CA190E"/>
    <w:rsid w:val="00CA1C6F"/>
    <w:rsid w:val="00CA29A7"/>
    <w:rsid w:val="00CA2F24"/>
    <w:rsid w:val="00CA324F"/>
    <w:rsid w:val="00CA3720"/>
    <w:rsid w:val="00CA4474"/>
    <w:rsid w:val="00CA4D8D"/>
    <w:rsid w:val="00CA53DA"/>
    <w:rsid w:val="00CA5538"/>
    <w:rsid w:val="00CA5702"/>
    <w:rsid w:val="00CA640E"/>
    <w:rsid w:val="00CA6870"/>
    <w:rsid w:val="00CA6F07"/>
    <w:rsid w:val="00CA6FF2"/>
    <w:rsid w:val="00CA76AB"/>
    <w:rsid w:val="00CA7BB4"/>
    <w:rsid w:val="00CB0CB1"/>
    <w:rsid w:val="00CB0D94"/>
    <w:rsid w:val="00CB170A"/>
    <w:rsid w:val="00CB1B5F"/>
    <w:rsid w:val="00CB26C4"/>
    <w:rsid w:val="00CB2708"/>
    <w:rsid w:val="00CB2B09"/>
    <w:rsid w:val="00CB382A"/>
    <w:rsid w:val="00CB3E0A"/>
    <w:rsid w:val="00CB4414"/>
    <w:rsid w:val="00CB460A"/>
    <w:rsid w:val="00CB56D3"/>
    <w:rsid w:val="00CB5A34"/>
    <w:rsid w:val="00CB78DE"/>
    <w:rsid w:val="00CB7B47"/>
    <w:rsid w:val="00CB7E8A"/>
    <w:rsid w:val="00CC00C3"/>
    <w:rsid w:val="00CC0130"/>
    <w:rsid w:val="00CC026F"/>
    <w:rsid w:val="00CC091D"/>
    <w:rsid w:val="00CC0A71"/>
    <w:rsid w:val="00CC0B62"/>
    <w:rsid w:val="00CC0EF8"/>
    <w:rsid w:val="00CC1E5D"/>
    <w:rsid w:val="00CC2F27"/>
    <w:rsid w:val="00CC3113"/>
    <w:rsid w:val="00CC4613"/>
    <w:rsid w:val="00CC4F98"/>
    <w:rsid w:val="00CC534B"/>
    <w:rsid w:val="00CC57BE"/>
    <w:rsid w:val="00CC60A8"/>
    <w:rsid w:val="00CC65DD"/>
    <w:rsid w:val="00CC6E57"/>
    <w:rsid w:val="00CC7F79"/>
    <w:rsid w:val="00CD02D1"/>
    <w:rsid w:val="00CD09C1"/>
    <w:rsid w:val="00CD0B01"/>
    <w:rsid w:val="00CD1D7C"/>
    <w:rsid w:val="00CD26D8"/>
    <w:rsid w:val="00CD2954"/>
    <w:rsid w:val="00CD2981"/>
    <w:rsid w:val="00CD2F60"/>
    <w:rsid w:val="00CD3E24"/>
    <w:rsid w:val="00CD3F43"/>
    <w:rsid w:val="00CD424C"/>
    <w:rsid w:val="00CD45E8"/>
    <w:rsid w:val="00CD485A"/>
    <w:rsid w:val="00CD55CC"/>
    <w:rsid w:val="00CD61ED"/>
    <w:rsid w:val="00CD6D2E"/>
    <w:rsid w:val="00CE088C"/>
    <w:rsid w:val="00CE0B09"/>
    <w:rsid w:val="00CE1049"/>
    <w:rsid w:val="00CE15B5"/>
    <w:rsid w:val="00CE17D2"/>
    <w:rsid w:val="00CE195C"/>
    <w:rsid w:val="00CE1EDA"/>
    <w:rsid w:val="00CE31F7"/>
    <w:rsid w:val="00CE3309"/>
    <w:rsid w:val="00CE3486"/>
    <w:rsid w:val="00CE42BC"/>
    <w:rsid w:val="00CE4A62"/>
    <w:rsid w:val="00CE5A1A"/>
    <w:rsid w:val="00CE6057"/>
    <w:rsid w:val="00CE62AC"/>
    <w:rsid w:val="00CE62B9"/>
    <w:rsid w:val="00CE6859"/>
    <w:rsid w:val="00CE69A4"/>
    <w:rsid w:val="00CE7796"/>
    <w:rsid w:val="00CF06D9"/>
    <w:rsid w:val="00CF12D5"/>
    <w:rsid w:val="00CF1340"/>
    <w:rsid w:val="00CF1905"/>
    <w:rsid w:val="00CF1DB0"/>
    <w:rsid w:val="00CF2ADB"/>
    <w:rsid w:val="00CF2E50"/>
    <w:rsid w:val="00CF3032"/>
    <w:rsid w:val="00CF31B6"/>
    <w:rsid w:val="00CF3967"/>
    <w:rsid w:val="00CF3C38"/>
    <w:rsid w:val="00CF3D7D"/>
    <w:rsid w:val="00CF3D85"/>
    <w:rsid w:val="00CF4A48"/>
    <w:rsid w:val="00CF5310"/>
    <w:rsid w:val="00CF61C6"/>
    <w:rsid w:val="00CF6601"/>
    <w:rsid w:val="00CF6CAA"/>
    <w:rsid w:val="00CF722E"/>
    <w:rsid w:val="00CF73F8"/>
    <w:rsid w:val="00CF76D6"/>
    <w:rsid w:val="00D00433"/>
    <w:rsid w:val="00D01088"/>
    <w:rsid w:val="00D01089"/>
    <w:rsid w:val="00D0170B"/>
    <w:rsid w:val="00D0179C"/>
    <w:rsid w:val="00D01FEC"/>
    <w:rsid w:val="00D02875"/>
    <w:rsid w:val="00D02F91"/>
    <w:rsid w:val="00D03638"/>
    <w:rsid w:val="00D036CA"/>
    <w:rsid w:val="00D03974"/>
    <w:rsid w:val="00D03EF1"/>
    <w:rsid w:val="00D05108"/>
    <w:rsid w:val="00D058B9"/>
    <w:rsid w:val="00D058F0"/>
    <w:rsid w:val="00D061BC"/>
    <w:rsid w:val="00D07A5B"/>
    <w:rsid w:val="00D07C5B"/>
    <w:rsid w:val="00D1022D"/>
    <w:rsid w:val="00D110DC"/>
    <w:rsid w:val="00D127A9"/>
    <w:rsid w:val="00D12A35"/>
    <w:rsid w:val="00D131D2"/>
    <w:rsid w:val="00D13206"/>
    <w:rsid w:val="00D132BB"/>
    <w:rsid w:val="00D13557"/>
    <w:rsid w:val="00D136F7"/>
    <w:rsid w:val="00D13A71"/>
    <w:rsid w:val="00D15933"/>
    <w:rsid w:val="00D15BB9"/>
    <w:rsid w:val="00D164DE"/>
    <w:rsid w:val="00D169CC"/>
    <w:rsid w:val="00D16C57"/>
    <w:rsid w:val="00D16E68"/>
    <w:rsid w:val="00D20227"/>
    <w:rsid w:val="00D20292"/>
    <w:rsid w:val="00D208E5"/>
    <w:rsid w:val="00D20932"/>
    <w:rsid w:val="00D216DD"/>
    <w:rsid w:val="00D21A4F"/>
    <w:rsid w:val="00D22543"/>
    <w:rsid w:val="00D2337B"/>
    <w:rsid w:val="00D23675"/>
    <w:rsid w:val="00D23C62"/>
    <w:rsid w:val="00D23FF3"/>
    <w:rsid w:val="00D2467E"/>
    <w:rsid w:val="00D2602E"/>
    <w:rsid w:val="00D2654F"/>
    <w:rsid w:val="00D26623"/>
    <w:rsid w:val="00D27B0B"/>
    <w:rsid w:val="00D27D58"/>
    <w:rsid w:val="00D31DB8"/>
    <w:rsid w:val="00D31FBC"/>
    <w:rsid w:val="00D335B7"/>
    <w:rsid w:val="00D3458F"/>
    <w:rsid w:val="00D360F9"/>
    <w:rsid w:val="00D365C5"/>
    <w:rsid w:val="00D36792"/>
    <w:rsid w:val="00D37974"/>
    <w:rsid w:val="00D402BE"/>
    <w:rsid w:val="00D4084F"/>
    <w:rsid w:val="00D411E3"/>
    <w:rsid w:val="00D41569"/>
    <w:rsid w:val="00D419C9"/>
    <w:rsid w:val="00D4254A"/>
    <w:rsid w:val="00D429EF"/>
    <w:rsid w:val="00D42A43"/>
    <w:rsid w:val="00D43591"/>
    <w:rsid w:val="00D4480B"/>
    <w:rsid w:val="00D44DDB"/>
    <w:rsid w:val="00D4608C"/>
    <w:rsid w:val="00D46353"/>
    <w:rsid w:val="00D46ED9"/>
    <w:rsid w:val="00D47DD4"/>
    <w:rsid w:val="00D50F22"/>
    <w:rsid w:val="00D510C0"/>
    <w:rsid w:val="00D51B4D"/>
    <w:rsid w:val="00D521C1"/>
    <w:rsid w:val="00D5286F"/>
    <w:rsid w:val="00D52D75"/>
    <w:rsid w:val="00D53128"/>
    <w:rsid w:val="00D5385D"/>
    <w:rsid w:val="00D53A29"/>
    <w:rsid w:val="00D53CCF"/>
    <w:rsid w:val="00D53F9E"/>
    <w:rsid w:val="00D5594F"/>
    <w:rsid w:val="00D559B0"/>
    <w:rsid w:val="00D55FFB"/>
    <w:rsid w:val="00D56889"/>
    <w:rsid w:val="00D56ACC"/>
    <w:rsid w:val="00D56D37"/>
    <w:rsid w:val="00D57477"/>
    <w:rsid w:val="00D5782C"/>
    <w:rsid w:val="00D57F76"/>
    <w:rsid w:val="00D60057"/>
    <w:rsid w:val="00D61237"/>
    <w:rsid w:val="00D63035"/>
    <w:rsid w:val="00D631BD"/>
    <w:rsid w:val="00D64015"/>
    <w:rsid w:val="00D641A2"/>
    <w:rsid w:val="00D64AB5"/>
    <w:rsid w:val="00D64F6B"/>
    <w:rsid w:val="00D658F4"/>
    <w:rsid w:val="00D65AB4"/>
    <w:rsid w:val="00D6652E"/>
    <w:rsid w:val="00D674E0"/>
    <w:rsid w:val="00D67B2E"/>
    <w:rsid w:val="00D74900"/>
    <w:rsid w:val="00D75221"/>
    <w:rsid w:val="00D75415"/>
    <w:rsid w:val="00D7577D"/>
    <w:rsid w:val="00D77DF1"/>
    <w:rsid w:val="00D77E4D"/>
    <w:rsid w:val="00D8043A"/>
    <w:rsid w:val="00D80520"/>
    <w:rsid w:val="00D8078E"/>
    <w:rsid w:val="00D81733"/>
    <w:rsid w:val="00D82DD2"/>
    <w:rsid w:val="00D82E44"/>
    <w:rsid w:val="00D834C2"/>
    <w:rsid w:val="00D83651"/>
    <w:rsid w:val="00D83805"/>
    <w:rsid w:val="00D84771"/>
    <w:rsid w:val="00D85553"/>
    <w:rsid w:val="00D85817"/>
    <w:rsid w:val="00D85F5E"/>
    <w:rsid w:val="00D8660E"/>
    <w:rsid w:val="00D866AC"/>
    <w:rsid w:val="00D87313"/>
    <w:rsid w:val="00D9141B"/>
    <w:rsid w:val="00D91E4A"/>
    <w:rsid w:val="00D92EF3"/>
    <w:rsid w:val="00D938B0"/>
    <w:rsid w:val="00D93B71"/>
    <w:rsid w:val="00D93D15"/>
    <w:rsid w:val="00D93FE4"/>
    <w:rsid w:val="00D943F3"/>
    <w:rsid w:val="00D94B90"/>
    <w:rsid w:val="00D96D8F"/>
    <w:rsid w:val="00D97775"/>
    <w:rsid w:val="00D977C2"/>
    <w:rsid w:val="00D97E51"/>
    <w:rsid w:val="00DA046A"/>
    <w:rsid w:val="00DA079E"/>
    <w:rsid w:val="00DA0DE8"/>
    <w:rsid w:val="00DA189B"/>
    <w:rsid w:val="00DA18D6"/>
    <w:rsid w:val="00DA1ACA"/>
    <w:rsid w:val="00DA1FC8"/>
    <w:rsid w:val="00DA227C"/>
    <w:rsid w:val="00DA22D3"/>
    <w:rsid w:val="00DA26C4"/>
    <w:rsid w:val="00DA2D19"/>
    <w:rsid w:val="00DA2FDA"/>
    <w:rsid w:val="00DA525E"/>
    <w:rsid w:val="00DA667F"/>
    <w:rsid w:val="00DA6B9F"/>
    <w:rsid w:val="00DA7851"/>
    <w:rsid w:val="00DA7A22"/>
    <w:rsid w:val="00DA7DC9"/>
    <w:rsid w:val="00DA7E90"/>
    <w:rsid w:val="00DA7F34"/>
    <w:rsid w:val="00DB0AD2"/>
    <w:rsid w:val="00DB0DA6"/>
    <w:rsid w:val="00DB0F29"/>
    <w:rsid w:val="00DB1594"/>
    <w:rsid w:val="00DB5238"/>
    <w:rsid w:val="00DB70F8"/>
    <w:rsid w:val="00DB7346"/>
    <w:rsid w:val="00DB7C30"/>
    <w:rsid w:val="00DC12DD"/>
    <w:rsid w:val="00DC1F84"/>
    <w:rsid w:val="00DC273E"/>
    <w:rsid w:val="00DC31C5"/>
    <w:rsid w:val="00DC3AB2"/>
    <w:rsid w:val="00DC4F87"/>
    <w:rsid w:val="00DC5AF4"/>
    <w:rsid w:val="00DC6CD7"/>
    <w:rsid w:val="00DD0183"/>
    <w:rsid w:val="00DD025D"/>
    <w:rsid w:val="00DD13A5"/>
    <w:rsid w:val="00DD150F"/>
    <w:rsid w:val="00DD17E4"/>
    <w:rsid w:val="00DD19DB"/>
    <w:rsid w:val="00DD2617"/>
    <w:rsid w:val="00DD2A40"/>
    <w:rsid w:val="00DD306D"/>
    <w:rsid w:val="00DD3338"/>
    <w:rsid w:val="00DD373D"/>
    <w:rsid w:val="00DD3B2A"/>
    <w:rsid w:val="00DD3BAC"/>
    <w:rsid w:val="00DD40DB"/>
    <w:rsid w:val="00DD5A21"/>
    <w:rsid w:val="00DD5BF3"/>
    <w:rsid w:val="00DD69E5"/>
    <w:rsid w:val="00DD6CDC"/>
    <w:rsid w:val="00DE01B8"/>
    <w:rsid w:val="00DE052E"/>
    <w:rsid w:val="00DE091F"/>
    <w:rsid w:val="00DE0BEB"/>
    <w:rsid w:val="00DE108B"/>
    <w:rsid w:val="00DE181C"/>
    <w:rsid w:val="00DE1C16"/>
    <w:rsid w:val="00DE1C25"/>
    <w:rsid w:val="00DE203B"/>
    <w:rsid w:val="00DE2657"/>
    <w:rsid w:val="00DE290E"/>
    <w:rsid w:val="00DE37C8"/>
    <w:rsid w:val="00DE4748"/>
    <w:rsid w:val="00DE5131"/>
    <w:rsid w:val="00DE5B1A"/>
    <w:rsid w:val="00DE5F83"/>
    <w:rsid w:val="00DE606B"/>
    <w:rsid w:val="00DE612A"/>
    <w:rsid w:val="00DE7011"/>
    <w:rsid w:val="00DE7666"/>
    <w:rsid w:val="00DE76EE"/>
    <w:rsid w:val="00DE7B88"/>
    <w:rsid w:val="00DE7CD3"/>
    <w:rsid w:val="00DF05F5"/>
    <w:rsid w:val="00DF0C44"/>
    <w:rsid w:val="00DF1805"/>
    <w:rsid w:val="00DF19CD"/>
    <w:rsid w:val="00DF1EC7"/>
    <w:rsid w:val="00DF291F"/>
    <w:rsid w:val="00DF2C8C"/>
    <w:rsid w:val="00DF309B"/>
    <w:rsid w:val="00DF3CDF"/>
    <w:rsid w:val="00DF4573"/>
    <w:rsid w:val="00DF461E"/>
    <w:rsid w:val="00DF47A6"/>
    <w:rsid w:val="00DF4904"/>
    <w:rsid w:val="00DF4A47"/>
    <w:rsid w:val="00DF5274"/>
    <w:rsid w:val="00DF551E"/>
    <w:rsid w:val="00DF55D7"/>
    <w:rsid w:val="00DF5FA9"/>
    <w:rsid w:val="00DF684A"/>
    <w:rsid w:val="00DF6984"/>
    <w:rsid w:val="00DF6FF3"/>
    <w:rsid w:val="00DF735B"/>
    <w:rsid w:val="00DF7B79"/>
    <w:rsid w:val="00DF7CFF"/>
    <w:rsid w:val="00DF7E07"/>
    <w:rsid w:val="00E0052E"/>
    <w:rsid w:val="00E00F2C"/>
    <w:rsid w:val="00E01015"/>
    <w:rsid w:val="00E010FA"/>
    <w:rsid w:val="00E01418"/>
    <w:rsid w:val="00E015C7"/>
    <w:rsid w:val="00E02303"/>
    <w:rsid w:val="00E02947"/>
    <w:rsid w:val="00E031C6"/>
    <w:rsid w:val="00E04115"/>
    <w:rsid w:val="00E05E3A"/>
    <w:rsid w:val="00E0738F"/>
    <w:rsid w:val="00E07A10"/>
    <w:rsid w:val="00E07CAB"/>
    <w:rsid w:val="00E10599"/>
    <w:rsid w:val="00E10C3B"/>
    <w:rsid w:val="00E113EB"/>
    <w:rsid w:val="00E11748"/>
    <w:rsid w:val="00E11AA0"/>
    <w:rsid w:val="00E12514"/>
    <w:rsid w:val="00E12D52"/>
    <w:rsid w:val="00E12FD5"/>
    <w:rsid w:val="00E13B1F"/>
    <w:rsid w:val="00E13C11"/>
    <w:rsid w:val="00E143B1"/>
    <w:rsid w:val="00E15A4D"/>
    <w:rsid w:val="00E16434"/>
    <w:rsid w:val="00E166DD"/>
    <w:rsid w:val="00E16CDF"/>
    <w:rsid w:val="00E175E0"/>
    <w:rsid w:val="00E1777E"/>
    <w:rsid w:val="00E20141"/>
    <w:rsid w:val="00E220DB"/>
    <w:rsid w:val="00E22841"/>
    <w:rsid w:val="00E22A30"/>
    <w:rsid w:val="00E231B3"/>
    <w:rsid w:val="00E23379"/>
    <w:rsid w:val="00E233E1"/>
    <w:rsid w:val="00E23CAC"/>
    <w:rsid w:val="00E23CDC"/>
    <w:rsid w:val="00E246AF"/>
    <w:rsid w:val="00E24BC8"/>
    <w:rsid w:val="00E24FED"/>
    <w:rsid w:val="00E251D3"/>
    <w:rsid w:val="00E252AA"/>
    <w:rsid w:val="00E25AB8"/>
    <w:rsid w:val="00E2607A"/>
    <w:rsid w:val="00E2615C"/>
    <w:rsid w:val="00E263DE"/>
    <w:rsid w:val="00E27444"/>
    <w:rsid w:val="00E31139"/>
    <w:rsid w:val="00E313CC"/>
    <w:rsid w:val="00E319F5"/>
    <w:rsid w:val="00E31A15"/>
    <w:rsid w:val="00E31DC9"/>
    <w:rsid w:val="00E327D8"/>
    <w:rsid w:val="00E328D6"/>
    <w:rsid w:val="00E33E54"/>
    <w:rsid w:val="00E343B7"/>
    <w:rsid w:val="00E35325"/>
    <w:rsid w:val="00E35B99"/>
    <w:rsid w:val="00E362B0"/>
    <w:rsid w:val="00E3631F"/>
    <w:rsid w:val="00E3653B"/>
    <w:rsid w:val="00E369B9"/>
    <w:rsid w:val="00E36CAB"/>
    <w:rsid w:val="00E37494"/>
    <w:rsid w:val="00E37BF2"/>
    <w:rsid w:val="00E37F96"/>
    <w:rsid w:val="00E4024A"/>
    <w:rsid w:val="00E4194B"/>
    <w:rsid w:val="00E4237D"/>
    <w:rsid w:val="00E433DF"/>
    <w:rsid w:val="00E43D0B"/>
    <w:rsid w:val="00E44024"/>
    <w:rsid w:val="00E44895"/>
    <w:rsid w:val="00E449FF"/>
    <w:rsid w:val="00E451B1"/>
    <w:rsid w:val="00E45439"/>
    <w:rsid w:val="00E46094"/>
    <w:rsid w:val="00E470EC"/>
    <w:rsid w:val="00E47BC2"/>
    <w:rsid w:val="00E50405"/>
    <w:rsid w:val="00E507E3"/>
    <w:rsid w:val="00E51462"/>
    <w:rsid w:val="00E519A7"/>
    <w:rsid w:val="00E53043"/>
    <w:rsid w:val="00E535D2"/>
    <w:rsid w:val="00E5394D"/>
    <w:rsid w:val="00E54000"/>
    <w:rsid w:val="00E554A3"/>
    <w:rsid w:val="00E55B59"/>
    <w:rsid w:val="00E55C76"/>
    <w:rsid w:val="00E56B6E"/>
    <w:rsid w:val="00E574B2"/>
    <w:rsid w:val="00E57E2B"/>
    <w:rsid w:val="00E605A8"/>
    <w:rsid w:val="00E61481"/>
    <w:rsid w:val="00E62DEF"/>
    <w:rsid w:val="00E62F32"/>
    <w:rsid w:val="00E6374C"/>
    <w:rsid w:val="00E63CD8"/>
    <w:rsid w:val="00E63DB8"/>
    <w:rsid w:val="00E6453F"/>
    <w:rsid w:val="00E65564"/>
    <w:rsid w:val="00E6596C"/>
    <w:rsid w:val="00E65D71"/>
    <w:rsid w:val="00E66854"/>
    <w:rsid w:val="00E67A18"/>
    <w:rsid w:val="00E703DE"/>
    <w:rsid w:val="00E708AD"/>
    <w:rsid w:val="00E70B0C"/>
    <w:rsid w:val="00E71698"/>
    <w:rsid w:val="00E716FD"/>
    <w:rsid w:val="00E7189E"/>
    <w:rsid w:val="00E7284C"/>
    <w:rsid w:val="00E73E3E"/>
    <w:rsid w:val="00E73F8B"/>
    <w:rsid w:val="00E742C3"/>
    <w:rsid w:val="00E76503"/>
    <w:rsid w:val="00E80444"/>
    <w:rsid w:val="00E80A66"/>
    <w:rsid w:val="00E80B94"/>
    <w:rsid w:val="00E81DC4"/>
    <w:rsid w:val="00E81F65"/>
    <w:rsid w:val="00E8377E"/>
    <w:rsid w:val="00E84254"/>
    <w:rsid w:val="00E84A30"/>
    <w:rsid w:val="00E84FAA"/>
    <w:rsid w:val="00E85171"/>
    <w:rsid w:val="00E851F4"/>
    <w:rsid w:val="00E85F6D"/>
    <w:rsid w:val="00E86634"/>
    <w:rsid w:val="00E87753"/>
    <w:rsid w:val="00E877C9"/>
    <w:rsid w:val="00E87BAA"/>
    <w:rsid w:val="00E906F7"/>
    <w:rsid w:val="00E90E79"/>
    <w:rsid w:val="00E90FE8"/>
    <w:rsid w:val="00E91210"/>
    <w:rsid w:val="00E91944"/>
    <w:rsid w:val="00E92022"/>
    <w:rsid w:val="00E92756"/>
    <w:rsid w:val="00E93567"/>
    <w:rsid w:val="00E93879"/>
    <w:rsid w:val="00E94501"/>
    <w:rsid w:val="00E94611"/>
    <w:rsid w:val="00E95173"/>
    <w:rsid w:val="00E961F9"/>
    <w:rsid w:val="00E96B27"/>
    <w:rsid w:val="00E96EB2"/>
    <w:rsid w:val="00E973B0"/>
    <w:rsid w:val="00E97ED4"/>
    <w:rsid w:val="00EA0188"/>
    <w:rsid w:val="00EA088A"/>
    <w:rsid w:val="00EA0B0D"/>
    <w:rsid w:val="00EA18AC"/>
    <w:rsid w:val="00EA19F2"/>
    <w:rsid w:val="00EA1BF5"/>
    <w:rsid w:val="00EA1E0C"/>
    <w:rsid w:val="00EA2577"/>
    <w:rsid w:val="00EA2C8D"/>
    <w:rsid w:val="00EA4B0B"/>
    <w:rsid w:val="00EA4C78"/>
    <w:rsid w:val="00EA4DFA"/>
    <w:rsid w:val="00EA53C5"/>
    <w:rsid w:val="00EA6257"/>
    <w:rsid w:val="00EA6B7E"/>
    <w:rsid w:val="00EA768A"/>
    <w:rsid w:val="00EA7970"/>
    <w:rsid w:val="00EB0749"/>
    <w:rsid w:val="00EB08B3"/>
    <w:rsid w:val="00EB12D3"/>
    <w:rsid w:val="00EB1300"/>
    <w:rsid w:val="00EB145A"/>
    <w:rsid w:val="00EB15AB"/>
    <w:rsid w:val="00EB16EA"/>
    <w:rsid w:val="00EB283E"/>
    <w:rsid w:val="00EB4F1D"/>
    <w:rsid w:val="00EB533D"/>
    <w:rsid w:val="00EB5364"/>
    <w:rsid w:val="00EB58D3"/>
    <w:rsid w:val="00EB5A48"/>
    <w:rsid w:val="00EB69E7"/>
    <w:rsid w:val="00EB74CC"/>
    <w:rsid w:val="00EC301A"/>
    <w:rsid w:val="00EC318D"/>
    <w:rsid w:val="00EC3DE0"/>
    <w:rsid w:val="00EC4191"/>
    <w:rsid w:val="00EC58C3"/>
    <w:rsid w:val="00EC5DE6"/>
    <w:rsid w:val="00EC6D45"/>
    <w:rsid w:val="00EC72BF"/>
    <w:rsid w:val="00EC7E34"/>
    <w:rsid w:val="00ED06F2"/>
    <w:rsid w:val="00ED1C37"/>
    <w:rsid w:val="00ED2051"/>
    <w:rsid w:val="00ED2B74"/>
    <w:rsid w:val="00ED362F"/>
    <w:rsid w:val="00ED3715"/>
    <w:rsid w:val="00ED38A7"/>
    <w:rsid w:val="00ED49F1"/>
    <w:rsid w:val="00ED4A69"/>
    <w:rsid w:val="00ED51C8"/>
    <w:rsid w:val="00ED6D85"/>
    <w:rsid w:val="00ED73DF"/>
    <w:rsid w:val="00ED7A27"/>
    <w:rsid w:val="00ED7BEE"/>
    <w:rsid w:val="00EE0E31"/>
    <w:rsid w:val="00EE149B"/>
    <w:rsid w:val="00EE24B2"/>
    <w:rsid w:val="00EE2726"/>
    <w:rsid w:val="00EE2A5F"/>
    <w:rsid w:val="00EE2E35"/>
    <w:rsid w:val="00EE3ABB"/>
    <w:rsid w:val="00EE3C74"/>
    <w:rsid w:val="00EE3CC4"/>
    <w:rsid w:val="00EE4128"/>
    <w:rsid w:val="00EE42D2"/>
    <w:rsid w:val="00EE4449"/>
    <w:rsid w:val="00EE5234"/>
    <w:rsid w:val="00EE691B"/>
    <w:rsid w:val="00EE70DC"/>
    <w:rsid w:val="00EE71B7"/>
    <w:rsid w:val="00EE74BA"/>
    <w:rsid w:val="00EE7E9D"/>
    <w:rsid w:val="00EE7FFC"/>
    <w:rsid w:val="00EF0F27"/>
    <w:rsid w:val="00EF1137"/>
    <w:rsid w:val="00EF1600"/>
    <w:rsid w:val="00EF2518"/>
    <w:rsid w:val="00EF321C"/>
    <w:rsid w:val="00EF3228"/>
    <w:rsid w:val="00EF3F87"/>
    <w:rsid w:val="00EF4335"/>
    <w:rsid w:val="00EF47CC"/>
    <w:rsid w:val="00EF48EC"/>
    <w:rsid w:val="00EF5277"/>
    <w:rsid w:val="00EF57C2"/>
    <w:rsid w:val="00EF63EC"/>
    <w:rsid w:val="00EF7071"/>
    <w:rsid w:val="00EF748F"/>
    <w:rsid w:val="00F003CE"/>
    <w:rsid w:val="00F0074E"/>
    <w:rsid w:val="00F0146D"/>
    <w:rsid w:val="00F015E0"/>
    <w:rsid w:val="00F01B63"/>
    <w:rsid w:val="00F026A5"/>
    <w:rsid w:val="00F0317A"/>
    <w:rsid w:val="00F04A59"/>
    <w:rsid w:val="00F05851"/>
    <w:rsid w:val="00F05858"/>
    <w:rsid w:val="00F06034"/>
    <w:rsid w:val="00F072C0"/>
    <w:rsid w:val="00F07637"/>
    <w:rsid w:val="00F07BE6"/>
    <w:rsid w:val="00F102DD"/>
    <w:rsid w:val="00F10B0C"/>
    <w:rsid w:val="00F10D61"/>
    <w:rsid w:val="00F1208E"/>
    <w:rsid w:val="00F12E95"/>
    <w:rsid w:val="00F12F85"/>
    <w:rsid w:val="00F13858"/>
    <w:rsid w:val="00F14D94"/>
    <w:rsid w:val="00F154F7"/>
    <w:rsid w:val="00F156CE"/>
    <w:rsid w:val="00F16772"/>
    <w:rsid w:val="00F1778D"/>
    <w:rsid w:val="00F179A1"/>
    <w:rsid w:val="00F17E30"/>
    <w:rsid w:val="00F20437"/>
    <w:rsid w:val="00F214E5"/>
    <w:rsid w:val="00F21875"/>
    <w:rsid w:val="00F22A02"/>
    <w:rsid w:val="00F22DDC"/>
    <w:rsid w:val="00F22EC0"/>
    <w:rsid w:val="00F23759"/>
    <w:rsid w:val="00F23A89"/>
    <w:rsid w:val="00F24389"/>
    <w:rsid w:val="00F24905"/>
    <w:rsid w:val="00F24CDD"/>
    <w:rsid w:val="00F26CCD"/>
    <w:rsid w:val="00F26D9B"/>
    <w:rsid w:val="00F274EE"/>
    <w:rsid w:val="00F27CD9"/>
    <w:rsid w:val="00F27DCA"/>
    <w:rsid w:val="00F30182"/>
    <w:rsid w:val="00F3060B"/>
    <w:rsid w:val="00F30769"/>
    <w:rsid w:val="00F30BC9"/>
    <w:rsid w:val="00F30BD7"/>
    <w:rsid w:val="00F3160A"/>
    <w:rsid w:val="00F3164B"/>
    <w:rsid w:val="00F31E6E"/>
    <w:rsid w:val="00F32D46"/>
    <w:rsid w:val="00F33544"/>
    <w:rsid w:val="00F341DF"/>
    <w:rsid w:val="00F3441B"/>
    <w:rsid w:val="00F345D5"/>
    <w:rsid w:val="00F349DF"/>
    <w:rsid w:val="00F359B1"/>
    <w:rsid w:val="00F35A71"/>
    <w:rsid w:val="00F35B8E"/>
    <w:rsid w:val="00F378F1"/>
    <w:rsid w:val="00F37F85"/>
    <w:rsid w:val="00F405BC"/>
    <w:rsid w:val="00F40911"/>
    <w:rsid w:val="00F41717"/>
    <w:rsid w:val="00F41F5F"/>
    <w:rsid w:val="00F42A84"/>
    <w:rsid w:val="00F43DED"/>
    <w:rsid w:val="00F441FD"/>
    <w:rsid w:val="00F44E83"/>
    <w:rsid w:val="00F45529"/>
    <w:rsid w:val="00F45B1F"/>
    <w:rsid w:val="00F45B5A"/>
    <w:rsid w:val="00F4629E"/>
    <w:rsid w:val="00F46ADC"/>
    <w:rsid w:val="00F46CD0"/>
    <w:rsid w:val="00F46FE2"/>
    <w:rsid w:val="00F5044F"/>
    <w:rsid w:val="00F50FE4"/>
    <w:rsid w:val="00F521E1"/>
    <w:rsid w:val="00F52443"/>
    <w:rsid w:val="00F52882"/>
    <w:rsid w:val="00F52B9B"/>
    <w:rsid w:val="00F53074"/>
    <w:rsid w:val="00F530CD"/>
    <w:rsid w:val="00F532E0"/>
    <w:rsid w:val="00F535AA"/>
    <w:rsid w:val="00F53FC9"/>
    <w:rsid w:val="00F551E1"/>
    <w:rsid w:val="00F55D6A"/>
    <w:rsid w:val="00F571DA"/>
    <w:rsid w:val="00F57264"/>
    <w:rsid w:val="00F572E1"/>
    <w:rsid w:val="00F57812"/>
    <w:rsid w:val="00F5794D"/>
    <w:rsid w:val="00F57C64"/>
    <w:rsid w:val="00F57D7C"/>
    <w:rsid w:val="00F6059C"/>
    <w:rsid w:val="00F608C5"/>
    <w:rsid w:val="00F60F33"/>
    <w:rsid w:val="00F614D6"/>
    <w:rsid w:val="00F6192A"/>
    <w:rsid w:val="00F6244D"/>
    <w:rsid w:val="00F62790"/>
    <w:rsid w:val="00F630D9"/>
    <w:rsid w:val="00F6418F"/>
    <w:rsid w:val="00F652F0"/>
    <w:rsid w:val="00F669FE"/>
    <w:rsid w:val="00F67971"/>
    <w:rsid w:val="00F67AA8"/>
    <w:rsid w:val="00F703DC"/>
    <w:rsid w:val="00F706C8"/>
    <w:rsid w:val="00F70C78"/>
    <w:rsid w:val="00F71A1A"/>
    <w:rsid w:val="00F71A71"/>
    <w:rsid w:val="00F71EA0"/>
    <w:rsid w:val="00F72262"/>
    <w:rsid w:val="00F72FA9"/>
    <w:rsid w:val="00F731E8"/>
    <w:rsid w:val="00F73412"/>
    <w:rsid w:val="00F7448D"/>
    <w:rsid w:val="00F7462D"/>
    <w:rsid w:val="00F7480A"/>
    <w:rsid w:val="00F74980"/>
    <w:rsid w:val="00F74FB9"/>
    <w:rsid w:val="00F76912"/>
    <w:rsid w:val="00F77258"/>
    <w:rsid w:val="00F77984"/>
    <w:rsid w:val="00F77AAD"/>
    <w:rsid w:val="00F77BF4"/>
    <w:rsid w:val="00F800DE"/>
    <w:rsid w:val="00F80242"/>
    <w:rsid w:val="00F805F3"/>
    <w:rsid w:val="00F81D5A"/>
    <w:rsid w:val="00F81E99"/>
    <w:rsid w:val="00F82E37"/>
    <w:rsid w:val="00F83052"/>
    <w:rsid w:val="00F8317B"/>
    <w:rsid w:val="00F83346"/>
    <w:rsid w:val="00F83A1D"/>
    <w:rsid w:val="00F83BE9"/>
    <w:rsid w:val="00F844CB"/>
    <w:rsid w:val="00F84DF4"/>
    <w:rsid w:val="00F860B1"/>
    <w:rsid w:val="00F86691"/>
    <w:rsid w:val="00F86B25"/>
    <w:rsid w:val="00F8706A"/>
    <w:rsid w:val="00F87C21"/>
    <w:rsid w:val="00F87E30"/>
    <w:rsid w:val="00F87EDF"/>
    <w:rsid w:val="00F9020E"/>
    <w:rsid w:val="00F90F9E"/>
    <w:rsid w:val="00F90FD4"/>
    <w:rsid w:val="00F911B1"/>
    <w:rsid w:val="00F923B6"/>
    <w:rsid w:val="00F92FD6"/>
    <w:rsid w:val="00F9368A"/>
    <w:rsid w:val="00F938B0"/>
    <w:rsid w:val="00F93CE1"/>
    <w:rsid w:val="00F9502D"/>
    <w:rsid w:val="00F950D0"/>
    <w:rsid w:val="00F952A9"/>
    <w:rsid w:val="00F95A3B"/>
    <w:rsid w:val="00F95C02"/>
    <w:rsid w:val="00F95C29"/>
    <w:rsid w:val="00F961C6"/>
    <w:rsid w:val="00F9642F"/>
    <w:rsid w:val="00F978B2"/>
    <w:rsid w:val="00F97E7F"/>
    <w:rsid w:val="00FA0C38"/>
    <w:rsid w:val="00FA0F32"/>
    <w:rsid w:val="00FA1AAA"/>
    <w:rsid w:val="00FA272D"/>
    <w:rsid w:val="00FA2C0E"/>
    <w:rsid w:val="00FA3210"/>
    <w:rsid w:val="00FA3437"/>
    <w:rsid w:val="00FA3E52"/>
    <w:rsid w:val="00FA3F78"/>
    <w:rsid w:val="00FA5049"/>
    <w:rsid w:val="00FA5E9C"/>
    <w:rsid w:val="00FA64DE"/>
    <w:rsid w:val="00FA6C53"/>
    <w:rsid w:val="00FA6CE8"/>
    <w:rsid w:val="00FA6D10"/>
    <w:rsid w:val="00FA745B"/>
    <w:rsid w:val="00FA7721"/>
    <w:rsid w:val="00FB001C"/>
    <w:rsid w:val="00FB0657"/>
    <w:rsid w:val="00FB28A8"/>
    <w:rsid w:val="00FB2A9A"/>
    <w:rsid w:val="00FB2B48"/>
    <w:rsid w:val="00FB2ECA"/>
    <w:rsid w:val="00FB2F47"/>
    <w:rsid w:val="00FB36C2"/>
    <w:rsid w:val="00FB39B6"/>
    <w:rsid w:val="00FB3FEA"/>
    <w:rsid w:val="00FB4DD8"/>
    <w:rsid w:val="00FB52B3"/>
    <w:rsid w:val="00FB627B"/>
    <w:rsid w:val="00FB71B8"/>
    <w:rsid w:val="00FB7307"/>
    <w:rsid w:val="00FB76BD"/>
    <w:rsid w:val="00FC027D"/>
    <w:rsid w:val="00FC0F66"/>
    <w:rsid w:val="00FC11B4"/>
    <w:rsid w:val="00FC1BF1"/>
    <w:rsid w:val="00FC1F54"/>
    <w:rsid w:val="00FC29B8"/>
    <w:rsid w:val="00FC3727"/>
    <w:rsid w:val="00FC3CD0"/>
    <w:rsid w:val="00FC4527"/>
    <w:rsid w:val="00FC46B9"/>
    <w:rsid w:val="00FC4E06"/>
    <w:rsid w:val="00FC5026"/>
    <w:rsid w:val="00FC5557"/>
    <w:rsid w:val="00FC5675"/>
    <w:rsid w:val="00FC5D5E"/>
    <w:rsid w:val="00FC5F8D"/>
    <w:rsid w:val="00FC776D"/>
    <w:rsid w:val="00FC77A2"/>
    <w:rsid w:val="00FC79F5"/>
    <w:rsid w:val="00FD0492"/>
    <w:rsid w:val="00FD1717"/>
    <w:rsid w:val="00FD21B1"/>
    <w:rsid w:val="00FD32DF"/>
    <w:rsid w:val="00FD3757"/>
    <w:rsid w:val="00FD394A"/>
    <w:rsid w:val="00FD4FC4"/>
    <w:rsid w:val="00FD5912"/>
    <w:rsid w:val="00FD59EC"/>
    <w:rsid w:val="00FD5F8A"/>
    <w:rsid w:val="00FD63EC"/>
    <w:rsid w:val="00FD6511"/>
    <w:rsid w:val="00FD7C96"/>
    <w:rsid w:val="00FE03BB"/>
    <w:rsid w:val="00FE046B"/>
    <w:rsid w:val="00FE0654"/>
    <w:rsid w:val="00FE114C"/>
    <w:rsid w:val="00FE137E"/>
    <w:rsid w:val="00FE1A5E"/>
    <w:rsid w:val="00FE2603"/>
    <w:rsid w:val="00FE2F74"/>
    <w:rsid w:val="00FE303E"/>
    <w:rsid w:val="00FE3401"/>
    <w:rsid w:val="00FE436D"/>
    <w:rsid w:val="00FE4715"/>
    <w:rsid w:val="00FE4DD5"/>
    <w:rsid w:val="00FE4F84"/>
    <w:rsid w:val="00FE509F"/>
    <w:rsid w:val="00FE5A81"/>
    <w:rsid w:val="00FE60C6"/>
    <w:rsid w:val="00FE6502"/>
    <w:rsid w:val="00FE797A"/>
    <w:rsid w:val="00FE7D89"/>
    <w:rsid w:val="00FF095C"/>
    <w:rsid w:val="00FF0ABF"/>
    <w:rsid w:val="00FF0D15"/>
    <w:rsid w:val="00FF0E56"/>
    <w:rsid w:val="00FF2AB7"/>
    <w:rsid w:val="00FF31A8"/>
    <w:rsid w:val="00FF3928"/>
    <w:rsid w:val="00FF3D48"/>
    <w:rsid w:val="00FF465C"/>
    <w:rsid w:val="00FF4D7D"/>
    <w:rsid w:val="00FF52AF"/>
    <w:rsid w:val="00FF53C5"/>
    <w:rsid w:val="00FF567F"/>
    <w:rsid w:val="00FF56AC"/>
    <w:rsid w:val="00FF5AAE"/>
    <w:rsid w:val="00FF5B24"/>
    <w:rsid w:val="00FF6429"/>
    <w:rsid w:val="00FF68BE"/>
    <w:rsid w:val="00FF6BE1"/>
    <w:rsid w:val="00FF6D14"/>
    <w:rsid w:val="00FF732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31139"/>
    <w:pPr>
      <w:spacing w:after="0" w:line="480" w:lineRule="auto"/>
      <w:jc w:val="both"/>
    </w:pPr>
    <w:rPr>
      <w:rFonts w:ascii="Times New Roman" w:eastAsia="Calibri" w:hAnsi="Times New Roman" w:cs="Times New Roman"/>
      <w:sz w:val="24"/>
      <w:szCs w:val="24"/>
      <w:lang w:eastAsia="pl-PL"/>
    </w:rPr>
  </w:style>
  <w:style w:type="paragraph" w:styleId="Nagwek1">
    <w:name w:val="heading 1"/>
    <w:basedOn w:val="Normalny"/>
    <w:next w:val="Normalny"/>
    <w:link w:val="Nagwek1Znak"/>
    <w:uiPriority w:val="99"/>
    <w:qFormat/>
    <w:rsid w:val="00E31139"/>
    <w:pPr>
      <w:keepNext/>
      <w:outlineLvl w:val="0"/>
    </w:pPr>
    <w:rPr>
      <w:rFonts w:eastAsia="Times New Roman"/>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E31139"/>
    <w:rPr>
      <w:rFonts w:ascii="Times New Roman" w:eastAsia="Times New Roman" w:hAnsi="Times New Roman" w:cs="Times New Roman"/>
      <w:b/>
      <w:bCs/>
      <w:sz w:val="24"/>
      <w:szCs w:val="24"/>
      <w:lang w:eastAsia="pl-PL"/>
    </w:rPr>
  </w:style>
  <w:style w:type="character" w:styleId="Hipercze">
    <w:name w:val="Hyperlink"/>
    <w:basedOn w:val="Domylnaczcionkaakapitu"/>
    <w:uiPriority w:val="99"/>
    <w:unhideWhenUsed/>
    <w:rsid w:val="00E31139"/>
    <w:rPr>
      <w:color w:val="0000FF"/>
      <w:u w:val="single"/>
    </w:rPr>
  </w:style>
  <w:style w:type="paragraph" w:styleId="Tekstprzypisudolnego">
    <w:name w:val="footnote text"/>
    <w:basedOn w:val="Normalny"/>
    <w:link w:val="TekstprzypisudolnegoZnak1"/>
    <w:unhideWhenUsed/>
    <w:rsid w:val="00E31139"/>
    <w:rPr>
      <w:rFonts w:ascii="Calibri" w:hAnsi="Calibri"/>
      <w:sz w:val="20"/>
      <w:szCs w:val="20"/>
    </w:rPr>
  </w:style>
  <w:style w:type="character" w:customStyle="1" w:styleId="TekstprzypisudolnegoZnak1">
    <w:name w:val="Tekst przypisu dolnego Znak1"/>
    <w:basedOn w:val="Domylnaczcionkaakapitu"/>
    <w:link w:val="Tekstprzypisudolnego"/>
    <w:uiPriority w:val="99"/>
    <w:semiHidden/>
    <w:locked/>
    <w:rsid w:val="00E31139"/>
    <w:rPr>
      <w:rFonts w:ascii="Calibri" w:eastAsia="Calibri" w:hAnsi="Calibri" w:cs="Times New Roman"/>
      <w:sz w:val="20"/>
      <w:szCs w:val="20"/>
      <w:lang w:eastAsia="pl-PL"/>
    </w:rPr>
  </w:style>
  <w:style w:type="character" w:customStyle="1" w:styleId="TekstprzypisudolnegoZnak">
    <w:name w:val="Tekst przypisu dolnego Znak"/>
    <w:basedOn w:val="Domylnaczcionkaakapitu"/>
    <w:rsid w:val="00E31139"/>
    <w:rPr>
      <w:rFonts w:ascii="Times New Roman" w:eastAsia="Calibri" w:hAnsi="Times New Roman" w:cs="Times New Roman"/>
      <w:sz w:val="20"/>
      <w:szCs w:val="20"/>
      <w:lang w:eastAsia="pl-PL"/>
    </w:rPr>
  </w:style>
  <w:style w:type="paragraph" w:styleId="Tytu">
    <w:name w:val="Title"/>
    <w:basedOn w:val="Normalny"/>
    <w:link w:val="TytuZnak1"/>
    <w:uiPriority w:val="99"/>
    <w:qFormat/>
    <w:rsid w:val="00E31139"/>
    <w:pPr>
      <w:jc w:val="center"/>
    </w:pPr>
    <w:rPr>
      <w:rFonts w:ascii="Calibri" w:hAnsi="Calibri"/>
      <w:b/>
      <w:bCs/>
    </w:rPr>
  </w:style>
  <w:style w:type="character" w:customStyle="1" w:styleId="TytuZnak1">
    <w:name w:val="Tytuł Znak1"/>
    <w:basedOn w:val="Domylnaczcionkaakapitu"/>
    <w:link w:val="Tytu"/>
    <w:uiPriority w:val="99"/>
    <w:locked/>
    <w:rsid w:val="00E31139"/>
    <w:rPr>
      <w:rFonts w:ascii="Calibri" w:eastAsia="Calibri" w:hAnsi="Calibri" w:cs="Times New Roman"/>
      <w:b/>
      <w:bCs/>
      <w:sz w:val="24"/>
      <w:szCs w:val="24"/>
      <w:lang w:eastAsia="pl-PL"/>
    </w:rPr>
  </w:style>
  <w:style w:type="character" w:customStyle="1" w:styleId="TytuZnak">
    <w:name w:val="Tytuł Znak"/>
    <w:basedOn w:val="Domylnaczcionkaakapitu"/>
    <w:uiPriority w:val="10"/>
    <w:rsid w:val="00E31139"/>
    <w:rPr>
      <w:rFonts w:asciiTheme="majorHAnsi" w:eastAsiaTheme="majorEastAsia" w:hAnsiTheme="majorHAnsi" w:cstheme="majorBidi"/>
      <w:color w:val="17365D" w:themeColor="text2" w:themeShade="BF"/>
      <w:spacing w:val="5"/>
      <w:kern w:val="28"/>
      <w:sz w:val="52"/>
      <w:szCs w:val="52"/>
      <w:lang w:eastAsia="pl-PL"/>
    </w:rPr>
  </w:style>
  <w:style w:type="paragraph" w:styleId="Akapitzlist">
    <w:name w:val="List Paragraph"/>
    <w:basedOn w:val="Normalny"/>
    <w:uiPriority w:val="34"/>
    <w:qFormat/>
    <w:rsid w:val="00E31139"/>
    <w:pPr>
      <w:ind w:left="720"/>
      <w:contextualSpacing/>
    </w:pPr>
  </w:style>
  <w:style w:type="character" w:styleId="Odwoanieprzypisudolnego">
    <w:name w:val="footnote reference"/>
    <w:basedOn w:val="Domylnaczcionkaakapitu"/>
    <w:unhideWhenUsed/>
    <w:rsid w:val="00E31139"/>
    <w:rPr>
      <w:rFonts w:ascii="Times New Roman" w:hAnsi="Times New Roman" w:cs="Times New Roman" w:hint="default"/>
      <w:vertAlign w:val="superscript"/>
    </w:rPr>
  </w:style>
  <w:style w:type="character" w:customStyle="1" w:styleId="oznaczenie1">
    <w:name w:val="oznaczenie1"/>
    <w:basedOn w:val="Domylnaczcionkaakapitu"/>
    <w:uiPriority w:val="99"/>
    <w:rsid w:val="00E31139"/>
    <w:rPr>
      <w:rFonts w:ascii="Times New Roman" w:hAnsi="Times New Roman" w:cs="Times New Roman" w:hint="default"/>
      <w:b/>
      <w:bCs/>
    </w:rPr>
  </w:style>
  <w:style w:type="character" w:customStyle="1" w:styleId="oznaczenie">
    <w:name w:val="oznaczenie"/>
    <w:basedOn w:val="Domylnaczcionkaakapitu"/>
    <w:uiPriority w:val="99"/>
    <w:rsid w:val="00E31139"/>
  </w:style>
  <w:style w:type="paragraph" w:styleId="Nagwek">
    <w:name w:val="header"/>
    <w:basedOn w:val="Normalny"/>
    <w:link w:val="NagwekZnak"/>
    <w:uiPriority w:val="99"/>
    <w:unhideWhenUsed/>
    <w:rsid w:val="00AF1725"/>
    <w:pPr>
      <w:tabs>
        <w:tab w:val="center" w:pos="4536"/>
        <w:tab w:val="right" w:pos="9072"/>
      </w:tabs>
      <w:spacing w:line="240" w:lineRule="auto"/>
    </w:pPr>
  </w:style>
  <w:style w:type="character" w:customStyle="1" w:styleId="NagwekZnak">
    <w:name w:val="Nagłówek Znak"/>
    <w:basedOn w:val="Domylnaczcionkaakapitu"/>
    <w:link w:val="Nagwek"/>
    <w:uiPriority w:val="99"/>
    <w:rsid w:val="00AF1725"/>
    <w:rPr>
      <w:rFonts w:ascii="Times New Roman" w:eastAsia="Calibri" w:hAnsi="Times New Roman" w:cs="Times New Roman"/>
      <w:sz w:val="24"/>
      <w:szCs w:val="24"/>
      <w:lang w:eastAsia="pl-PL"/>
    </w:rPr>
  </w:style>
  <w:style w:type="paragraph" w:styleId="Stopka">
    <w:name w:val="footer"/>
    <w:basedOn w:val="Normalny"/>
    <w:link w:val="StopkaZnak"/>
    <w:uiPriority w:val="99"/>
    <w:unhideWhenUsed/>
    <w:rsid w:val="00AF1725"/>
    <w:pPr>
      <w:tabs>
        <w:tab w:val="center" w:pos="4536"/>
        <w:tab w:val="right" w:pos="9072"/>
      </w:tabs>
      <w:spacing w:line="240" w:lineRule="auto"/>
    </w:pPr>
  </w:style>
  <w:style w:type="character" w:customStyle="1" w:styleId="StopkaZnak">
    <w:name w:val="Stopka Znak"/>
    <w:basedOn w:val="Domylnaczcionkaakapitu"/>
    <w:link w:val="Stopka"/>
    <w:uiPriority w:val="99"/>
    <w:rsid w:val="00AF1725"/>
    <w:rPr>
      <w:rFonts w:ascii="Times New Roman" w:eastAsia="Calibri" w:hAnsi="Times New Roman" w:cs="Times New Roman"/>
      <w:sz w:val="24"/>
      <w:szCs w:val="24"/>
      <w:lang w:eastAsia="pl-PL"/>
    </w:rPr>
  </w:style>
  <w:style w:type="paragraph" w:styleId="Tekstdymka">
    <w:name w:val="Balloon Text"/>
    <w:basedOn w:val="Normalny"/>
    <w:link w:val="TekstdymkaZnak"/>
    <w:uiPriority w:val="99"/>
    <w:semiHidden/>
    <w:unhideWhenUsed/>
    <w:rsid w:val="00AA02E8"/>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A02E8"/>
    <w:rPr>
      <w:rFonts w:ascii="Tahoma" w:eastAsia="Calibri" w:hAnsi="Tahoma" w:cs="Tahoma"/>
      <w:sz w:val="16"/>
      <w:szCs w:val="16"/>
      <w:lang w:eastAsia="pl-PL"/>
    </w:rPr>
  </w:style>
  <w:style w:type="character" w:styleId="Odwoaniedokomentarza">
    <w:name w:val="annotation reference"/>
    <w:basedOn w:val="Domylnaczcionkaakapitu"/>
    <w:uiPriority w:val="99"/>
    <w:semiHidden/>
    <w:unhideWhenUsed/>
    <w:rsid w:val="00A154C9"/>
    <w:rPr>
      <w:sz w:val="16"/>
      <w:szCs w:val="16"/>
    </w:rPr>
  </w:style>
  <w:style w:type="paragraph" w:styleId="Tekstkomentarza">
    <w:name w:val="annotation text"/>
    <w:basedOn w:val="Normalny"/>
    <w:link w:val="TekstkomentarzaZnak"/>
    <w:uiPriority w:val="99"/>
    <w:unhideWhenUsed/>
    <w:rsid w:val="00A154C9"/>
    <w:pPr>
      <w:spacing w:line="240" w:lineRule="auto"/>
    </w:pPr>
    <w:rPr>
      <w:sz w:val="20"/>
      <w:szCs w:val="20"/>
    </w:rPr>
  </w:style>
  <w:style w:type="character" w:customStyle="1" w:styleId="TekstkomentarzaZnak">
    <w:name w:val="Tekst komentarza Znak"/>
    <w:basedOn w:val="Domylnaczcionkaakapitu"/>
    <w:link w:val="Tekstkomentarza"/>
    <w:uiPriority w:val="99"/>
    <w:rsid w:val="00A154C9"/>
    <w:rPr>
      <w:rFonts w:ascii="Times New Roman" w:eastAsia="Calibri"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A154C9"/>
    <w:rPr>
      <w:b/>
      <w:bCs/>
    </w:rPr>
  </w:style>
  <w:style w:type="character" w:customStyle="1" w:styleId="TematkomentarzaZnak">
    <w:name w:val="Temat komentarza Znak"/>
    <w:basedOn w:val="TekstkomentarzaZnak"/>
    <w:link w:val="Tematkomentarza"/>
    <w:uiPriority w:val="99"/>
    <w:semiHidden/>
    <w:rsid w:val="00A154C9"/>
    <w:rPr>
      <w:rFonts w:ascii="Times New Roman" w:eastAsia="Calibri" w:hAnsi="Times New Roman" w:cs="Times New Roman"/>
      <w:b/>
      <w:bCs/>
      <w:sz w:val="20"/>
      <w:szCs w:val="20"/>
      <w:lang w:eastAsia="pl-PL"/>
    </w:rPr>
  </w:style>
  <w:style w:type="paragraph" w:customStyle="1" w:styleId="ODNONIKtreodnonika">
    <w:name w:val="ODNOŚNIK – treść odnośnika"/>
    <w:uiPriority w:val="19"/>
    <w:qFormat/>
    <w:rsid w:val="00C535DA"/>
    <w:pPr>
      <w:spacing w:after="0" w:line="240" w:lineRule="auto"/>
      <w:ind w:left="284" w:hanging="284"/>
      <w:jc w:val="both"/>
    </w:pPr>
    <w:rPr>
      <w:rFonts w:ascii="Times New Roman" w:eastAsia="Times New Roman" w:hAnsi="Times New Roman" w:cs="Arial"/>
      <w:sz w:val="20"/>
      <w:szCs w:val="20"/>
      <w:lang w:eastAsia="pl-PL"/>
    </w:rPr>
  </w:style>
  <w:style w:type="paragraph" w:styleId="Tekstprzypisukocowego">
    <w:name w:val="endnote text"/>
    <w:basedOn w:val="Normalny"/>
    <w:link w:val="TekstprzypisukocowegoZnak"/>
    <w:uiPriority w:val="99"/>
    <w:semiHidden/>
    <w:unhideWhenUsed/>
    <w:rsid w:val="004A6F83"/>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A6F83"/>
    <w:rPr>
      <w:rFonts w:ascii="Times New Roman" w:eastAsia="Calibri" w:hAnsi="Times New Roman" w:cs="Times New Roman"/>
      <w:sz w:val="20"/>
      <w:szCs w:val="20"/>
      <w:lang w:eastAsia="pl-PL"/>
    </w:rPr>
  </w:style>
  <w:style w:type="character" w:styleId="Odwoanieprzypisukocowego">
    <w:name w:val="endnote reference"/>
    <w:basedOn w:val="Domylnaczcionkaakapitu"/>
    <w:uiPriority w:val="99"/>
    <w:semiHidden/>
    <w:unhideWhenUsed/>
    <w:rsid w:val="004A6F83"/>
    <w:rPr>
      <w:vertAlign w:val="superscript"/>
    </w:rPr>
  </w:style>
  <w:style w:type="paragraph" w:styleId="Tekstpodstawowy2">
    <w:name w:val="Body Text 2"/>
    <w:basedOn w:val="Normalny"/>
    <w:link w:val="Tekstpodstawowy2Znak"/>
    <w:rsid w:val="00CF2E50"/>
    <w:pPr>
      <w:tabs>
        <w:tab w:val="left" w:pos="709"/>
      </w:tabs>
      <w:spacing w:line="360" w:lineRule="auto"/>
    </w:pPr>
    <w:rPr>
      <w:rFonts w:eastAsia="Times New Roman"/>
    </w:rPr>
  </w:style>
  <w:style w:type="character" w:customStyle="1" w:styleId="Tekstpodstawowy2Znak">
    <w:name w:val="Tekst podstawowy 2 Znak"/>
    <w:basedOn w:val="Domylnaczcionkaakapitu"/>
    <w:link w:val="Tekstpodstawowy2"/>
    <w:rsid w:val="00CF2E50"/>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5D0161"/>
    <w:rPr>
      <w:b/>
      <w:bCs/>
    </w:rPr>
  </w:style>
  <w:style w:type="paragraph" w:styleId="NormalnyWeb">
    <w:name w:val="Normal (Web)"/>
    <w:basedOn w:val="Normalny"/>
    <w:uiPriority w:val="99"/>
    <w:semiHidden/>
    <w:unhideWhenUsed/>
    <w:rsid w:val="007913EC"/>
    <w:pPr>
      <w:spacing w:before="100" w:beforeAutospacing="1" w:after="100" w:afterAutospacing="1" w:line="240" w:lineRule="auto"/>
      <w:jc w:val="left"/>
    </w:pPr>
    <w:rPr>
      <w:rFonts w:eastAsia="Times New Roman"/>
    </w:rPr>
  </w:style>
  <w:style w:type="character" w:styleId="Uwydatnienie">
    <w:name w:val="Emphasis"/>
    <w:basedOn w:val="Domylnaczcionkaakapitu"/>
    <w:uiPriority w:val="20"/>
    <w:qFormat/>
    <w:rsid w:val="007913EC"/>
    <w:rPr>
      <w:i/>
      <w:iCs/>
    </w:rPr>
  </w:style>
  <w:style w:type="paragraph" w:styleId="Bezodstpw">
    <w:name w:val="No Spacing"/>
    <w:uiPriority w:val="1"/>
    <w:qFormat/>
    <w:rsid w:val="00730411"/>
    <w:pPr>
      <w:spacing w:after="0" w:line="240" w:lineRule="auto"/>
      <w:jc w:val="both"/>
    </w:pPr>
    <w:rPr>
      <w:rFonts w:ascii="Times New Roman" w:eastAsia="Calibri" w:hAnsi="Times New Roman" w:cs="Times New Roman"/>
      <w:sz w:val="24"/>
      <w:szCs w:val="24"/>
      <w:lang w:eastAsia="pl-PL"/>
    </w:rPr>
  </w:style>
  <w:style w:type="table" w:customStyle="1" w:styleId="Tabelasiatki4akcent41">
    <w:name w:val="Tabela siatki 4 — akcent 41"/>
    <w:basedOn w:val="Standardowy"/>
    <w:next w:val="GridTable4Accent4"/>
    <w:uiPriority w:val="49"/>
    <w:rsid w:val="00732E43"/>
    <w:pPr>
      <w:spacing w:after="0" w:line="240" w:lineRule="auto"/>
    </w:pPr>
    <w:tblPr>
      <w:tblStyleRowBandSize w:val="1"/>
      <w:tblStyleColBandSize w:val="1"/>
      <w:tblInd w:w="0" w:type="dxa"/>
      <w:tblBorders>
        <w:top w:val="single" w:sz="4" w:space="0" w:color="77D9E4"/>
        <w:left w:val="single" w:sz="4" w:space="0" w:color="77D9E4"/>
        <w:bottom w:val="single" w:sz="4" w:space="0" w:color="77D9E4"/>
        <w:right w:val="single" w:sz="4" w:space="0" w:color="77D9E4"/>
        <w:insideH w:val="single" w:sz="4" w:space="0" w:color="77D9E4"/>
        <w:insideV w:val="single" w:sz="4" w:space="0" w:color="77D9E4"/>
      </w:tblBorders>
      <w:tblCellMar>
        <w:top w:w="0" w:type="dxa"/>
        <w:left w:w="108" w:type="dxa"/>
        <w:bottom w:w="0" w:type="dxa"/>
        <w:right w:w="108" w:type="dxa"/>
      </w:tblCellMar>
    </w:tblPr>
    <w:tblStylePr w:type="firstRow">
      <w:rPr>
        <w:b/>
        <w:bCs/>
        <w:color w:val="FFFFFF"/>
      </w:rPr>
      <w:tblPr/>
      <w:tcPr>
        <w:tcBorders>
          <w:top w:val="single" w:sz="4" w:space="0" w:color="27B9CA"/>
          <w:left w:val="single" w:sz="4" w:space="0" w:color="27B9CA"/>
          <w:bottom w:val="single" w:sz="4" w:space="0" w:color="27B9CA"/>
          <w:right w:val="single" w:sz="4" w:space="0" w:color="27B9CA"/>
          <w:insideH w:val="nil"/>
          <w:insideV w:val="nil"/>
        </w:tcBorders>
        <w:shd w:val="clear" w:color="auto" w:fill="27B9CA"/>
      </w:tcPr>
    </w:tblStylePr>
    <w:tblStylePr w:type="lastRow">
      <w:rPr>
        <w:b/>
        <w:bCs/>
      </w:rPr>
      <w:tblPr/>
      <w:tcPr>
        <w:tcBorders>
          <w:top w:val="double" w:sz="4" w:space="0" w:color="27B9CA"/>
        </w:tcBorders>
      </w:tcPr>
    </w:tblStylePr>
    <w:tblStylePr w:type="firstCol">
      <w:rPr>
        <w:b/>
        <w:bCs/>
      </w:rPr>
    </w:tblStylePr>
    <w:tblStylePr w:type="lastCol">
      <w:rPr>
        <w:b/>
        <w:bCs/>
      </w:rPr>
    </w:tblStylePr>
    <w:tblStylePr w:type="band1Vert">
      <w:tblPr/>
      <w:tcPr>
        <w:shd w:val="clear" w:color="auto" w:fill="D1F2F6"/>
      </w:tcPr>
    </w:tblStylePr>
    <w:tblStylePr w:type="band1Horz">
      <w:tblPr/>
      <w:tcPr>
        <w:shd w:val="clear" w:color="auto" w:fill="D1F2F6"/>
      </w:tcPr>
    </w:tblStylePr>
  </w:style>
  <w:style w:type="table" w:customStyle="1" w:styleId="GridTable4Accent4">
    <w:name w:val="Grid Table 4 Accent 4"/>
    <w:basedOn w:val="Standardowy"/>
    <w:uiPriority w:val="49"/>
    <w:rsid w:val="00732E43"/>
    <w:pPr>
      <w:spacing w:after="0" w:line="240" w:lineRule="auto"/>
    </w:p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s>
</file>

<file path=word/webSettings.xml><?xml version="1.0" encoding="utf-8"?>
<w:webSettings xmlns:r="http://schemas.openxmlformats.org/officeDocument/2006/relationships" xmlns:w="http://schemas.openxmlformats.org/wordprocessingml/2006/main">
  <w:divs>
    <w:div w:id="72241947">
      <w:bodyDiv w:val="1"/>
      <w:marLeft w:val="0"/>
      <w:marRight w:val="0"/>
      <w:marTop w:val="0"/>
      <w:marBottom w:val="0"/>
      <w:divBdr>
        <w:top w:val="none" w:sz="0" w:space="0" w:color="auto"/>
        <w:left w:val="none" w:sz="0" w:space="0" w:color="auto"/>
        <w:bottom w:val="none" w:sz="0" w:space="0" w:color="auto"/>
        <w:right w:val="none" w:sz="0" w:space="0" w:color="auto"/>
      </w:divBdr>
    </w:div>
    <w:div w:id="760763763">
      <w:bodyDiv w:val="1"/>
      <w:marLeft w:val="0"/>
      <w:marRight w:val="0"/>
      <w:marTop w:val="0"/>
      <w:marBottom w:val="0"/>
      <w:divBdr>
        <w:top w:val="none" w:sz="0" w:space="0" w:color="auto"/>
        <w:left w:val="none" w:sz="0" w:space="0" w:color="auto"/>
        <w:bottom w:val="none" w:sz="0" w:space="0" w:color="auto"/>
        <w:right w:val="none" w:sz="0" w:space="0" w:color="auto"/>
      </w:divBdr>
      <w:divsChild>
        <w:div w:id="1934238740">
          <w:marLeft w:val="0"/>
          <w:marRight w:val="0"/>
          <w:marTop w:val="0"/>
          <w:marBottom w:val="0"/>
          <w:divBdr>
            <w:top w:val="none" w:sz="0" w:space="0" w:color="auto"/>
            <w:left w:val="none" w:sz="0" w:space="0" w:color="auto"/>
            <w:bottom w:val="none" w:sz="0" w:space="0" w:color="auto"/>
            <w:right w:val="none" w:sz="0" w:space="0" w:color="auto"/>
          </w:divBdr>
        </w:div>
      </w:divsChild>
    </w:div>
    <w:div w:id="770123586">
      <w:bodyDiv w:val="1"/>
      <w:marLeft w:val="0"/>
      <w:marRight w:val="0"/>
      <w:marTop w:val="0"/>
      <w:marBottom w:val="0"/>
      <w:divBdr>
        <w:top w:val="none" w:sz="0" w:space="0" w:color="auto"/>
        <w:left w:val="none" w:sz="0" w:space="0" w:color="auto"/>
        <w:bottom w:val="none" w:sz="0" w:space="0" w:color="auto"/>
        <w:right w:val="none" w:sz="0" w:space="0" w:color="auto"/>
      </w:divBdr>
      <w:divsChild>
        <w:div w:id="1332216540">
          <w:marLeft w:val="0"/>
          <w:marRight w:val="0"/>
          <w:marTop w:val="0"/>
          <w:marBottom w:val="0"/>
          <w:divBdr>
            <w:top w:val="none" w:sz="0" w:space="0" w:color="auto"/>
            <w:left w:val="none" w:sz="0" w:space="0" w:color="auto"/>
            <w:bottom w:val="none" w:sz="0" w:space="0" w:color="auto"/>
            <w:right w:val="none" w:sz="0" w:space="0" w:color="auto"/>
          </w:divBdr>
        </w:div>
      </w:divsChild>
    </w:div>
    <w:div w:id="906643724">
      <w:bodyDiv w:val="1"/>
      <w:marLeft w:val="0"/>
      <w:marRight w:val="0"/>
      <w:marTop w:val="0"/>
      <w:marBottom w:val="0"/>
      <w:divBdr>
        <w:top w:val="none" w:sz="0" w:space="0" w:color="auto"/>
        <w:left w:val="none" w:sz="0" w:space="0" w:color="auto"/>
        <w:bottom w:val="none" w:sz="0" w:space="0" w:color="auto"/>
        <w:right w:val="none" w:sz="0" w:space="0" w:color="auto"/>
      </w:divBdr>
    </w:div>
    <w:div w:id="944768901">
      <w:bodyDiv w:val="1"/>
      <w:marLeft w:val="0"/>
      <w:marRight w:val="0"/>
      <w:marTop w:val="0"/>
      <w:marBottom w:val="0"/>
      <w:divBdr>
        <w:top w:val="none" w:sz="0" w:space="0" w:color="auto"/>
        <w:left w:val="none" w:sz="0" w:space="0" w:color="auto"/>
        <w:bottom w:val="none" w:sz="0" w:space="0" w:color="auto"/>
        <w:right w:val="none" w:sz="0" w:space="0" w:color="auto"/>
      </w:divBdr>
    </w:div>
    <w:div w:id="958686383">
      <w:bodyDiv w:val="1"/>
      <w:marLeft w:val="0"/>
      <w:marRight w:val="0"/>
      <w:marTop w:val="0"/>
      <w:marBottom w:val="0"/>
      <w:divBdr>
        <w:top w:val="none" w:sz="0" w:space="0" w:color="auto"/>
        <w:left w:val="none" w:sz="0" w:space="0" w:color="auto"/>
        <w:bottom w:val="none" w:sz="0" w:space="0" w:color="auto"/>
        <w:right w:val="none" w:sz="0" w:space="0" w:color="auto"/>
      </w:divBdr>
    </w:div>
    <w:div w:id="1021666160">
      <w:bodyDiv w:val="1"/>
      <w:marLeft w:val="0"/>
      <w:marRight w:val="0"/>
      <w:marTop w:val="0"/>
      <w:marBottom w:val="0"/>
      <w:divBdr>
        <w:top w:val="none" w:sz="0" w:space="0" w:color="auto"/>
        <w:left w:val="none" w:sz="0" w:space="0" w:color="auto"/>
        <w:bottom w:val="none" w:sz="0" w:space="0" w:color="auto"/>
        <w:right w:val="none" w:sz="0" w:space="0" w:color="auto"/>
      </w:divBdr>
      <w:divsChild>
        <w:div w:id="1180002850">
          <w:marLeft w:val="0"/>
          <w:marRight w:val="0"/>
          <w:marTop w:val="0"/>
          <w:marBottom w:val="0"/>
          <w:divBdr>
            <w:top w:val="none" w:sz="0" w:space="0" w:color="auto"/>
            <w:left w:val="none" w:sz="0" w:space="0" w:color="auto"/>
            <w:bottom w:val="none" w:sz="0" w:space="0" w:color="auto"/>
            <w:right w:val="none" w:sz="0" w:space="0" w:color="auto"/>
          </w:divBdr>
        </w:div>
      </w:divsChild>
    </w:div>
    <w:div w:id="1182235297">
      <w:bodyDiv w:val="1"/>
      <w:marLeft w:val="0"/>
      <w:marRight w:val="0"/>
      <w:marTop w:val="0"/>
      <w:marBottom w:val="0"/>
      <w:divBdr>
        <w:top w:val="none" w:sz="0" w:space="0" w:color="auto"/>
        <w:left w:val="none" w:sz="0" w:space="0" w:color="auto"/>
        <w:bottom w:val="none" w:sz="0" w:space="0" w:color="auto"/>
        <w:right w:val="none" w:sz="0" w:space="0" w:color="auto"/>
      </w:divBdr>
    </w:div>
    <w:div w:id="1295217726">
      <w:bodyDiv w:val="1"/>
      <w:marLeft w:val="0"/>
      <w:marRight w:val="0"/>
      <w:marTop w:val="0"/>
      <w:marBottom w:val="0"/>
      <w:divBdr>
        <w:top w:val="none" w:sz="0" w:space="0" w:color="auto"/>
        <w:left w:val="none" w:sz="0" w:space="0" w:color="auto"/>
        <w:bottom w:val="none" w:sz="0" w:space="0" w:color="auto"/>
        <w:right w:val="none" w:sz="0" w:space="0" w:color="auto"/>
      </w:divBdr>
    </w:div>
    <w:div w:id="1435591974">
      <w:bodyDiv w:val="1"/>
      <w:marLeft w:val="0"/>
      <w:marRight w:val="0"/>
      <w:marTop w:val="0"/>
      <w:marBottom w:val="0"/>
      <w:divBdr>
        <w:top w:val="none" w:sz="0" w:space="0" w:color="auto"/>
        <w:left w:val="none" w:sz="0" w:space="0" w:color="auto"/>
        <w:bottom w:val="none" w:sz="0" w:space="0" w:color="auto"/>
        <w:right w:val="none" w:sz="0" w:space="0" w:color="auto"/>
      </w:divBdr>
    </w:div>
    <w:div w:id="1685784541">
      <w:bodyDiv w:val="1"/>
      <w:marLeft w:val="0"/>
      <w:marRight w:val="0"/>
      <w:marTop w:val="0"/>
      <w:marBottom w:val="0"/>
      <w:divBdr>
        <w:top w:val="none" w:sz="0" w:space="0" w:color="auto"/>
        <w:left w:val="none" w:sz="0" w:space="0" w:color="auto"/>
        <w:bottom w:val="none" w:sz="0" w:space="0" w:color="auto"/>
        <w:right w:val="none" w:sz="0" w:space="0" w:color="auto"/>
      </w:divBdr>
    </w:div>
    <w:div w:id="1823155245">
      <w:bodyDiv w:val="1"/>
      <w:marLeft w:val="0"/>
      <w:marRight w:val="0"/>
      <w:marTop w:val="0"/>
      <w:marBottom w:val="0"/>
      <w:divBdr>
        <w:top w:val="none" w:sz="0" w:space="0" w:color="auto"/>
        <w:left w:val="none" w:sz="0" w:space="0" w:color="auto"/>
        <w:bottom w:val="none" w:sz="0" w:space="0" w:color="auto"/>
        <w:right w:val="none" w:sz="0" w:space="0" w:color="auto"/>
      </w:divBdr>
    </w:div>
    <w:div w:id="1847095169">
      <w:bodyDiv w:val="1"/>
      <w:marLeft w:val="0"/>
      <w:marRight w:val="0"/>
      <w:marTop w:val="0"/>
      <w:marBottom w:val="0"/>
      <w:divBdr>
        <w:top w:val="none" w:sz="0" w:space="0" w:color="auto"/>
        <w:left w:val="none" w:sz="0" w:space="0" w:color="auto"/>
        <w:bottom w:val="none" w:sz="0" w:space="0" w:color="auto"/>
        <w:right w:val="none" w:sz="0" w:space="0" w:color="auto"/>
      </w:divBdr>
      <w:divsChild>
        <w:div w:id="2000770701">
          <w:marLeft w:val="0"/>
          <w:marRight w:val="0"/>
          <w:marTop w:val="0"/>
          <w:marBottom w:val="0"/>
          <w:divBdr>
            <w:top w:val="none" w:sz="0" w:space="0" w:color="auto"/>
            <w:left w:val="none" w:sz="0" w:space="0" w:color="auto"/>
            <w:bottom w:val="none" w:sz="0" w:space="0" w:color="auto"/>
            <w:right w:val="none" w:sz="0" w:space="0" w:color="auto"/>
          </w:divBdr>
        </w:div>
      </w:divsChild>
    </w:div>
    <w:div w:id="1876693052">
      <w:bodyDiv w:val="1"/>
      <w:marLeft w:val="0"/>
      <w:marRight w:val="0"/>
      <w:marTop w:val="0"/>
      <w:marBottom w:val="0"/>
      <w:divBdr>
        <w:top w:val="none" w:sz="0" w:space="0" w:color="auto"/>
        <w:left w:val="none" w:sz="0" w:space="0" w:color="auto"/>
        <w:bottom w:val="none" w:sz="0" w:space="0" w:color="auto"/>
        <w:right w:val="none" w:sz="0" w:space="0" w:color="auto"/>
      </w:divBdr>
      <w:divsChild>
        <w:div w:id="18546130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14B8C1-2894-414C-B0E7-93390F5A4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14361</Words>
  <Characters>86166</Characters>
  <Application>Microsoft Office Word</Application>
  <DocSecurity>0</DocSecurity>
  <Lines>718</Lines>
  <Paragraphs>200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100327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jbajor</dc:creator>
  <cp:lastModifiedBy>apc</cp:lastModifiedBy>
  <cp:revision>2</cp:revision>
  <cp:lastPrinted>2018-03-20T13:51:00Z</cp:lastPrinted>
  <dcterms:created xsi:type="dcterms:W3CDTF">2018-05-17T11:43:00Z</dcterms:created>
  <dcterms:modified xsi:type="dcterms:W3CDTF">2018-05-17T11:43:00Z</dcterms:modified>
</cp:coreProperties>
</file>