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26"/>
        <w:gridCol w:w="142"/>
        <w:gridCol w:w="682"/>
        <w:gridCol w:w="454"/>
        <w:gridCol w:w="229"/>
        <w:gridCol w:w="113"/>
        <w:gridCol w:w="81"/>
        <w:gridCol w:w="489"/>
        <w:gridCol w:w="367"/>
        <w:gridCol w:w="285"/>
        <w:gridCol w:w="31"/>
        <w:gridCol w:w="622"/>
        <w:gridCol w:w="61"/>
        <w:gridCol w:w="271"/>
        <w:gridCol w:w="412"/>
        <w:gridCol w:w="123"/>
        <w:gridCol w:w="71"/>
        <w:gridCol w:w="489"/>
        <w:gridCol w:w="43"/>
        <w:gridCol w:w="405"/>
        <w:gridCol w:w="235"/>
        <w:gridCol w:w="683"/>
        <w:gridCol w:w="20"/>
        <w:gridCol w:w="663"/>
        <w:gridCol w:w="116"/>
        <w:gridCol w:w="567"/>
        <w:gridCol w:w="993"/>
        <w:gridCol w:w="21"/>
      </w:tblGrid>
      <w:tr w:rsidR="006A701A" w:rsidRPr="00D77533" w:rsidTr="00D77533">
        <w:trPr>
          <w:trHeight w:val="1611"/>
        </w:trPr>
        <w:tc>
          <w:tcPr>
            <w:tcW w:w="6631" w:type="dxa"/>
            <w:gridSpan w:val="18"/>
          </w:tcPr>
          <w:p w:rsidR="006A701A" w:rsidRPr="00D77533" w:rsidRDefault="006A701A" w:rsidP="008A261F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D77533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D77533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09277C" w:rsidRDefault="0009277C" w:rsidP="00FD578B">
            <w:pPr>
              <w:spacing w:before="120" w:line="240" w:lineRule="auto"/>
              <w:jc w:val="both"/>
              <w:rPr>
                <w:rFonts w:ascii="Times New Roman" w:hAnsi="Times New Roman"/>
                <w:noProof/>
              </w:rPr>
            </w:pPr>
            <w:bookmarkStart w:id="1" w:name="t2"/>
            <w:r>
              <w:rPr>
                <w:rFonts w:ascii="Times New Roman" w:hAnsi="Times New Roman"/>
                <w:noProof/>
              </w:rPr>
              <w:t xml:space="preserve">Ustawa </w:t>
            </w:r>
            <w:r w:rsidRPr="0009277C">
              <w:rPr>
                <w:rFonts w:ascii="Times New Roman" w:hAnsi="Times New Roman"/>
                <w:noProof/>
              </w:rPr>
              <w:t>o zmianie ustawy o podatku dochodowym od osób fizycznych, ustawy o podatku dochodowym od osób prawnych oraz ustawy o zryczałtowanym podatku dochodowym od niektórych przychodów osiąganych przez osoby fizyczne</w:t>
            </w:r>
          </w:p>
          <w:bookmarkEnd w:id="1"/>
          <w:p w:rsidR="006A701A" w:rsidRPr="00D77533" w:rsidRDefault="006A701A" w:rsidP="008A261F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D77533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6A701A" w:rsidRPr="00D77533" w:rsidRDefault="00CF2CB1" w:rsidP="008A261F">
            <w:pPr>
              <w:spacing w:line="240" w:lineRule="auto"/>
              <w:rPr>
                <w:rFonts w:ascii="Times New Roman" w:hAnsi="Times New Roman"/>
              </w:rPr>
            </w:pPr>
            <w:r w:rsidRPr="00D77533">
              <w:rPr>
                <w:rFonts w:ascii="Times New Roman" w:hAnsi="Times New Roman"/>
              </w:rPr>
              <w:t>Ministerstwo Finansów</w:t>
            </w:r>
          </w:p>
          <w:p w:rsidR="001B3460" w:rsidRPr="00D77533" w:rsidRDefault="001B3460" w:rsidP="0030702B">
            <w:pPr>
              <w:spacing w:before="120" w:line="240" w:lineRule="auto"/>
              <w:jc w:val="both"/>
              <w:rPr>
                <w:rFonts w:ascii="Times New Roman" w:hAnsi="Times New Roman"/>
                <w:b/>
              </w:rPr>
            </w:pPr>
            <w:r w:rsidRPr="00D77533">
              <w:rPr>
                <w:rFonts w:ascii="Times New Roman" w:hAnsi="Times New Roman"/>
                <w:b/>
              </w:rPr>
              <w:t xml:space="preserve">Osoba </w:t>
            </w:r>
            <w:r w:rsidRPr="00D77533">
              <w:rPr>
                <w:rFonts w:ascii="Times New Roman" w:hAnsi="Times New Roman"/>
                <w:b/>
                <w:color w:val="000000"/>
              </w:rPr>
              <w:t>odpowiedzialna</w:t>
            </w:r>
            <w:r w:rsidRPr="00D77533">
              <w:rPr>
                <w:rFonts w:ascii="Times New Roman" w:hAnsi="Times New Roman"/>
                <w:b/>
              </w:rPr>
              <w:t xml:space="preserve"> za projekt w randze Ministra, Sekretarza Stanu lub Podsekretarza Stanu </w:t>
            </w:r>
          </w:p>
          <w:p w:rsidR="005D2B37" w:rsidRDefault="005D2B37" w:rsidP="008A261F">
            <w:pPr>
              <w:spacing w:before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Wiesław Janczyk,</w:t>
            </w:r>
          </w:p>
          <w:p w:rsidR="005D2B37" w:rsidRDefault="005D2B37" w:rsidP="004B1C32">
            <w:pPr>
              <w:spacing w:line="240" w:lineRule="auto"/>
              <w:rPr>
                <w:rFonts w:ascii="Times New Roman" w:hAnsi="Times New Roman"/>
              </w:rPr>
            </w:pPr>
            <w:r w:rsidRPr="005D2B37">
              <w:rPr>
                <w:rFonts w:ascii="Times New Roman" w:hAnsi="Times New Roman"/>
              </w:rPr>
              <w:t>Sekretarz Stanu w Ministerstwie Finansów</w:t>
            </w:r>
          </w:p>
          <w:p w:rsidR="00672A41" w:rsidRDefault="00672A41" w:rsidP="004B1C3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Paweł Gruza</w:t>
            </w:r>
          </w:p>
          <w:p w:rsidR="00672A41" w:rsidRDefault="00672A41" w:rsidP="00672A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</w:t>
            </w:r>
            <w:r w:rsidRPr="005D2B37">
              <w:rPr>
                <w:rFonts w:ascii="Times New Roman" w:hAnsi="Times New Roman"/>
              </w:rPr>
              <w:t>ekretarz Stanu w Ministerstwie Finansów</w:t>
            </w:r>
          </w:p>
          <w:p w:rsidR="006A701A" w:rsidRPr="00D77533" w:rsidRDefault="006A701A" w:rsidP="008A261F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D77533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0E6A77" w:rsidRDefault="004229B2" w:rsidP="007D52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Maciej Żukowski</w:t>
            </w:r>
            <w:r w:rsidR="000E6A77">
              <w:rPr>
                <w:rFonts w:ascii="Times New Roman" w:hAnsi="Times New Roman"/>
              </w:rPr>
              <w:t>,</w:t>
            </w:r>
          </w:p>
          <w:p w:rsidR="000E6A77" w:rsidRPr="0025169D" w:rsidRDefault="000E6A77" w:rsidP="007D5244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 xml:space="preserve">Dyrektor Departamentu Podatków </w:t>
            </w:r>
            <w:r w:rsidR="004229B2">
              <w:rPr>
                <w:rFonts w:ascii="Times New Roman" w:hAnsi="Times New Roman"/>
              </w:rPr>
              <w:t>Dochodowych</w:t>
            </w:r>
            <w:r>
              <w:rPr>
                <w:rFonts w:ascii="Times New Roman" w:hAnsi="Times New Roman"/>
              </w:rPr>
              <w:t xml:space="preserve">, tel. </w:t>
            </w:r>
            <w:r w:rsidRPr="0025169D">
              <w:rPr>
                <w:rFonts w:ascii="Times New Roman" w:hAnsi="Times New Roman"/>
                <w:lang w:val="de-DE"/>
              </w:rPr>
              <w:t>(22) 694-</w:t>
            </w:r>
            <w:r w:rsidR="004229B2" w:rsidRPr="0025169D">
              <w:rPr>
                <w:rFonts w:ascii="Times New Roman" w:hAnsi="Times New Roman"/>
                <w:lang w:val="de-DE"/>
              </w:rPr>
              <w:t>3329</w:t>
            </w:r>
          </w:p>
          <w:p w:rsidR="004229B2" w:rsidRDefault="000E6A77" w:rsidP="007D5244">
            <w:pPr>
              <w:spacing w:line="240" w:lineRule="auto"/>
              <w:rPr>
                <w:rStyle w:val="Hipercze"/>
                <w:rFonts w:ascii="Times New Roman" w:hAnsi="Times New Roman"/>
                <w:lang w:val="de-DE"/>
              </w:rPr>
            </w:pPr>
            <w:proofErr w:type="spellStart"/>
            <w:r w:rsidRPr="0025169D">
              <w:rPr>
                <w:rFonts w:ascii="Times New Roman" w:hAnsi="Times New Roman"/>
                <w:lang w:val="de-DE"/>
              </w:rPr>
              <w:t>e-mail</w:t>
            </w:r>
            <w:proofErr w:type="spellEnd"/>
            <w:r w:rsidRPr="0025169D">
              <w:rPr>
                <w:rFonts w:ascii="Times New Roman" w:hAnsi="Times New Roman"/>
                <w:lang w:val="de-DE"/>
              </w:rPr>
              <w:t xml:space="preserve">: </w:t>
            </w:r>
            <w:hyperlink r:id="rId8" w:history="1">
              <w:r w:rsidR="004229B2" w:rsidRPr="0025169D">
                <w:rPr>
                  <w:rStyle w:val="Hipercze"/>
                  <w:rFonts w:ascii="Times New Roman" w:hAnsi="Times New Roman"/>
                  <w:lang w:val="de-DE"/>
                </w:rPr>
                <w:t>maciej.zukowski@mf.gov.pl</w:t>
              </w:r>
            </w:hyperlink>
          </w:p>
          <w:p w:rsidR="00672A41" w:rsidRPr="00672A41" w:rsidRDefault="00672A41" w:rsidP="007D5244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672A41">
              <w:rPr>
                <w:rStyle w:val="Hipercze"/>
                <w:rFonts w:ascii="Times New Roman" w:hAnsi="Times New Roman"/>
                <w:color w:val="auto"/>
                <w:u w:val="none"/>
                <w:lang w:val="de-DE"/>
              </w:rPr>
              <w:t xml:space="preserve">Justyna Przekopiak </w:t>
            </w:r>
          </w:p>
          <w:p w:rsidR="00672A41" w:rsidRPr="00672A41" w:rsidRDefault="00672A41" w:rsidP="00672A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Dyrektor Departamentu </w:t>
            </w:r>
            <w:r w:rsidRPr="00672A41">
              <w:rPr>
                <w:rFonts w:ascii="Times New Roman" w:hAnsi="Times New Roman"/>
              </w:rPr>
              <w:t>Podatków Sektorowych, Lokalnych oraz Podatku od Gier, tel. (22) 694-5804</w:t>
            </w:r>
          </w:p>
          <w:p w:rsidR="00AA7C1D" w:rsidRPr="0025169D" w:rsidRDefault="00672A41" w:rsidP="00672A41">
            <w:pPr>
              <w:spacing w:line="240" w:lineRule="auto"/>
              <w:rPr>
                <w:rFonts w:ascii="Times New Roman" w:hAnsi="Times New Roman"/>
                <w:noProof/>
                <w:color w:val="000000"/>
                <w:lang w:val="de-DE"/>
              </w:rPr>
            </w:pPr>
            <w:r w:rsidRPr="00672A41">
              <w:rPr>
                <w:rFonts w:ascii="Times New Roman" w:hAnsi="Times New Roman"/>
              </w:rPr>
              <w:t>e-mail: sekretariat.ps@mf.gov.pl</w:t>
            </w:r>
            <w:hyperlink r:id="rId9" w:history="1"/>
          </w:p>
        </w:tc>
        <w:tc>
          <w:tcPr>
            <w:tcW w:w="4306" w:type="dxa"/>
            <w:gridSpan w:val="12"/>
            <w:shd w:val="clear" w:color="auto" w:fill="FFFFFF"/>
          </w:tcPr>
          <w:p w:rsidR="00D77533" w:rsidRPr="00D77533" w:rsidRDefault="001B3460" w:rsidP="008A261F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D77533">
              <w:rPr>
                <w:rFonts w:ascii="Times New Roman" w:hAnsi="Times New Roman"/>
                <w:b/>
              </w:rPr>
              <w:t>Data sporządzenia</w:t>
            </w:r>
          </w:p>
          <w:p w:rsidR="001B3460" w:rsidRPr="00D77533" w:rsidRDefault="00F35133" w:rsidP="00D7753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 lutego</w:t>
            </w:r>
            <w:r w:rsidR="005D2B37" w:rsidRPr="000F1E68">
              <w:rPr>
                <w:rFonts w:ascii="Times New Roman" w:hAnsi="Times New Roman"/>
              </w:rPr>
              <w:t xml:space="preserve"> </w:t>
            </w:r>
            <w:r w:rsidR="005D2B37">
              <w:rPr>
                <w:rFonts w:ascii="Times New Roman" w:hAnsi="Times New Roman"/>
              </w:rPr>
              <w:t xml:space="preserve">2018 </w:t>
            </w:r>
            <w:r w:rsidR="004D5F25" w:rsidRPr="00D77533">
              <w:rPr>
                <w:rFonts w:ascii="Times New Roman" w:hAnsi="Times New Roman"/>
              </w:rPr>
              <w:t>r.</w:t>
            </w:r>
          </w:p>
          <w:p w:rsidR="00F76884" w:rsidRPr="00D77533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D77533" w:rsidRDefault="00D77533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2" w:name="Lista1"/>
            <w:r w:rsidRPr="00D77533">
              <w:rPr>
                <w:rFonts w:ascii="Times New Roman" w:hAnsi="Times New Roman"/>
                <w:b/>
              </w:rPr>
              <w:t>Źródło</w:t>
            </w:r>
          </w:p>
          <w:bookmarkEnd w:id="2"/>
          <w:p w:rsidR="00231E50" w:rsidRPr="00D77533" w:rsidRDefault="00B14DA5" w:rsidP="00231E50">
            <w:pPr>
              <w:spacing w:line="240" w:lineRule="auto"/>
              <w:rPr>
                <w:rFonts w:ascii="Times New Roman" w:hAnsi="Times New Roman"/>
              </w:rPr>
            </w:pPr>
            <w:r w:rsidRPr="00D77533">
              <w:rPr>
                <w:rFonts w:ascii="Times New Roman" w:hAnsi="Times New Roman"/>
              </w:rPr>
              <w:t>Inicjatywa własna Ministra</w:t>
            </w:r>
            <w:r w:rsidR="00231E50" w:rsidRPr="00D77533">
              <w:rPr>
                <w:rFonts w:ascii="Times New Roman" w:hAnsi="Times New Roman"/>
              </w:rPr>
              <w:t xml:space="preserve"> </w:t>
            </w:r>
            <w:r w:rsidR="00245DF5">
              <w:rPr>
                <w:rFonts w:ascii="Times New Roman" w:hAnsi="Times New Roman"/>
              </w:rPr>
              <w:t> </w:t>
            </w:r>
            <w:r w:rsidR="00231E50" w:rsidRPr="00D77533">
              <w:rPr>
                <w:rFonts w:ascii="Times New Roman" w:hAnsi="Times New Roman"/>
              </w:rPr>
              <w:t>Finansów</w:t>
            </w:r>
          </w:p>
          <w:p w:rsidR="00F76884" w:rsidRPr="00D77533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:rsidR="00967B7D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D77533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D77533">
              <w:rPr>
                <w:rFonts w:ascii="Times New Roman" w:hAnsi="Times New Roman"/>
                <w:b/>
                <w:color w:val="000000"/>
              </w:rPr>
              <w:t>w</w:t>
            </w:r>
            <w:r w:rsidRPr="00D77533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D77533">
              <w:rPr>
                <w:rFonts w:ascii="Times New Roman" w:hAnsi="Times New Roman"/>
                <w:b/>
                <w:color w:val="000000"/>
              </w:rPr>
              <w:t>ie</w:t>
            </w:r>
            <w:r w:rsidRPr="00D77533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:rsidR="006A701A" w:rsidRPr="00D77533" w:rsidRDefault="00602A16" w:rsidP="00245DF5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UD339</w:t>
            </w:r>
            <w:bookmarkStart w:id="3" w:name="_GoBack"/>
            <w:bookmarkEnd w:id="3"/>
          </w:p>
        </w:tc>
      </w:tr>
      <w:tr w:rsidR="006A701A" w:rsidRPr="00D77533" w:rsidTr="00D77533">
        <w:trPr>
          <w:trHeight w:val="142"/>
        </w:trPr>
        <w:tc>
          <w:tcPr>
            <w:tcW w:w="10937" w:type="dxa"/>
            <w:gridSpan w:val="30"/>
            <w:shd w:val="clear" w:color="auto" w:fill="99CCFF"/>
          </w:tcPr>
          <w:p w:rsidR="006A701A" w:rsidRPr="00D77533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D77533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D77533" w:rsidTr="00D77533">
        <w:trPr>
          <w:trHeight w:val="33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:rsidR="006A701A" w:rsidRPr="00D77533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7533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D77533">
              <w:rPr>
                <w:rFonts w:ascii="Times New Roman" w:hAnsi="Times New Roman"/>
                <w:b/>
              </w:rPr>
              <w:t>rozwiązywany?</w:t>
            </w:r>
            <w:bookmarkStart w:id="4" w:name="Wybór1"/>
            <w:bookmarkEnd w:id="4"/>
          </w:p>
        </w:tc>
      </w:tr>
      <w:tr w:rsidR="006A701A" w:rsidRPr="00D77533" w:rsidTr="00D77533">
        <w:trPr>
          <w:trHeight w:val="142"/>
        </w:trPr>
        <w:tc>
          <w:tcPr>
            <w:tcW w:w="10937" w:type="dxa"/>
            <w:gridSpan w:val="30"/>
            <w:shd w:val="clear" w:color="auto" w:fill="FFFFFF"/>
          </w:tcPr>
          <w:p w:rsidR="00E43BEA" w:rsidRDefault="0095000B" w:rsidP="00E43BEA">
            <w:pPr>
              <w:spacing w:after="12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95000B">
              <w:rPr>
                <w:rFonts w:ascii="Times New Roman" w:eastAsiaTheme="minorHAnsi" w:hAnsi="Times New Roman"/>
                <w:sz w:val="21"/>
                <w:szCs w:val="21"/>
              </w:rPr>
              <w:t>Projektowana zmiana ma na celu przede wszystkim złagodzenie rozwiązania przyjętego w ustawie z dnia 27 października 201</w:t>
            </w:r>
            <w:r w:rsidR="00EA79D0">
              <w:rPr>
                <w:rFonts w:ascii="Times New Roman" w:eastAsiaTheme="minorHAnsi" w:hAnsi="Times New Roman"/>
                <w:sz w:val="21"/>
                <w:szCs w:val="21"/>
              </w:rPr>
              <w:t>7 </w:t>
            </w:r>
            <w:r w:rsidRPr="0095000B">
              <w:rPr>
                <w:rFonts w:ascii="Times New Roman" w:eastAsiaTheme="minorHAnsi" w:hAnsi="Times New Roman"/>
                <w:sz w:val="21"/>
                <w:szCs w:val="21"/>
              </w:rPr>
              <w:t xml:space="preserve">r. </w:t>
            </w:r>
            <w:r w:rsidRPr="004B1C32">
              <w:rPr>
                <w:rFonts w:ascii="Times New Roman" w:eastAsiaTheme="minorHAnsi" w:hAnsi="Times New Roman"/>
                <w:i/>
                <w:sz w:val="21"/>
                <w:szCs w:val="21"/>
              </w:rPr>
              <w:t>o zmianie ustawy o podatku dochodowym od osób fizycznych, ustawy o podatku dochodowym od osób prawnych oraz ustawy o zryczałtowanym podatku dochodowym od niektórych przychodów osiąganych przez osoby fizyczne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Pr="0095000B">
              <w:rPr>
                <w:rFonts w:ascii="Times New Roman" w:eastAsiaTheme="minorHAnsi" w:hAnsi="Times New Roman"/>
                <w:sz w:val="21"/>
                <w:szCs w:val="21"/>
              </w:rPr>
              <w:t xml:space="preserve">w odniesieniu do środków trwałych oraz wartości niematerialnych i prawnych nabytych w drodze spadku lub darowizny. W przypadku nabycia w drodze spadku stanowi powrót do </w:t>
            </w:r>
            <w:r w:rsidR="00EA79D0">
              <w:rPr>
                <w:rFonts w:ascii="Times New Roman" w:eastAsiaTheme="minorHAnsi" w:hAnsi="Times New Roman"/>
                <w:sz w:val="21"/>
                <w:szCs w:val="21"/>
              </w:rPr>
              <w:t>zasad ob</w:t>
            </w:r>
            <w:r w:rsidR="00C470DC">
              <w:rPr>
                <w:rFonts w:ascii="Times New Roman" w:eastAsiaTheme="minorHAnsi" w:hAnsi="Times New Roman"/>
                <w:sz w:val="21"/>
                <w:szCs w:val="21"/>
              </w:rPr>
              <w:t>o</w:t>
            </w:r>
            <w:r w:rsidR="00EA79D0">
              <w:rPr>
                <w:rFonts w:ascii="Times New Roman" w:eastAsiaTheme="minorHAnsi" w:hAnsi="Times New Roman"/>
                <w:sz w:val="21"/>
                <w:szCs w:val="21"/>
              </w:rPr>
              <w:t>wiązujących przed dniem wejścia w życie tej nowelizacji</w:t>
            </w:r>
            <w:r w:rsidR="00C470DC">
              <w:rPr>
                <w:rFonts w:ascii="Times New Roman" w:eastAsiaTheme="minorHAnsi" w:hAnsi="Times New Roman"/>
                <w:sz w:val="21"/>
                <w:szCs w:val="21"/>
              </w:rPr>
              <w:t>. W konsekwencji,</w:t>
            </w:r>
            <w:r w:rsidR="00EA79D0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415A04">
              <w:rPr>
                <w:rFonts w:ascii="Times New Roman" w:eastAsiaTheme="minorHAnsi" w:hAnsi="Times New Roman"/>
                <w:sz w:val="21"/>
                <w:szCs w:val="21"/>
              </w:rPr>
              <w:t>w</w:t>
            </w:r>
            <w:r w:rsidR="00415A04" w:rsidRPr="00415A04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415A04">
              <w:rPr>
                <w:rFonts w:ascii="Times New Roman" w:eastAsiaTheme="minorHAnsi" w:hAnsi="Times New Roman"/>
                <w:sz w:val="21"/>
                <w:szCs w:val="21"/>
              </w:rPr>
              <w:t>przypadku środków trwałych oraz</w:t>
            </w:r>
            <w:r w:rsidR="00415A04" w:rsidRPr="00415A04">
              <w:rPr>
                <w:rFonts w:ascii="Times New Roman" w:eastAsiaTheme="minorHAnsi" w:hAnsi="Times New Roman"/>
                <w:sz w:val="21"/>
                <w:szCs w:val="21"/>
              </w:rPr>
              <w:t xml:space="preserve"> wartości niematerialnych i prawnych nabyty</w:t>
            </w:r>
            <w:r w:rsidR="00415A04">
              <w:rPr>
                <w:rFonts w:ascii="Times New Roman" w:eastAsiaTheme="minorHAnsi" w:hAnsi="Times New Roman"/>
                <w:sz w:val="21"/>
                <w:szCs w:val="21"/>
              </w:rPr>
              <w:t>ch w drodze spadku, w projekcie</w:t>
            </w:r>
            <w:r w:rsidR="00415A04" w:rsidRPr="00415A04">
              <w:rPr>
                <w:rFonts w:ascii="Times New Roman" w:eastAsiaTheme="minorHAnsi" w:hAnsi="Times New Roman"/>
                <w:sz w:val="21"/>
                <w:szCs w:val="21"/>
              </w:rPr>
              <w:t xml:space="preserve"> ustawy </w:t>
            </w:r>
            <w:r w:rsidR="00415A04">
              <w:rPr>
                <w:rFonts w:ascii="Times New Roman" w:eastAsiaTheme="minorHAnsi" w:hAnsi="Times New Roman"/>
                <w:sz w:val="21"/>
                <w:szCs w:val="21"/>
              </w:rPr>
              <w:t>proponuje się umożliwi</w:t>
            </w:r>
            <w:r w:rsidR="00B10D91">
              <w:rPr>
                <w:rFonts w:ascii="Times New Roman" w:eastAsiaTheme="minorHAnsi" w:hAnsi="Times New Roman"/>
                <w:sz w:val="21"/>
                <w:szCs w:val="21"/>
              </w:rPr>
              <w:t>ć</w:t>
            </w:r>
            <w:r w:rsidR="00415A04">
              <w:rPr>
                <w:rFonts w:ascii="Times New Roman" w:eastAsiaTheme="minorHAnsi" w:hAnsi="Times New Roman"/>
                <w:sz w:val="21"/>
                <w:szCs w:val="21"/>
              </w:rPr>
              <w:t xml:space="preserve"> spadkobiercom ponowne określenie</w:t>
            </w:r>
            <w:r w:rsidR="00415A04" w:rsidRPr="00415A04">
              <w:rPr>
                <w:rFonts w:ascii="Times New Roman" w:eastAsiaTheme="minorHAnsi" w:hAnsi="Times New Roman"/>
                <w:sz w:val="21"/>
                <w:szCs w:val="21"/>
              </w:rPr>
              <w:t xml:space="preserve"> wartości początkowej nabytych w ten sposób środków trwałych oraz warto</w:t>
            </w:r>
            <w:r w:rsidR="00415A04">
              <w:rPr>
                <w:rFonts w:ascii="Times New Roman" w:eastAsiaTheme="minorHAnsi" w:hAnsi="Times New Roman"/>
                <w:sz w:val="21"/>
                <w:szCs w:val="21"/>
              </w:rPr>
              <w:t>ści niematerialnych i prawnych,</w:t>
            </w:r>
            <w:r w:rsidR="00415A04" w:rsidRPr="00415A04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Pr="0095000B">
              <w:rPr>
                <w:rFonts w:ascii="Times New Roman" w:eastAsiaTheme="minorHAnsi" w:hAnsi="Times New Roman"/>
                <w:sz w:val="21"/>
                <w:szCs w:val="21"/>
              </w:rPr>
              <w:t>zezwalając na ich ponowną amortyzację. Natomiast w przypadku  środków  trwałych oraz wartości niematerialnych i prawnych nabytych w drodze darowizny</w:t>
            </w:r>
            <w:r w:rsidR="00415A04">
              <w:rPr>
                <w:rFonts w:ascii="Times New Roman" w:eastAsiaTheme="minorHAnsi" w:hAnsi="Times New Roman"/>
                <w:sz w:val="21"/>
                <w:szCs w:val="21"/>
              </w:rPr>
              <w:t>,</w:t>
            </w:r>
            <w:r w:rsidRPr="0095000B">
              <w:rPr>
                <w:rFonts w:ascii="Times New Roman" w:eastAsiaTheme="minorHAnsi" w:hAnsi="Times New Roman"/>
                <w:sz w:val="21"/>
                <w:szCs w:val="21"/>
              </w:rPr>
              <w:t xml:space="preserve"> projekt wprowadza zasadę kontynuacji </w:t>
            </w:r>
            <w:r w:rsidR="00415A04">
              <w:rPr>
                <w:rFonts w:ascii="Times New Roman" w:eastAsiaTheme="minorHAnsi" w:hAnsi="Times New Roman"/>
                <w:sz w:val="21"/>
                <w:szCs w:val="21"/>
              </w:rPr>
              <w:t xml:space="preserve">przez obdarowanego </w:t>
            </w:r>
            <w:r w:rsidRPr="0095000B">
              <w:rPr>
                <w:rFonts w:ascii="Times New Roman" w:eastAsiaTheme="minorHAnsi" w:hAnsi="Times New Roman"/>
                <w:sz w:val="21"/>
                <w:szCs w:val="21"/>
              </w:rPr>
              <w:t xml:space="preserve">odpisów amortyzacyjnych dokonywanych </w:t>
            </w:r>
            <w:r w:rsidR="00415A04">
              <w:rPr>
                <w:rFonts w:ascii="Times New Roman" w:eastAsiaTheme="minorHAnsi" w:hAnsi="Times New Roman"/>
                <w:sz w:val="21"/>
                <w:szCs w:val="21"/>
              </w:rPr>
              <w:t xml:space="preserve">przez darczyńcę </w:t>
            </w:r>
            <w:r w:rsidRPr="0095000B">
              <w:rPr>
                <w:rFonts w:ascii="Times New Roman" w:eastAsiaTheme="minorHAnsi" w:hAnsi="Times New Roman"/>
                <w:sz w:val="21"/>
                <w:szCs w:val="21"/>
              </w:rPr>
              <w:t>od danego środka trwałego lub wartości niematerialnej i prawnej. Oznacza to, że obdarowany nie zostanie pozbawiony możliwości dokonywania odpisów amortyzacyjnych od takich składników majątku, lecz przyjmie je w wartości uprzednio określonej przez darczyńcę.</w:t>
            </w:r>
          </w:p>
          <w:p w:rsidR="005D2B37" w:rsidRDefault="005D2B37" w:rsidP="00E43BEA">
            <w:pPr>
              <w:spacing w:after="12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5D2B37">
              <w:rPr>
                <w:rFonts w:ascii="Times New Roman" w:eastAsiaTheme="minorHAnsi" w:hAnsi="Times New Roman"/>
                <w:sz w:val="21"/>
                <w:szCs w:val="21"/>
              </w:rPr>
              <w:t xml:space="preserve">Zmiana zawarta w projekcie ma 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również </w:t>
            </w:r>
            <w:r w:rsidRPr="005D2B37">
              <w:rPr>
                <w:rFonts w:ascii="Times New Roman" w:eastAsiaTheme="minorHAnsi" w:hAnsi="Times New Roman"/>
                <w:sz w:val="21"/>
                <w:szCs w:val="21"/>
              </w:rPr>
              <w:t>na celu zapewnienie równego traktowania uczestników gier na automatach, gier w karty, gier w kości i gier cylindrycznych w zakresie podatku dochodowego od osób fizycznych (PIT) od wygranych uzyskanych w tych grach w sposób odmienny niż to zostało uregulowane w dotychczas obowiązujących przepisach oraz w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 ww. </w:t>
            </w:r>
            <w:r w:rsidRPr="005D2B37">
              <w:rPr>
                <w:rFonts w:ascii="Times New Roman" w:eastAsiaTheme="minorHAnsi" w:hAnsi="Times New Roman"/>
                <w:sz w:val="21"/>
                <w:szCs w:val="21"/>
              </w:rPr>
              <w:t xml:space="preserve">ustawie z 27 października 2017 r. </w:t>
            </w:r>
          </w:p>
          <w:p w:rsidR="00B2628B" w:rsidRDefault="00EA79D0" w:rsidP="00E43BEA">
            <w:pPr>
              <w:spacing w:after="12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Ponadto i</w:t>
            </w:r>
            <w:r w:rsidRPr="00EA79D0">
              <w:rPr>
                <w:rFonts w:ascii="Times New Roman" w:eastAsiaTheme="minorHAnsi" w:hAnsi="Times New Roman"/>
                <w:sz w:val="21"/>
                <w:szCs w:val="21"/>
              </w:rPr>
              <w:t xml:space="preserve">stnieje potrzeba wprowadzenia zwolnienia </w:t>
            </w:r>
            <w:r w:rsidR="00E2675B">
              <w:rPr>
                <w:rFonts w:ascii="Times New Roman" w:eastAsiaTheme="minorHAnsi" w:hAnsi="Times New Roman"/>
                <w:sz w:val="21"/>
                <w:szCs w:val="21"/>
              </w:rPr>
              <w:t xml:space="preserve">od podatku dochodowego </w:t>
            </w:r>
            <w:r w:rsidRPr="00EA79D0">
              <w:rPr>
                <w:rFonts w:ascii="Times New Roman" w:eastAsiaTheme="minorHAnsi" w:hAnsi="Times New Roman"/>
                <w:sz w:val="21"/>
                <w:szCs w:val="21"/>
              </w:rPr>
              <w:t>przychodów z tytułu</w:t>
            </w:r>
            <w:r w:rsidR="00B2628B">
              <w:rPr>
                <w:rFonts w:ascii="Times New Roman" w:eastAsiaTheme="minorHAnsi" w:hAnsi="Times New Roman"/>
                <w:sz w:val="21"/>
                <w:szCs w:val="21"/>
              </w:rPr>
              <w:t>:</w:t>
            </w:r>
          </w:p>
          <w:p w:rsidR="00EA79D0" w:rsidRPr="00CD4F17" w:rsidRDefault="00EA79D0" w:rsidP="00B2628B">
            <w:pPr>
              <w:pStyle w:val="Akapitzlist"/>
              <w:numPr>
                <w:ilvl w:val="0"/>
                <w:numId w:val="32"/>
              </w:numPr>
              <w:spacing w:after="120"/>
              <w:ind w:left="347" w:hanging="284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0B5DC4">
              <w:rPr>
                <w:rFonts w:ascii="Times New Roman" w:eastAsiaTheme="minorHAnsi" w:hAnsi="Times New Roman"/>
                <w:sz w:val="21"/>
                <w:szCs w:val="21"/>
              </w:rPr>
              <w:t xml:space="preserve">pomocy finansowej otrzymanej od Policji przez osoby przez nią chronione na podstawie ustawy z dnia 25 czerwca 1997 r. o świadku koronnym oraz ustawy z dnia 28 listopada 2014 r. o ochronie i pomocy dla pokrzywdzonego i świadka oraz </w:t>
            </w:r>
            <w:r w:rsidRPr="00CD4F17">
              <w:rPr>
                <w:rFonts w:ascii="Times New Roman" w:eastAsiaTheme="minorHAnsi" w:hAnsi="Times New Roman"/>
                <w:sz w:val="21"/>
                <w:szCs w:val="21"/>
              </w:rPr>
              <w:t>świadczeń o podobnym charakterze wypłacone w związku z ujawnieniem wobec organu powołanego do ścigania przestępstw informacji dotyczących osób uczestniczących w popełnieniu przestępstwa oraz istotnyc</w:t>
            </w:r>
            <w:r w:rsidR="00B2628B" w:rsidRPr="00CD4F17">
              <w:rPr>
                <w:rFonts w:ascii="Times New Roman" w:eastAsiaTheme="minorHAnsi" w:hAnsi="Times New Roman"/>
                <w:sz w:val="21"/>
                <w:szCs w:val="21"/>
              </w:rPr>
              <w:t>h okoliczności jego popełnienia,</w:t>
            </w:r>
          </w:p>
          <w:p w:rsidR="00B2628B" w:rsidRPr="00CD4F17" w:rsidRDefault="00B2628B" w:rsidP="00B2628B">
            <w:pPr>
              <w:pStyle w:val="Akapitzlist"/>
              <w:numPr>
                <w:ilvl w:val="0"/>
                <w:numId w:val="32"/>
              </w:numPr>
              <w:ind w:left="347" w:hanging="284"/>
              <w:jc w:val="both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CD4F17">
              <w:rPr>
                <w:rFonts w:ascii="Times New Roman" w:hAnsi="Times New Roman"/>
                <w:sz w:val="21"/>
                <w:szCs w:val="21"/>
                <w:lang w:eastAsia="pl-PL"/>
              </w:rPr>
              <w:t>umorzenia kwot zadłużenia dokonanego na postawie ustawy z dnia 30 listopada 1995 r. o pomocy państwa w spłacie niektórych kredytów mieszkaniowych, udzielaniu premii gwarancyjnych oraz refundacji wypłaconych przez bank premii gwarancyjnych.</w:t>
            </w:r>
          </w:p>
          <w:p w:rsidR="0025169D" w:rsidRPr="000D4ECE" w:rsidRDefault="00E43BEA" w:rsidP="00A219E9">
            <w:pPr>
              <w:spacing w:after="1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3BEA">
              <w:rPr>
                <w:rFonts w:ascii="Times New Roman" w:eastAsiaTheme="minorHAnsi" w:hAnsi="Times New Roman"/>
                <w:sz w:val="21"/>
                <w:szCs w:val="21"/>
              </w:rPr>
              <w:t>Pozostałe zmiany maj</w:t>
            </w:r>
            <w:r w:rsidR="00A219E9">
              <w:rPr>
                <w:rFonts w:ascii="Times New Roman" w:eastAsiaTheme="minorHAnsi" w:hAnsi="Times New Roman"/>
                <w:sz w:val="21"/>
                <w:szCs w:val="21"/>
              </w:rPr>
              <w:t>ą</w:t>
            </w:r>
            <w:r w:rsidRPr="00E43BEA">
              <w:rPr>
                <w:rFonts w:ascii="Times New Roman" w:eastAsiaTheme="minorHAnsi" w:hAnsi="Times New Roman"/>
                <w:sz w:val="21"/>
                <w:szCs w:val="21"/>
              </w:rPr>
              <w:t xml:space="preserve"> charakter precyzujący treść przepisów wprowadzanych ww. ustawą z dnia 27 października 2017 r.</w:t>
            </w:r>
            <w:r w:rsid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 i dotyczą</w:t>
            </w:r>
            <w:r w:rsidR="00747EC8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A45C20" w:rsidRPr="00747EC8">
              <w:rPr>
                <w:rFonts w:ascii="Times New Roman" w:eastAsiaTheme="minorHAnsi" w:hAnsi="Times New Roman"/>
                <w:sz w:val="21"/>
                <w:szCs w:val="21"/>
              </w:rPr>
              <w:t>podatku dochodow</w:t>
            </w:r>
            <w:r w:rsidR="00A45C20">
              <w:rPr>
                <w:rFonts w:ascii="Times New Roman" w:eastAsiaTheme="minorHAnsi" w:hAnsi="Times New Roman"/>
                <w:sz w:val="21"/>
                <w:szCs w:val="21"/>
              </w:rPr>
              <w:t>ego</w:t>
            </w:r>
            <w:r w:rsidR="00A45C20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 od osób fizycznych w zakresie 50% kosztów uzyskania przychodów dla twórców</w:t>
            </w:r>
            <w:r w:rsidR="00A45C20">
              <w:rPr>
                <w:rFonts w:ascii="Times New Roman" w:eastAsiaTheme="minorHAnsi" w:hAnsi="Times New Roman"/>
                <w:sz w:val="21"/>
                <w:szCs w:val="21"/>
              </w:rPr>
              <w:t xml:space="preserve"> oraz </w:t>
            </w:r>
            <w:r w:rsidR="00747EC8" w:rsidRPr="00747EC8">
              <w:rPr>
                <w:rFonts w:ascii="Times New Roman" w:eastAsiaTheme="minorHAnsi" w:hAnsi="Times New Roman"/>
                <w:sz w:val="21"/>
                <w:szCs w:val="21"/>
              </w:rPr>
              <w:t>podatku dochodow</w:t>
            </w:r>
            <w:r w:rsidR="00A45C20">
              <w:rPr>
                <w:rFonts w:ascii="Times New Roman" w:eastAsiaTheme="minorHAnsi" w:hAnsi="Times New Roman"/>
                <w:sz w:val="21"/>
                <w:szCs w:val="21"/>
              </w:rPr>
              <w:t>ego</w:t>
            </w:r>
            <w:r w:rsidR="00747EC8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 od osób prawnych w zakresie aportów</w:t>
            </w:r>
            <w:r w:rsidR="00A45C20">
              <w:rPr>
                <w:rFonts w:ascii="Times New Roman" w:eastAsiaTheme="minorHAnsi" w:hAnsi="Times New Roman"/>
                <w:sz w:val="21"/>
                <w:szCs w:val="21"/>
              </w:rPr>
              <w:t xml:space="preserve">. </w:t>
            </w:r>
          </w:p>
        </w:tc>
      </w:tr>
      <w:tr w:rsidR="006A701A" w:rsidRPr="00D77533" w:rsidTr="00D77533">
        <w:trPr>
          <w:trHeight w:val="1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:rsidR="006A701A" w:rsidRPr="00D77533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7533">
              <w:rPr>
                <w:rFonts w:ascii="Times New Roman" w:hAnsi="Times New Roman"/>
                <w:b/>
                <w:color w:val="000000"/>
              </w:rPr>
              <w:t>Rekomendowane rozwiązanie, w tym planowane narzędzia interwencji, i oczekiwany efekt</w:t>
            </w:r>
          </w:p>
        </w:tc>
      </w:tr>
      <w:tr w:rsidR="006A701A" w:rsidRPr="00D77533" w:rsidTr="00D77533">
        <w:trPr>
          <w:trHeight w:val="142"/>
        </w:trPr>
        <w:tc>
          <w:tcPr>
            <w:tcW w:w="10937" w:type="dxa"/>
            <w:gridSpan w:val="30"/>
            <w:shd w:val="clear" w:color="auto" w:fill="auto"/>
          </w:tcPr>
          <w:p w:rsidR="00E43BEA" w:rsidRPr="00747EC8" w:rsidRDefault="00FF1858" w:rsidP="00747EC8">
            <w:pPr>
              <w:spacing w:after="12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7EC8">
              <w:rPr>
                <w:rFonts w:ascii="Times New Roman" w:eastAsiaTheme="minorHAnsi" w:hAnsi="Times New Roman"/>
                <w:sz w:val="21"/>
                <w:szCs w:val="21"/>
              </w:rPr>
              <w:lastRenderedPageBreak/>
              <w:t xml:space="preserve">Niniejszy projekt </w:t>
            </w:r>
            <w:r w:rsidR="0025169D" w:rsidRPr="00747EC8">
              <w:rPr>
                <w:rFonts w:ascii="Times New Roman" w:eastAsiaTheme="minorHAnsi" w:hAnsi="Times New Roman"/>
                <w:sz w:val="21"/>
                <w:szCs w:val="21"/>
              </w:rPr>
              <w:t>zasadniczo</w:t>
            </w:r>
            <w:r w:rsidR="00E43BEA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 wprowadza zmiany w zakresie zasad dokonywania odpisów amortyzacyjnych od środków trwałych oraz wartości niematerialnych i prawnych nabytych w drodze darowizny</w:t>
            </w:r>
            <w:r w:rsidR="0095000B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9A4FB9" w:rsidRPr="00747EC8">
              <w:rPr>
                <w:rFonts w:ascii="Times New Roman" w:eastAsiaTheme="minorHAnsi" w:hAnsi="Times New Roman"/>
                <w:sz w:val="21"/>
                <w:szCs w:val="21"/>
              </w:rPr>
              <w:t>lub</w:t>
            </w:r>
            <w:r w:rsidR="0095000B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 spadk</w:t>
            </w:r>
            <w:r w:rsidR="009A4FB9" w:rsidRPr="00747EC8">
              <w:rPr>
                <w:rFonts w:ascii="Times New Roman" w:eastAsiaTheme="minorHAnsi" w:hAnsi="Times New Roman"/>
                <w:sz w:val="21"/>
                <w:szCs w:val="21"/>
              </w:rPr>
              <w:t>u</w:t>
            </w:r>
            <w:r w:rsidR="00E43BEA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. Projekt </w:t>
            </w:r>
            <w:r w:rsidR="009A4FB9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– </w:t>
            </w:r>
            <w:r w:rsidR="00E43BEA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w przypadku spadków </w:t>
            </w:r>
            <w:r w:rsidR="009A4FB9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– </w:t>
            </w:r>
            <w:r w:rsidR="00E43BEA" w:rsidRPr="00747EC8">
              <w:rPr>
                <w:rFonts w:ascii="Times New Roman" w:eastAsiaTheme="minorHAnsi" w:hAnsi="Times New Roman"/>
                <w:sz w:val="21"/>
                <w:szCs w:val="21"/>
              </w:rPr>
              <w:t>przywraca zasadę obowiązującą</w:t>
            </w:r>
            <w:r w:rsidR="008F5D30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 przed 1 stycznia 2018 r.</w:t>
            </w:r>
            <w:r w:rsidR="00E43BEA" w:rsidRPr="00747EC8">
              <w:rPr>
                <w:rFonts w:ascii="Times New Roman" w:eastAsiaTheme="minorHAnsi" w:hAnsi="Times New Roman"/>
                <w:sz w:val="21"/>
                <w:szCs w:val="21"/>
              </w:rPr>
              <w:t>, natomiast w zakresie darowizn – łagodzi regulację wprowadzoną ustawą z dnia 27</w:t>
            </w:r>
            <w:r w:rsidR="009A4FB9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 października </w:t>
            </w:r>
            <w:r w:rsidR="00E43BEA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2017 r. poprzez </w:t>
            </w:r>
            <w:r w:rsidR="009A4FB9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umożliwienie </w:t>
            </w:r>
            <w:r w:rsidR="00E43BEA" w:rsidRPr="00747EC8">
              <w:rPr>
                <w:rFonts w:ascii="Times New Roman" w:eastAsiaTheme="minorHAnsi" w:hAnsi="Times New Roman"/>
                <w:sz w:val="21"/>
                <w:szCs w:val="21"/>
              </w:rPr>
              <w:t>kontynuacj</w:t>
            </w:r>
            <w:r w:rsidR="009A4FB9" w:rsidRPr="00747EC8">
              <w:rPr>
                <w:rFonts w:ascii="Times New Roman" w:eastAsiaTheme="minorHAnsi" w:hAnsi="Times New Roman"/>
                <w:sz w:val="21"/>
                <w:szCs w:val="21"/>
              </w:rPr>
              <w:t>i</w:t>
            </w:r>
            <w:r w:rsidR="00E43BEA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 amortyzacji tych składników</w:t>
            </w:r>
            <w:r w:rsidR="009A4FB9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 majątku</w:t>
            </w:r>
            <w:r w:rsidR="00E43BEA" w:rsidRPr="00747EC8">
              <w:rPr>
                <w:rFonts w:ascii="Times New Roman" w:eastAsiaTheme="minorHAnsi" w:hAnsi="Times New Roman"/>
                <w:sz w:val="21"/>
                <w:szCs w:val="21"/>
              </w:rPr>
              <w:t>. Oznacza to, że obdarowany nie będzie określał na nowo wartości początkowej tych składników na dzień nabycia, ale przyjmie je w wartości określonej przez darczyńcę. Proponowana poprawka wychodzi naprzeciw oczekiwaniom firm rodzinnych</w:t>
            </w:r>
            <w:r w:rsidR="009A4FB9" w:rsidRPr="00747EC8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</w:p>
          <w:p w:rsidR="005D2B37" w:rsidRDefault="005D2B37" w:rsidP="005D2B37">
            <w:pPr>
              <w:spacing w:after="12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5D2B37">
              <w:rPr>
                <w:rFonts w:ascii="Times New Roman" w:eastAsiaTheme="minorHAnsi" w:hAnsi="Times New Roman"/>
                <w:sz w:val="21"/>
                <w:szCs w:val="21"/>
              </w:rPr>
              <w:t xml:space="preserve">Projekt ustawy ma 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również </w:t>
            </w:r>
            <w:r w:rsidRPr="005D2B37">
              <w:rPr>
                <w:rFonts w:ascii="Times New Roman" w:eastAsiaTheme="minorHAnsi" w:hAnsi="Times New Roman"/>
                <w:sz w:val="21"/>
                <w:szCs w:val="21"/>
              </w:rPr>
              <w:t>na celu zagwarantowanie jednolitego traktowania uczestników legalnych gier na automatach, grach w karty, grach w kości, grach cylindrycznych oraz w grach bingo pieniężne i fantowe niezależnie od podmiotu urządzającego grę. Zgodnie z projektowanymi rozwiązaniami całkowitemu zwolnieniu od podatku dochodowego od osób fizycznych będą podlegały wygrane w ww. grach urządzanych i prowadzonych przez uprawnione podmioty.</w:t>
            </w:r>
            <w:r w:rsid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Pr="005D2B37">
              <w:rPr>
                <w:rFonts w:ascii="Times New Roman" w:eastAsiaTheme="minorHAnsi" w:hAnsi="Times New Roman"/>
                <w:sz w:val="21"/>
                <w:szCs w:val="21"/>
              </w:rPr>
              <w:t xml:space="preserve">Efektem powyższych rozwiązań będzie zapewnienie, że uczestnicy ww. gier urządzanych przez spółkę wykonującą monopol państwa w tym zakresie będą traktowani w sposób identyczny jak uczestnicy gier urządzanych przez koncesjonowane kasyna gry (których sytuacja prawna nie ulegnie zmianie wobec dotychczas obowiązującego </w:t>
            </w:r>
            <w:r w:rsidR="008E1954">
              <w:rPr>
                <w:rFonts w:ascii="Times New Roman" w:eastAsiaTheme="minorHAnsi" w:hAnsi="Times New Roman"/>
                <w:sz w:val="21"/>
                <w:szCs w:val="21"/>
              </w:rPr>
              <w:t xml:space="preserve">do 31 grudnia 2017 r. </w:t>
            </w:r>
            <w:r w:rsidRPr="005D2B37">
              <w:rPr>
                <w:rFonts w:ascii="Times New Roman" w:eastAsiaTheme="minorHAnsi" w:hAnsi="Times New Roman"/>
                <w:sz w:val="21"/>
                <w:szCs w:val="21"/>
              </w:rPr>
              <w:t>stanu prawnego).</w:t>
            </w:r>
          </w:p>
          <w:p w:rsidR="00EA79D0" w:rsidRDefault="00EA79D0" w:rsidP="005D2B37">
            <w:pPr>
              <w:spacing w:after="12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EA79D0">
              <w:rPr>
                <w:rFonts w:ascii="Times New Roman" w:eastAsiaTheme="minorHAnsi" w:hAnsi="Times New Roman"/>
                <w:sz w:val="21"/>
                <w:szCs w:val="21"/>
              </w:rPr>
              <w:t xml:space="preserve">Wprowadzenie zwolnienia w podatku dochodowym od osób fizycznych przychodów z tytułu pomocy finansowej otrzymanej od Policji przez osoby przez nią chronione na podstawie ustawy z dnia 25 czerwca 1997 r. o świadku koronnym oraz ustawy z dnia 28 listopada 2014 r. o ochronie i pomocy dla pokrzywdzonego i świadka. Zwolnieniem zostaną objęte także inne świadczenia o podobnym charakterze wypłacone w związku z ujawnieniem wobec organu powołanego do ścigania przestępstw informacji dotyczących osób uczestniczących w popełnieniu przestępstwa oraz istotnych okoliczności jego popełnienia (art. 21 ust. 1 pkt </w:t>
            </w:r>
            <w:r w:rsidRPr="00747EC8">
              <w:rPr>
                <w:rFonts w:ascii="Times New Roman" w:eastAsiaTheme="minorHAnsi" w:hAnsi="Times New Roman"/>
                <w:sz w:val="21"/>
                <w:szCs w:val="21"/>
              </w:rPr>
              <w:t>83c ustawy o podatku dochodowym od osób fizycznych).</w:t>
            </w:r>
          </w:p>
          <w:p w:rsidR="00A219E9" w:rsidRPr="00602A16" w:rsidRDefault="006D484C" w:rsidP="00602A16">
            <w:pPr>
              <w:jc w:val="both"/>
              <w:rPr>
                <w:sz w:val="21"/>
                <w:szCs w:val="21"/>
              </w:rPr>
            </w:pPr>
            <w:r w:rsidRPr="00747EC8">
              <w:rPr>
                <w:rFonts w:ascii="Times New Roman" w:eastAsiaTheme="minorHAnsi" w:hAnsi="Times New Roman"/>
                <w:sz w:val="21"/>
                <w:szCs w:val="21"/>
              </w:rPr>
              <w:t>Z kolei zwolnienie z opodatkowania podatkiem dochodowym kwot zadłużenia podlegających umorzeniu na postawie ustawy z dnia 30 listopada 1995 r. o pomocy państwa w spłacie niektórych kredytów mieszkaniowych, udzielaniu premii gwarancyjnych oraz refundacji wypłaconych przez bank premii gwarancyjnych</w:t>
            </w:r>
            <w:r w:rsidR="000F1E68" w:rsidRPr="00747EC8">
              <w:rPr>
                <w:rFonts w:ascii="Times New Roman" w:eastAsiaTheme="minorHAnsi" w:hAnsi="Times New Roman"/>
                <w:sz w:val="21"/>
                <w:szCs w:val="21"/>
              </w:rPr>
              <w:t>,</w:t>
            </w:r>
            <w:r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 wzmacnia pomoc państwa kredytobiorcom</w:t>
            </w:r>
            <w:r w:rsidR="00A219E9" w:rsidRPr="00602A16">
              <w:rPr>
                <w:rFonts w:ascii="Times New Roman" w:hAnsi="Times New Roman"/>
                <w:bCs/>
                <w:sz w:val="21"/>
                <w:szCs w:val="21"/>
              </w:rPr>
              <w:t xml:space="preserve">(brak zwolnienia podatkowego </w:t>
            </w:r>
            <w:r w:rsidR="00A219E9" w:rsidRPr="00602A16">
              <w:rPr>
                <w:rFonts w:ascii="Times New Roman" w:hAnsi="Times New Roman"/>
                <w:bCs/>
                <w:sz w:val="21"/>
                <w:szCs w:val="21"/>
                <w:lang w:eastAsia="pl-PL"/>
              </w:rPr>
              <w:t>wypaczałoby tę pomoc</w:t>
            </w:r>
            <w:r w:rsidR="00A219E9" w:rsidRPr="00602A16">
              <w:rPr>
                <w:rFonts w:ascii="Times New Roman" w:hAnsi="Times New Roman"/>
                <w:bCs/>
                <w:sz w:val="21"/>
                <w:szCs w:val="21"/>
              </w:rPr>
              <w:t>).</w:t>
            </w:r>
          </w:p>
          <w:p w:rsidR="00A45C20" w:rsidRDefault="00A45C20" w:rsidP="00602A16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Natomiast c</w:t>
            </w:r>
            <w:r w:rsidRPr="00747EC8">
              <w:rPr>
                <w:rFonts w:ascii="Times New Roman" w:eastAsiaTheme="minorHAnsi" w:hAnsi="Times New Roman"/>
                <w:sz w:val="21"/>
                <w:szCs w:val="21"/>
              </w:rPr>
              <w:t>elem zmian zaproponowanych w ust. 9b art. 22 ustawy o podatku dochodowym od osób fizycznych jest uporządkowanie i dodanie dziedzin, w odniesieniu do których można zastosować 50% kosztów uzyskania przychodów. Przykładowo dodano dziedziny, w odniesieniu do których można zastosować 50% koszty uzyskania przychodów, tj. w zakresie inżynierii budowlanej, tłumaczeń, czy gier komputerowych.</w:t>
            </w:r>
          </w:p>
          <w:p w:rsidR="00824885" w:rsidRDefault="003C2BAC" w:rsidP="00602A16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Zmiana </w:t>
            </w:r>
            <w:r w:rsidR="00AC1035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w art. 2, dotycząca art. 12 ust. 1 pkt 7 ustawy o </w:t>
            </w:r>
            <w:r w:rsidR="009A4FB9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podatku dochodowym od osób prawnych </w:t>
            </w:r>
            <w:r w:rsidRPr="00747EC8">
              <w:rPr>
                <w:rFonts w:ascii="Times New Roman" w:eastAsiaTheme="minorHAnsi" w:hAnsi="Times New Roman"/>
                <w:sz w:val="21"/>
                <w:szCs w:val="21"/>
              </w:rPr>
              <w:t>zmierza do wyeliminowani</w:t>
            </w:r>
            <w:r w:rsidR="009A4FB9" w:rsidRPr="00747EC8">
              <w:rPr>
                <w:rFonts w:ascii="Times New Roman" w:eastAsiaTheme="minorHAnsi" w:hAnsi="Times New Roman"/>
                <w:sz w:val="21"/>
                <w:szCs w:val="21"/>
              </w:rPr>
              <w:t>a</w:t>
            </w:r>
            <w:r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9A4FB9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niepożądanej </w:t>
            </w:r>
            <w:r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interpretacji </w:t>
            </w:r>
            <w:r w:rsidR="00AC1035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tego </w:t>
            </w:r>
            <w:r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przepisu, zgodnie z którą opodatkowaniu miałoby podlegać wnoszenie do spółek wkładów pieniężnych. Z uwagi na to, że nowelizacja z </w:t>
            </w:r>
            <w:r w:rsidR="009A4FB9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dnia </w:t>
            </w:r>
            <w:r w:rsidRPr="00747EC8">
              <w:rPr>
                <w:rFonts w:ascii="Times New Roman" w:eastAsiaTheme="minorHAnsi" w:hAnsi="Times New Roman"/>
                <w:sz w:val="21"/>
                <w:szCs w:val="21"/>
              </w:rPr>
              <w:t>27</w:t>
            </w:r>
            <w:r w:rsidR="009A4FB9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 października </w:t>
            </w:r>
            <w:r w:rsidR="006D484C" w:rsidRPr="00747EC8">
              <w:rPr>
                <w:rFonts w:ascii="Times New Roman" w:eastAsiaTheme="minorHAnsi" w:hAnsi="Times New Roman"/>
                <w:sz w:val="21"/>
                <w:szCs w:val="21"/>
              </w:rPr>
              <w:t>2017 r. Nie miała na celu osiągnięcia takiego skutku (tj. Opodatkowania wkładów pieniężnych)</w:t>
            </w:r>
            <w:r w:rsidR="009A4FB9" w:rsidRPr="00747EC8">
              <w:rPr>
                <w:rFonts w:ascii="Times New Roman" w:eastAsiaTheme="minorHAnsi" w:hAnsi="Times New Roman"/>
                <w:sz w:val="21"/>
                <w:szCs w:val="21"/>
              </w:rPr>
              <w:t>,</w:t>
            </w:r>
            <w:r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 w projekcie proponuje się zapis jednoznacznie wskazujący, iż zakres stosowania art. 12 ust. 1 pkt 7 ustawy o </w:t>
            </w:r>
            <w:r w:rsidR="009A4FB9" w:rsidRPr="00747EC8">
              <w:rPr>
                <w:rFonts w:ascii="Times New Roman" w:eastAsiaTheme="minorHAnsi" w:hAnsi="Times New Roman"/>
                <w:sz w:val="21"/>
                <w:szCs w:val="21"/>
              </w:rPr>
              <w:t xml:space="preserve">podatku dochodowym od osób prawnych </w:t>
            </w:r>
            <w:r w:rsidRPr="00747EC8">
              <w:rPr>
                <w:rFonts w:ascii="Times New Roman" w:eastAsiaTheme="minorHAnsi" w:hAnsi="Times New Roman"/>
                <w:sz w:val="21"/>
                <w:szCs w:val="21"/>
              </w:rPr>
              <w:t>odnosi się wyłącznie do wnoszenia wkładów niepieniężnych.</w:t>
            </w:r>
            <w:r w:rsidRPr="003C2BA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</w:p>
          <w:p w:rsidR="00747EC8" w:rsidRPr="008852AA" w:rsidRDefault="00747EC8" w:rsidP="00747EC8">
            <w:pPr>
              <w:spacing w:before="12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</w:tr>
      <w:tr w:rsidR="006A701A" w:rsidRPr="00D77533" w:rsidTr="00D77533">
        <w:trPr>
          <w:trHeight w:val="307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:rsidR="006A701A" w:rsidRPr="00D77533" w:rsidRDefault="009E3C4B" w:rsidP="00D77533">
            <w:pPr>
              <w:keepNext/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7533">
              <w:rPr>
                <w:rFonts w:ascii="Times New Roman" w:hAnsi="Times New Roman"/>
                <w:b/>
              </w:rPr>
              <w:t>Jak problem został rozwiązany w innych krajach, w szczególności krajach członkowskich OECD/UE</w:t>
            </w:r>
            <w:r w:rsidR="006A701A" w:rsidRPr="00D77533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D7753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D77533" w:rsidTr="00D77533">
        <w:trPr>
          <w:trHeight w:val="142"/>
        </w:trPr>
        <w:tc>
          <w:tcPr>
            <w:tcW w:w="10937" w:type="dxa"/>
            <w:gridSpan w:val="30"/>
            <w:shd w:val="clear" w:color="auto" w:fill="auto"/>
          </w:tcPr>
          <w:p w:rsidR="005D2B37" w:rsidRDefault="00EA79D0" w:rsidP="004B1C32">
            <w:pPr>
              <w:keepNext/>
              <w:spacing w:before="6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79D0">
              <w:rPr>
                <w:rFonts w:ascii="Times New Roman" w:hAnsi="Times New Roman"/>
                <w:sz w:val="21"/>
                <w:szCs w:val="21"/>
              </w:rPr>
              <w:t>W odniesieniu do kwestii podatkowego traktowania odpisów amortyzacyjnych od środków trwałych lub wartości niematerialnych i prawnych nabytych w drodze  spadku lub darowizny z uwagi na fakt, iż obszar ten nie jest objęty harmonizacją na szczeblu Unii Europejskiej</w:t>
            </w:r>
            <w:r w:rsidR="009A4FB9">
              <w:rPr>
                <w:rFonts w:ascii="Times New Roman" w:hAnsi="Times New Roman"/>
                <w:sz w:val="21"/>
                <w:szCs w:val="21"/>
              </w:rPr>
              <w:t>,</w:t>
            </w:r>
            <w:r w:rsidRPr="00EA79D0">
              <w:rPr>
                <w:rFonts w:ascii="Times New Roman" w:hAnsi="Times New Roman"/>
                <w:sz w:val="21"/>
                <w:szCs w:val="21"/>
              </w:rPr>
              <w:t xml:space="preserve"> każde z państw członkowskich może autonomicznie kształtować treść regulacji krajowych w tym zakresie</w:t>
            </w:r>
            <w:r w:rsidR="005D2B37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EE3891" w:rsidRPr="00EE20CA" w:rsidRDefault="005D2B37" w:rsidP="004B1C32">
            <w:pPr>
              <w:keepNext/>
              <w:spacing w:before="6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2B37">
              <w:rPr>
                <w:rFonts w:ascii="Times New Roman" w:hAnsi="Times New Roman"/>
                <w:sz w:val="21"/>
                <w:szCs w:val="21"/>
              </w:rPr>
              <w:t>Podatki dochodowe od osób fizycznych cechuje znaczna różnorodność rozwiązań w zakresie wygranych w grach hazardowych. W przypadku państw Unii Europejskiej wielorakość konstrukcji prawnych stosowanych w sferze opodatkowania wygranych wynika z ograniczonego zakresu harmonizacji podatków dochodowych oraz pozostawienia władztwa w zakresie regulacji rynku gier hazardowych w gestii państw członkowskich</w:t>
            </w:r>
          </w:p>
        </w:tc>
      </w:tr>
      <w:tr w:rsidR="006A701A" w:rsidRPr="00D77533" w:rsidTr="00D77533">
        <w:trPr>
          <w:trHeight w:val="359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:rsidR="006A701A" w:rsidRPr="00D77533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7533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D77533" w:rsidTr="00D77533">
        <w:trPr>
          <w:trHeight w:val="142"/>
        </w:trPr>
        <w:tc>
          <w:tcPr>
            <w:tcW w:w="2411" w:type="dxa"/>
            <w:gridSpan w:val="4"/>
            <w:shd w:val="clear" w:color="auto" w:fill="auto"/>
          </w:tcPr>
          <w:p w:rsidR="00260F33" w:rsidRPr="00EE20CA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20CA">
              <w:rPr>
                <w:rFonts w:ascii="Times New Roman" w:hAnsi="Times New Roman"/>
                <w:color w:val="000000"/>
                <w:sz w:val="21"/>
                <w:szCs w:val="21"/>
              </w:rPr>
              <w:t>Grupa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260F33" w:rsidRPr="00EE20CA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20CA">
              <w:rPr>
                <w:rFonts w:ascii="Times New Roman" w:hAnsi="Times New Roman"/>
                <w:color w:val="000000"/>
                <w:sz w:val="21"/>
                <w:szCs w:val="21"/>
              </w:rPr>
              <w:t>Wielkość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260F33" w:rsidRPr="00EE20CA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20CA">
              <w:rPr>
                <w:rFonts w:ascii="Times New Roman" w:hAnsi="Times New Roman"/>
                <w:color w:val="000000"/>
                <w:sz w:val="21"/>
                <w:szCs w:val="21"/>
              </w:rPr>
              <w:t>Źródło danych</w:t>
            </w:r>
            <w:r w:rsidRPr="00EE20CA" w:rsidDel="00260F3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41" w:type="dxa"/>
            <w:gridSpan w:val="14"/>
            <w:shd w:val="clear" w:color="auto" w:fill="auto"/>
          </w:tcPr>
          <w:p w:rsidR="00260F33" w:rsidRPr="00EE20CA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20CA">
              <w:rPr>
                <w:rFonts w:ascii="Times New Roman" w:hAnsi="Times New Roman"/>
                <w:color w:val="000000"/>
                <w:sz w:val="21"/>
                <w:szCs w:val="21"/>
              </w:rPr>
              <w:t>Oddziaływanie</w:t>
            </w:r>
          </w:p>
        </w:tc>
      </w:tr>
      <w:tr w:rsidR="005D2B37" w:rsidRPr="00D77533" w:rsidTr="00D77533">
        <w:trPr>
          <w:trHeight w:val="142"/>
        </w:trPr>
        <w:tc>
          <w:tcPr>
            <w:tcW w:w="2411" w:type="dxa"/>
            <w:gridSpan w:val="4"/>
            <w:shd w:val="clear" w:color="auto" w:fill="auto"/>
          </w:tcPr>
          <w:p w:rsidR="005D2B37" w:rsidRPr="00CD4F17" w:rsidRDefault="005D2B37" w:rsidP="00CA66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 xml:space="preserve">Podmioty prowadzące kasyna gry (urządzające gry cylindryczne, gry w karty, w kości i gry na automatach) 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5D2B37" w:rsidRPr="00CD4F17" w:rsidRDefault="005D2B37" w:rsidP="00CA66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5D2B37" w:rsidRPr="00CD4F17" w:rsidRDefault="005D2B37" w:rsidP="00CA66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>dane własne Ministerstwa Finansów</w:t>
            </w:r>
          </w:p>
        </w:tc>
        <w:tc>
          <w:tcPr>
            <w:tcW w:w="4841" w:type="dxa"/>
            <w:gridSpan w:val="14"/>
            <w:shd w:val="clear" w:color="auto" w:fill="auto"/>
          </w:tcPr>
          <w:p w:rsidR="005D2B37" w:rsidRPr="00CD4F17" w:rsidRDefault="005D2B37" w:rsidP="003E490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 xml:space="preserve">Wygrane uzyskane w grach kasynowych urządzanych przez koncesjonowane kasyna gry będą zwolnione z podatku dochodowego od osób fizycznych. W efekcie na podmioty te nie będą wykonywały obowiązków związanych z obliczaniem i pobieraniem tej daniny. </w:t>
            </w:r>
          </w:p>
        </w:tc>
      </w:tr>
      <w:tr w:rsidR="005D2B37" w:rsidRPr="00D77533" w:rsidTr="00D77533">
        <w:trPr>
          <w:trHeight w:val="142"/>
        </w:trPr>
        <w:tc>
          <w:tcPr>
            <w:tcW w:w="2411" w:type="dxa"/>
            <w:gridSpan w:val="4"/>
            <w:shd w:val="clear" w:color="auto" w:fill="auto"/>
          </w:tcPr>
          <w:p w:rsidR="005D2B37" w:rsidRPr="00CD4F17" w:rsidRDefault="005D2B37" w:rsidP="00CA66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 xml:space="preserve">Jednoosobowa spółka Skarbu Państwa, wykonująca monopol państwa na prowadzenie </w:t>
            </w:r>
            <w:r w:rsidRPr="00CD4F17">
              <w:rPr>
                <w:rFonts w:ascii="Times New Roman" w:hAnsi="Times New Roman"/>
                <w:sz w:val="20"/>
                <w:szCs w:val="20"/>
              </w:rPr>
              <w:lastRenderedPageBreak/>
              <w:t>działalności w zakresie niektórych gier hazardowych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5D2B37" w:rsidRPr="00CD4F17" w:rsidRDefault="005D2B37" w:rsidP="00CA66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5D2B37" w:rsidRPr="00CD4F17" w:rsidRDefault="005D2B37" w:rsidP="00CA66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>dane własne Ministerstwa Finansów</w:t>
            </w:r>
          </w:p>
        </w:tc>
        <w:tc>
          <w:tcPr>
            <w:tcW w:w="4841" w:type="dxa"/>
            <w:gridSpan w:val="14"/>
            <w:shd w:val="clear" w:color="auto" w:fill="auto"/>
          </w:tcPr>
          <w:p w:rsidR="005D2B37" w:rsidRPr="00CD4F17" w:rsidRDefault="005D2B37" w:rsidP="003E490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 xml:space="preserve">Wygrane uzyskane w grach kasynowych urządzanych  przez spółkę wykonującą monopol państwa w tym zakresie zostaną zwolnione z podatku dochodowego od osób fizycznych. W efekcie podmiot ten nie będzie musiał </w:t>
            </w:r>
            <w:r w:rsidRPr="00CD4F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realizować obowiązków związanych z obliczaniem i pobieraniem tej daniny. </w:t>
            </w:r>
          </w:p>
        </w:tc>
      </w:tr>
      <w:tr w:rsidR="005D2B37" w:rsidRPr="00D77533" w:rsidTr="00D77533">
        <w:trPr>
          <w:trHeight w:val="142"/>
        </w:trPr>
        <w:tc>
          <w:tcPr>
            <w:tcW w:w="2411" w:type="dxa"/>
            <w:gridSpan w:val="4"/>
            <w:shd w:val="clear" w:color="auto" w:fill="auto"/>
          </w:tcPr>
          <w:p w:rsidR="005D2B37" w:rsidRPr="00CD4F17" w:rsidRDefault="005D2B37" w:rsidP="00CA66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lastRenderedPageBreak/>
              <w:t>Uczestnicy gier na automatach, gier w karty, gier w kości, gier cylindrycznych oraz gier bingo pieniężne i fantowe urządzanych na podstawie zezwolenia lub koncesji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5D2B37" w:rsidRPr="00CD4F17" w:rsidRDefault="005D2B37" w:rsidP="00CA66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>dane trudne do oszacowania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5D2B37" w:rsidRPr="00CD4F17" w:rsidRDefault="005D2B37" w:rsidP="00CA66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  <w:gridSpan w:val="14"/>
            <w:shd w:val="clear" w:color="auto" w:fill="auto"/>
          </w:tcPr>
          <w:p w:rsidR="005D2B37" w:rsidRPr="00CD4F17" w:rsidRDefault="005D2B37" w:rsidP="003E490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 xml:space="preserve">Wszystkie wygrane uzyskane w grach na automatach, grach w karty, grach w kości, grach cylindrycznych oraz w grach bingo pieniężne i fantowe urządzanych na podstawie zezwolenia lub koncesji, niezależnie od podmiotu urządzającego grę, będą zwolnione z podatku dochodowego od osób fizycznych. </w:t>
            </w:r>
          </w:p>
        </w:tc>
      </w:tr>
      <w:tr w:rsidR="00E34351" w:rsidRPr="00D77533" w:rsidTr="00D77533">
        <w:trPr>
          <w:trHeight w:val="142"/>
        </w:trPr>
        <w:tc>
          <w:tcPr>
            <w:tcW w:w="2411" w:type="dxa"/>
            <w:gridSpan w:val="4"/>
            <w:shd w:val="clear" w:color="auto" w:fill="auto"/>
          </w:tcPr>
          <w:p w:rsidR="00E34351" w:rsidRPr="00CD4F17" w:rsidRDefault="00E34351" w:rsidP="00CA66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>Podatnicy podatku dochodowego od osób prawnych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E34351" w:rsidRPr="00CD4F17" w:rsidRDefault="00E34351" w:rsidP="006A78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>0,</w:t>
            </w:r>
            <w:r w:rsidR="006A789D" w:rsidRPr="00CD4F17">
              <w:rPr>
                <w:rFonts w:ascii="Times New Roman" w:hAnsi="Times New Roman"/>
                <w:sz w:val="20"/>
                <w:szCs w:val="20"/>
              </w:rPr>
              <w:t>5</w:t>
            </w:r>
            <w:r w:rsidRPr="00CD4F17">
              <w:rPr>
                <w:rFonts w:ascii="Times New Roman" w:hAnsi="Times New Roman"/>
                <w:sz w:val="20"/>
                <w:szCs w:val="20"/>
              </w:rPr>
              <w:t xml:space="preserve"> mln podatników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E34351" w:rsidRPr="00CD4F17" w:rsidRDefault="00E34351" w:rsidP="00CA66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>MF</w:t>
            </w:r>
          </w:p>
        </w:tc>
        <w:tc>
          <w:tcPr>
            <w:tcW w:w="4841" w:type="dxa"/>
            <w:gridSpan w:val="14"/>
            <w:shd w:val="clear" w:color="auto" w:fill="auto"/>
          </w:tcPr>
          <w:p w:rsidR="00E34351" w:rsidRPr="00CD4F17" w:rsidRDefault="0099169F" w:rsidP="003E490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>Większa pewność prowadzenia działalności w wyniku doprecyzowania przepisów</w:t>
            </w:r>
          </w:p>
        </w:tc>
      </w:tr>
      <w:tr w:rsidR="0099169F" w:rsidRPr="00D77533" w:rsidTr="00D77533">
        <w:trPr>
          <w:trHeight w:val="142"/>
        </w:trPr>
        <w:tc>
          <w:tcPr>
            <w:tcW w:w="2411" w:type="dxa"/>
            <w:gridSpan w:val="4"/>
            <w:shd w:val="clear" w:color="auto" w:fill="auto"/>
          </w:tcPr>
          <w:p w:rsidR="0099169F" w:rsidRPr="00CD4F17" w:rsidRDefault="0099169F" w:rsidP="009936D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 xml:space="preserve">Podatnicy podatku dochodowego od osób fizycznych </w:t>
            </w:r>
            <w:r w:rsidR="009936DF" w:rsidRPr="00CD4F17">
              <w:rPr>
                <w:rFonts w:ascii="Times New Roman" w:hAnsi="Times New Roman"/>
                <w:sz w:val="20"/>
                <w:szCs w:val="20"/>
              </w:rPr>
              <w:t xml:space="preserve">uzyskujący przychody z </w:t>
            </w:r>
            <w:r w:rsidR="006A789D" w:rsidRPr="00CD4F17">
              <w:rPr>
                <w:rFonts w:ascii="Times New Roman" w:hAnsi="Times New Roman"/>
                <w:sz w:val="20"/>
                <w:szCs w:val="20"/>
              </w:rPr>
              <w:t>prowadz</w:t>
            </w:r>
            <w:r w:rsidR="009936DF" w:rsidRPr="00CD4F17">
              <w:rPr>
                <w:rFonts w:ascii="Times New Roman" w:hAnsi="Times New Roman"/>
                <w:sz w:val="20"/>
                <w:szCs w:val="20"/>
              </w:rPr>
              <w:t>onej</w:t>
            </w:r>
            <w:r w:rsidR="006A789D" w:rsidRPr="00CD4F17">
              <w:rPr>
                <w:rFonts w:ascii="Times New Roman" w:hAnsi="Times New Roman"/>
                <w:sz w:val="20"/>
                <w:szCs w:val="20"/>
              </w:rPr>
              <w:t xml:space="preserve"> działalnoś</w:t>
            </w:r>
            <w:r w:rsidR="009936DF" w:rsidRPr="00CD4F17">
              <w:rPr>
                <w:rFonts w:ascii="Times New Roman" w:hAnsi="Times New Roman"/>
                <w:sz w:val="20"/>
                <w:szCs w:val="20"/>
              </w:rPr>
              <w:t xml:space="preserve">ci </w:t>
            </w:r>
            <w:r w:rsidR="006A789D" w:rsidRPr="00CD4F17">
              <w:rPr>
                <w:rFonts w:ascii="Times New Roman" w:hAnsi="Times New Roman"/>
                <w:sz w:val="20"/>
                <w:szCs w:val="20"/>
              </w:rPr>
              <w:t>gospodarcz</w:t>
            </w:r>
            <w:r w:rsidR="009936DF" w:rsidRPr="00CD4F17">
              <w:rPr>
                <w:rFonts w:ascii="Times New Roman" w:hAnsi="Times New Roman"/>
                <w:sz w:val="20"/>
                <w:szCs w:val="20"/>
              </w:rPr>
              <w:t>ej</w:t>
            </w:r>
            <w:r w:rsidR="006A789D" w:rsidRPr="00CD4F17">
              <w:rPr>
                <w:rFonts w:ascii="Times New Roman" w:hAnsi="Times New Roman"/>
                <w:sz w:val="20"/>
                <w:szCs w:val="20"/>
              </w:rPr>
              <w:t>, dzia</w:t>
            </w:r>
            <w:r w:rsidR="009936DF" w:rsidRPr="00CD4F17">
              <w:rPr>
                <w:rFonts w:ascii="Times New Roman" w:hAnsi="Times New Roman"/>
                <w:sz w:val="20"/>
                <w:szCs w:val="20"/>
              </w:rPr>
              <w:t>łów specjalnych</w:t>
            </w:r>
            <w:r w:rsidR="006A789D" w:rsidRPr="00CD4F17">
              <w:rPr>
                <w:rFonts w:ascii="Times New Roman" w:hAnsi="Times New Roman"/>
                <w:sz w:val="20"/>
                <w:szCs w:val="20"/>
              </w:rPr>
              <w:t xml:space="preserve"> produkcji rolnej oraz najmu</w:t>
            </w:r>
            <w:r w:rsidR="00A704EF" w:rsidRPr="00CD4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789D" w:rsidRPr="00CD4F17">
              <w:rPr>
                <w:rFonts w:ascii="Times New Roman" w:hAnsi="Times New Roman"/>
                <w:sz w:val="20"/>
                <w:szCs w:val="20"/>
              </w:rPr>
              <w:t>opodatkowan</w:t>
            </w:r>
            <w:r w:rsidR="009936DF" w:rsidRPr="00CD4F17">
              <w:rPr>
                <w:rFonts w:ascii="Times New Roman" w:hAnsi="Times New Roman"/>
                <w:sz w:val="20"/>
                <w:szCs w:val="20"/>
              </w:rPr>
              <w:t>i</w:t>
            </w:r>
            <w:r w:rsidR="00BC1DE0" w:rsidRPr="00CD4F17">
              <w:rPr>
                <w:rFonts w:ascii="Times New Roman" w:hAnsi="Times New Roman"/>
                <w:sz w:val="20"/>
                <w:szCs w:val="20"/>
              </w:rPr>
              <w:t xml:space="preserve"> na zasadach ogólnych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99169F" w:rsidRPr="00CD4F17" w:rsidRDefault="00BC1DE0" w:rsidP="006A78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>1,</w:t>
            </w:r>
            <w:r w:rsidR="006A789D" w:rsidRPr="00CD4F17">
              <w:rPr>
                <w:rFonts w:ascii="Times New Roman" w:hAnsi="Times New Roman"/>
                <w:sz w:val="20"/>
                <w:szCs w:val="20"/>
              </w:rPr>
              <w:t>9</w:t>
            </w:r>
            <w:r w:rsidRPr="00CD4F17">
              <w:rPr>
                <w:rFonts w:ascii="Times New Roman" w:hAnsi="Times New Roman"/>
                <w:sz w:val="20"/>
                <w:szCs w:val="20"/>
              </w:rPr>
              <w:t xml:space="preserve"> mln podatników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99169F" w:rsidRPr="00CD4F17" w:rsidRDefault="0099169F" w:rsidP="00CA66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>MF</w:t>
            </w:r>
          </w:p>
        </w:tc>
        <w:tc>
          <w:tcPr>
            <w:tcW w:w="4841" w:type="dxa"/>
            <w:gridSpan w:val="14"/>
            <w:shd w:val="clear" w:color="auto" w:fill="auto"/>
          </w:tcPr>
          <w:p w:rsidR="0099169F" w:rsidRPr="00CD4F17" w:rsidRDefault="0099169F" w:rsidP="003E490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>Większa pewność prowadzenia działalności w wyniku doprecyzowania przepisów</w:t>
            </w:r>
          </w:p>
        </w:tc>
      </w:tr>
      <w:tr w:rsidR="0099169F" w:rsidRPr="00D77533" w:rsidTr="00D77533">
        <w:trPr>
          <w:trHeight w:val="142"/>
        </w:trPr>
        <w:tc>
          <w:tcPr>
            <w:tcW w:w="2411" w:type="dxa"/>
            <w:gridSpan w:val="4"/>
            <w:shd w:val="clear" w:color="auto" w:fill="auto"/>
          </w:tcPr>
          <w:p w:rsidR="0099169F" w:rsidRPr="00CD4F17" w:rsidRDefault="00A704EF" w:rsidP="006A789D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 xml:space="preserve">Podatnicy podatku dochodowego od osób fizycznych </w:t>
            </w:r>
            <w:r w:rsidR="009936DF" w:rsidRPr="00CD4F17">
              <w:rPr>
                <w:rFonts w:ascii="Times New Roman" w:hAnsi="Times New Roman"/>
                <w:sz w:val="20"/>
                <w:szCs w:val="20"/>
              </w:rPr>
              <w:t>uzyskujący</w:t>
            </w:r>
            <w:r w:rsidR="006A789D" w:rsidRPr="00CD4F17">
              <w:rPr>
                <w:rFonts w:ascii="Times New Roman" w:hAnsi="Times New Roman"/>
                <w:sz w:val="20"/>
                <w:szCs w:val="20"/>
              </w:rPr>
              <w:t xml:space="preserve"> przychody z prowadzonej działalności gospodarczej oraz  najmu opodatkowan</w:t>
            </w:r>
            <w:r w:rsidR="009936DF" w:rsidRPr="00CD4F17">
              <w:rPr>
                <w:rFonts w:ascii="Times New Roman" w:hAnsi="Times New Roman"/>
                <w:sz w:val="20"/>
                <w:szCs w:val="20"/>
              </w:rPr>
              <w:t>i</w:t>
            </w:r>
            <w:r w:rsidR="002C54E7" w:rsidRPr="00CD4F17">
              <w:rPr>
                <w:rFonts w:ascii="Times New Roman" w:hAnsi="Times New Roman"/>
                <w:sz w:val="20"/>
                <w:szCs w:val="20"/>
              </w:rPr>
              <w:t xml:space="preserve"> w formie ryczałtu od przychodów ewidencjonowanych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99169F" w:rsidRPr="00CD4F17" w:rsidRDefault="006A789D" w:rsidP="006A78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>1</w:t>
            </w:r>
            <w:r w:rsidR="002C54E7" w:rsidRPr="00CD4F17">
              <w:rPr>
                <w:rFonts w:ascii="Times New Roman" w:hAnsi="Times New Roman"/>
                <w:sz w:val="20"/>
                <w:szCs w:val="20"/>
              </w:rPr>
              <w:t xml:space="preserve"> mln podatników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99169F" w:rsidRPr="00CD4F17" w:rsidRDefault="00A704EF" w:rsidP="00CA66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>MF</w:t>
            </w:r>
          </w:p>
        </w:tc>
        <w:tc>
          <w:tcPr>
            <w:tcW w:w="4841" w:type="dxa"/>
            <w:gridSpan w:val="14"/>
            <w:shd w:val="clear" w:color="auto" w:fill="auto"/>
          </w:tcPr>
          <w:p w:rsidR="0099169F" w:rsidRPr="00CD4F17" w:rsidRDefault="00A704EF" w:rsidP="003E490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>Większa pewność prowadzenia działalności w wyniku doprecyzowania przepisów</w:t>
            </w:r>
          </w:p>
        </w:tc>
      </w:tr>
      <w:tr w:rsidR="004E4E73" w:rsidRPr="00D77533" w:rsidTr="00D77533">
        <w:trPr>
          <w:trHeight w:val="142"/>
        </w:trPr>
        <w:tc>
          <w:tcPr>
            <w:tcW w:w="2411" w:type="dxa"/>
            <w:gridSpan w:val="4"/>
            <w:shd w:val="clear" w:color="auto" w:fill="auto"/>
          </w:tcPr>
          <w:p w:rsidR="004E4E73" w:rsidRPr="00CD4F17" w:rsidRDefault="004E4E73" w:rsidP="004E4E73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z w:val="20"/>
                <w:szCs w:val="20"/>
              </w:rPr>
              <w:t>Podatnicy podatku dochodowego od osób prawnych i podatku dochodowego od osób fizycznych – spółdzielnie mieszkaniowe/osoby fizyczne, które zaciągnęły kredyt mieszkaniowy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4E4E73" w:rsidRPr="00CD4F17" w:rsidRDefault="004E4E73" w:rsidP="004E4E73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pacing w:val="-2"/>
                <w:sz w:val="20"/>
                <w:szCs w:val="20"/>
              </w:rPr>
              <w:t>Umorzenie dotyczy ok. 50 tys. mieszkań objętych kredytem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4E4E73" w:rsidRPr="00CD4F17" w:rsidRDefault="004E4E73" w:rsidP="004E4E73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pacing w:val="-2"/>
                <w:sz w:val="20"/>
                <w:szCs w:val="20"/>
              </w:rPr>
              <w:t>Dane uzyskane z PKO BP</w:t>
            </w:r>
          </w:p>
        </w:tc>
        <w:tc>
          <w:tcPr>
            <w:tcW w:w="4841" w:type="dxa"/>
            <w:gridSpan w:val="14"/>
            <w:shd w:val="clear" w:color="auto" w:fill="auto"/>
          </w:tcPr>
          <w:p w:rsidR="004E4E73" w:rsidRPr="00CD4F17" w:rsidRDefault="004E4E73" w:rsidP="004E4E73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D4F17">
              <w:rPr>
                <w:rFonts w:ascii="Times New Roman" w:hAnsi="Times New Roman"/>
                <w:spacing w:val="-2"/>
                <w:sz w:val="20"/>
                <w:szCs w:val="20"/>
              </w:rPr>
              <w:t>Pozytywne - obniżenie obciążeń podatkowych</w:t>
            </w:r>
          </w:p>
        </w:tc>
      </w:tr>
      <w:tr w:rsidR="006A701A" w:rsidRPr="00D77533" w:rsidTr="00D77533">
        <w:trPr>
          <w:trHeight w:val="30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:rsidR="006A701A" w:rsidRPr="00D77533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7533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D77533">
              <w:rPr>
                <w:rFonts w:ascii="Times New Roman" w:hAnsi="Times New Roman"/>
                <w:b/>
                <w:color w:val="000000"/>
              </w:rPr>
              <w:t>,</w:t>
            </w:r>
            <w:r w:rsidRPr="00D77533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D77533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D77533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D77533" w:rsidTr="00D77533">
        <w:trPr>
          <w:trHeight w:val="342"/>
        </w:trPr>
        <w:tc>
          <w:tcPr>
            <w:tcW w:w="10937" w:type="dxa"/>
            <w:gridSpan w:val="30"/>
            <w:shd w:val="clear" w:color="auto" w:fill="FFFFFF"/>
          </w:tcPr>
          <w:p w:rsidR="00DB4DEC" w:rsidRPr="00EE20CA" w:rsidRDefault="00384386" w:rsidP="00DB4DEC">
            <w:pPr>
              <w:spacing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E20CA">
              <w:rPr>
                <w:rFonts w:ascii="Times New Roman" w:hAnsi="Times New Roman"/>
                <w:sz w:val="21"/>
                <w:szCs w:val="21"/>
              </w:rPr>
              <w:t>Nie prowadzono konsultacji poprzedzających przygotowanie projektu.</w:t>
            </w:r>
            <w:r w:rsidR="00DB4DEC" w:rsidRPr="00EE20C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A701A" w:rsidRPr="00507789" w:rsidRDefault="00DB4DEC" w:rsidP="0050778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CA">
              <w:rPr>
                <w:rFonts w:ascii="Times New Roman" w:hAnsi="Times New Roman"/>
                <w:sz w:val="21"/>
                <w:szCs w:val="21"/>
              </w:rPr>
              <w:t>Zgodnie z art. 5 ustawy z dnia 7 lipca 2005 r. o działalności lobbingowej w procesie stanowienia prawa (Dz. U. z 2017 r. poz. 248</w:t>
            </w:r>
            <w:r w:rsidR="00780323">
              <w:rPr>
                <w:rFonts w:ascii="Times New Roman" w:hAnsi="Times New Roman"/>
                <w:sz w:val="21"/>
                <w:szCs w:val="21"/>
              </w:rPr>
              <w:t>), oraz do § 52 ust. 1 uchwały n</w:t>
            </w:r>
            <w:r w:rsidRPr="00EE20CA">
              <w:rPr>
                <w:rFonts w:ascii="Times New Roman" w:hAnsi="Times New Roman"/>
                <w:sz w:val="21"/>
                <w:szCs w:val="21"/>
              </w:rPr>
              <w:t xml:space="preserve">r 190 Rady Ministrów z dnia 29 października 2013 r. </w:t>
            </w:r>
            <w:r w:rsidR="00EA79D0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EE20CA">
              <w:rPr>
                <w:rFonts w:ascii="Times New Roman" w:hAnsi="Times New Roman"/>
                <w:sz w:val="21"/>
                <w:szCs w:val="21"/>
              </w:rPr>
              <w:t>Regulamin pracy Rady Ministrów (M.P. z 2016 r. poz. 1006 i 1204) proje</w:t>
            </w:r>
            <w:r w:rsidR="00BE46E9" w:rsidRPr="00EE20CA">
              <w:rPr>
                <w:rFonts w:ascii="Times New Roman" w:hAnsi="Times New Roman"/>
                <w:sz w:val="21"/>
                <w:szCs w:val="21"/>
              </w:rPr>
              <w:t>kt ustawy został udostępniony w </w:t>
            </w:r>
            <w:r w:rsidRPr="00EE20CA">
              <w:rPr>
                <w:rFonts w:ascii="Times New Roman" w:hAnsi="Times New Roman"/>
                <w:sz w:val="21"/>
                <w:szCs w:val="21"/>
              </w:rPr>
              <w:t>Biuletynie Informacji Publicznej na stronie podmiotowej Rządowego Centrum Legislacji, w serwisie Rządowy Proces Legislacyjny.</w:t>
            </w:r>
          </w:p>
        </w:tc>
      </w:tr>
      <w:tr w:rsidR="006A701A" w:rsidRPr="00D77533" w:rsidTr="00D77533">
        <w:trPr>
          <w:trHeight w:val="36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:rsidR="006A701A" w:rsidRPr="00D77533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7533">
              <w:rPr>
                <w:rFonts w:ascii="Times New Roman" w:hAnsi="Times New Roman"/>
                <w:b/>
                <w:color w:val="000000"/>
              </w:rPr>
              <w:t>Wpływ na sektor finansów publicznych</w:t>
            </w:r>
          </w:p>
        </w:tc>
      </w:tr>
      <w:tr w:rsidR="00260F33" w:rsidRPr="00D77533" w:rsidTr="00D77533">
        <w:trPr>
          <w:trHeight w:val="142"/>
        </w:trPr>
        <w:tc>
          <w:tcPr>
            <w:tcW w:w="2269" w:type="dxa"/>
            <w:gridSpan w:val="3"/>
            <w:vMerge w:val="restart"/>
            <w:shd w:val="clear" w:color="auto" w:fill="FFFFFF"/>
          </w:tcPr>
          <w:p w:rsidR="00260F33" w:rsidRPr="00D77533" w:rsidRDefault="00260F33" w:rsidP="004E4E73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8668" w:type="dxa"/>
            <w:gridSpan w:val="27"/>
            <w:shd w:val="clear" w:color="auto" w:fill="FFFFFF"/>
          </w:tcPr>
          <w:p w:rsidR="00260F33" w:rsidRPr="00D77533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D77533" w:rsidTr="00D77533">
        <w:trPr>
          <w:trHeight w:val="142"/>
        </w:trPr>
        <w:tc>
          <w:tcPr>
            <w:tcW w:w="2269" w:type="dxa"/>
            <w:gridSpan w:val="3"/>
            <w:vMerge/>
            <w:shd w:val="clear" w:color="auto" w:fill="FFFFFF"/>
          </w:tcPr>
          <w:p w:rsidR="0057668E" w:rsidRPr="00D77533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824" w:type="dxa"/>
            <w:gridSpan w:val="2"/>
            <w:shd w:val="clear" w:color="auto" w:fill="FFFFFF"/>
          </w:tcPr>
          <w:p w:rsidR="0057668E" w:rsidRPr="00D77533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:rsidR="0057668E" w:rsidRPr="00D77533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83" w:type="dxa"/>
            <w:gridSpan w:val="3"/>
            <w:shd w:val="clear" w:color="auto" w:fill="FFFFFF"/>
          </w:tcPr>
          <w:p w:rsidR="0057668E" w:rsidRPr="00D77533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83" w:type="dxa"/>
            <w:gridSpan w:val="3"/>
            <w:shd w:val="clear" w:color="auto" w:fill="FFFFFF"/>
          </w:tcPr>
          <w:p w:rsidR="0057668E" w:rsidRPr="00D77533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83" w:type="dxa"/>
            <w:gridSpan w:val="2"/>
            <w:shd w:val="clear" w:color="auto" w:fill="FFFFFF"/>
          </w:tcPr>
          <w:p w:rsidR="0057668E" w:rsidRPr="00D77533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683" w:type="dxa"/>
            <w:gridSpan w:val="2"/>
            <w:shd w:val="clear" w:color="auto" w:fill="FFFFFF"/>
          </w:tcPr>
          <w:p w:rsidR="0057668E" w:rsidRPr="00D77533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83" w:type="dxa"/>
            <w:gridSpan w:val="3"/>
            <w:shd w:val="clear" w:color="auto" w:fill="FFFFFF"/>
          </w:tcPr>
          <w:p w:rsidR="0057668E" w:rsidRPr="00D77533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683" w:type="dxa"/>
            <w:gridSpan w:val="3"/>
            <w:shd w:val="clear" w:color="auto" w:fill="FFFFFF"/>
          </w:tcPr>
          <w:p w:rsidR="0057668E" w:rsidRPr="00D77533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683" w:type="dxa"/>
            <w:shd w:val="clear" w:color="auto" w:fill="FFFFFF"/>
          </w:tcPr>
          <w:p w:rsidR="0057668E" w:rsidRPr="00D77533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683" w:type="dxa"/>
            <w:gridSpan w:val="2"/>
            <w:shd w:val="clear" w:color="auto" w:fill="FFFFFF"/>
          </w:tcPr>
          <w:p w:rsidR="0057668E" w:rsidRPr="00D77533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683" w:type="dxa"/>
            <w:gridSpan w:val="2"/>
            <w:shd w:val="clear" w:color="auto" w:fill="FFFFFF"/>
          </w:tcPr>
          <w:p w:rsidR="0057668E" w:rsidRPr="00D77533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14" w:type="dxa"/>
            <w:gridSpan w:val="2"/>
            <w:shd w:val="clear" w:color="auto" w:fill="FFFFFF"/>
          </w:tcPr>
          <w:p w:rsidR="00620A5D" w:rsidRPr="00D77533" w:rsidRDefault="0057668E" w:rsidP="00620A5D">
            <w:pPr>
              <w:spacing w:before="40" w:after="40" w:line="240" w:lineRule="auto"/>
              <w:ind w:left="-108" w:right="-8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Łącznie</w:t>
            </w:r>
            <w:r w:rsidR="00CF5F4F"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:rsidR="0057668E" w:rsidRPr="00D77533" w:rsidRDefault="00CF5F4F" w:rsidP="00620A5D">
            <w:pPr>
              <w:spacing w:before="40" w:after="40" w:line="240" w:lineRule="auto"/>
              <w:ind w:left="-108" w:right="-8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(0</w:t>
            </w:r>
            <w:r w:rsidR="00CF2CB1"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10)</w:t>
            </w:r>
          </w:p>
        </w:tc>
      </w:tr>
      <w:tr w:rsidR="004E4E73" w:rsidRPr="00D77533" w:rsidTr="00283A15">
        <w:trPr>
          <w:gridAfter w:val="1"/>
          <w:wAfter w:w="21" w:type="dxa"/>
          <w:trHeight w:val="321"/>
        </w:trPr>
        <w:tc>
          <w:tcPr>
            <w:tcW w:w="2269" w:type="dxa"/>
            <w:gridSpan w:val="3"/>
            <w:shd w:val="clear" w:color="auto" w:fill="FFFFFF"/>
            <w:vAlign w:val="center"/>
          </w:tcPr>
          <w:p w:rsidR="004E4E73" w:rsidRPr="00D77533" w:rsidRDefault="004E4E73" w:rsidP="004E4E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824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spacing w:line="240" w:lineRule="auto"/>
              <w:jc w:val="right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-515,6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-33,9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-23,1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-7,8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-7,7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-7,7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-7,7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-7,7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-7,7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-618,9</w:t>
            </w:r>
          </w:p>
        </w:tc>
      </w:tr>
      <w:tr w:rsidR="004E4E73" w:rsidRPr="00D77533" w:rsidTr="00283A15">
        <w:trPr>
          <w:gridAfter w:val="1"/>
          <w:wAfter w:w="21" w:type="dxa"/>
          <w:trHeight w:val="321"/>
        </w:trPr>
        <w:tc>
          <w:tcPr>
            <w:tcW w:w="2269" w:type="dxa"/>
            <w:gridSpan w:val="3"/>
            <w:shd w:val="clear" w:color="auto" w:fill="FFFFFF"/>
            <w:vAlign w:val="center"/>
          </w:tcPr>
          <w:p w:rsidR="004E4E73" w:rsidRPr="00D77533" w:rsidRDefault="004E4E73" w:rsidP="004E4E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24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-397,7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-25,4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-17,7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-6,0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-5,9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-5,9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-5,9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-5,9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-5,9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-476,3</w:t>
            </w:r>
          </w:p>
        </w:tc>
      </w:tr>
      <w:tr w:rsidR="004E4E73" w:rsidRPr="00D77533" w:rsidTr="00283A15">
        <w:trPr>
          <w:gridAfter w:val="1"/>
          <w:wAfter w:w="21" w:type="dxa"/>
          <w:trHeight w:val="344"/>
        </w:trPr>
        <w:tc>
          <w:tcPr>
            <w:tcW w:w="2269" w:type="dxa"/>
            <w:gridSpan w:val="3"/>
            <w:shd w:val="clear" w:color="auto" w:fill="FFFFFF"/>
            <w:vAlign w:val="center"/>
          </w:tcPr>
          <w:p w:rsidR="004E4E73" w:rsidRPr="00D77533" w:rsidRDefault="004E4E73" w:rsidP="004E4E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24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-117,9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-8,5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-5,4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-1,8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-1,8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-1,8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-1,8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-1,8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-1,8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-142,6</w:t>
            </w:r>
          </w:p>
        </w:tc>
      </w:tr>
      <w:tr w:rsidR="00D26ED2" w:rsidRPr="00D77533" w:rsidTr="00D77533">
        <w:trPr>
          <w:gridAfter w:val="1"/>
          <w:wAfter w:w="21" w:type="dxa"/>
          <w:trHeight w:val="344"/>
        </w:trPr>
        <w:tc>
          <w:tcPr>
            <w:tcW w:w="2269" w:type="dxa"/>
            <w:gridSpan w:val="3"/>
            <w:shd w:val="clear" w:color="auto" w:fill="FFFFFF"/>
            <w:vAlign w:val="center"/>
          </w:tcPr>
          <w:p w:rsidR="00D26ED2" w:rsidRPr="00D77533" w:rsidRDefault="00D26ED2" w:rsidP="00D26E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24" w:type="dxa"/>
            <w:gridSpan w:val="2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b/>
              </w:rPr>
            </w:pPr>
          </w:p>
        </w:tc>
      </w:tr>
      <w:tr w:rsidR="00D305DD" w:rsidRPr="00D77533" w:rsidTr="00D77533">
        <w:trPr>
          <w:gridAfter w:val="1"/>
          <w:wAfter w:w="21" w:type="dxa"/>
          <w:trHeight w:val="330"/>
        </w:trPr>
        <w:tc>
          <w:tcPr>
            <w:tcW w:w="2269" w:type="dxa"/>
            <w:gridSpan w:val="3"/>
            <w:shd w:val="clear" w:color="auto" w:fill="FFFFFF"/>
            <w:vAlign w:val="center"/>
          </w:tcPr>
          <w:p w:rsidR="00D305DD" w:rsidRPr="00D77533" w:rsidRDefault="00D305DD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824" w:type="dxa"/>
            <w:gridSpan w:val="2"/>
            <w:shd w:val="clear" w:color="auto" w:fill="FFFFFF"/>
            <w:vAlign w:val="center"/>
          </w:tcPr>
          <w:p w:rsidR="00D305DD" w:rsidRPr="00356610" w:rsidRDefault="00D305DD" w:rsidP="002804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D305DD" w:rsidRPr="00356610" w:rsidRDefault="00D305DD" w:rsidP="002804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D305DD" w:rsidRPr="00356610" w:rsidRDefault="00D305DD" w:rsidP="002804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D305DD" w:rsidRPr="00356610" w:rsidRDefault="00D305DD" w:rsidP="002804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D305DD" w:rsidRPr="00356610" w:rsidRDefault="00D305DD" w:rsidP="002804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D305DD" w:rsidRPr="00356610" w:rsidRDefault="00D305DD" w:rsidP="002804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D305DD" w:rsidRPr="00356610" w:rsidRDefault="00D305DD" w:rsidP="002804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D305DD" w:rsidRPr="00356610" w:rsidRDefault="00D305DD" w:rsidP="002804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D305DD" w:rsidRPr="00356610" w:rsidRDefault="00D305DD" w:rsidP="002804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D305DD" w:rsidRPr="00356610" w:rsidRDefault="00D305DD" w:rsidP="002804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D305DD" w:rsidRPr="00356610" w:rsidRDefault="00D305DD" w:rsidP="002804C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05DD" w:rsidRPr="00356610" w:rsidRDefault="00D305DD" w:rsidP="002804C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5DD" w:rsidRPr="00D77533" w:rsidTr="00D77533">
        <w:trPr>
          <w:gridAfter w:val="1"/>
          <w:wAfter w:w="21" w:type="dxa"/>
          <w:trHeight w:val="330"/>
        </w:trPr>
        <w:tc>
          <w:tcPr>
            <w:tcW w:w="2269" w:type="dxa"/>
            <w:gridSpan w:val="3"/>
            <w:shd w:val="clear" w:color="auto" w:fill="FFFFFF"/>
            <w:vAlign w:val="center"/>
          </w:tcPr>
          <w:p w:rsidR="00D305DD" w:rsidRPr="00D77533" w:rsidRDefault="00D305DD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24" w:type="dxa"/>
            <w:gridSpan w:val="2"/>
            <w:shd w:val="clear" w:color="auto" w:fill="FFFFFF"/>
            <w:vAlign w:val="bottom"/>
          </w:tcPr>
          <w:p w:rsidR="00D305DD" w:rsidRPr="00356610" w:rsidRDefault="00D305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  <w:vAlign w:val="bottom"/>
          </w:tcPr>
          <w:p w:rsidR="00D305DD" w:rsidRPr="00356610" w:rsidRDefault="00D305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shd w:val="clear" w:color="auto" w:fill="FFFFFF"/>
            <w:vAlign w:val="bottom"/>
          </w:tcPr>
          <w:p w:rsidR="00D305DD" w:rsidRPr="00356610" w:rsidRDefault="00D305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shd w:val="clear" w:color="auto" w:fill="FFFFFF"/>
            <w:vAlign w:val="bottom"/>
          </w:tcPr>
          <w:p w:rsidR="00D305DD" w:rsidRPr="00356610" w:rsidRDefault="00D305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  <w:vAlign w:val="bottom"/>
          </w:tcPr>
          <w:p w:rsidR="00D305DD" w:rsidRPr="00356610" w:rsidRDefault="00D305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  <w:vAlign w:val="bottom"/>
          </w:tcPr>
          <w:p w:rsidR="00D305DD" w:rsidRPr="00356610" w:rsidRDefault="00D305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shd w:val="clear" w:color="auto" w:fill="FFFFFF"/>
            <w:vAlign w:val="bottom"/>
          </w:tcPr>
          <w:p w:rsidR="00D305DD" w:rsidRPr="00356610" w:rsidRDefault="00D305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shd w:val="clear" w:color="auto" w:fill="FFFFFF"/>
            <w:vAlign w:val="bottom"/>
          </w:tcPr>
          <w:p w:rsidR="00D305DD" w:rsidRPr="00356610" w:rsidRDefault="00D305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  <w:vAlign w:val="bottom"/>
          </w:tcPr>
          <w:p w:rsidR="00D305DD" w:rsidRPr="00356610" w:rsidRDefault="00D305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  <w:vAlign w:val="bottom"/>
          </w:tcPr>
          <w:p w:rsidR="00D305DD" w:rsidRPr="00356610" w:rsidRDefault="00D305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  <w:vAlign w:val="bottom"/>
          </w:tcPr>
          <w:p w:rsidR="00D305DD" w:rsidRPr="00356610" w:rsidRDefault="00D305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bottom"/>
          </w:tcPr>
          <w:p w:rsidR="00D305DD" w:rsidRPr="00356610" w:rsidRDefault="00D305DD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05DD" w:rsidRPr="00D77533" w:rsidTr="00D77533">
        <w:trPr>
          <w:gridAfter w:val="1"/>
          <w:wAfter w:w="21" w:type="dxa"/>
          <w:trHeight w:val="351"/>
        </w:trPr>
        <w:tc>
          <w:tcPr>
            <w:tcW w:w="2269" w:type="dxa"/>
            <w:gridSpan w:val="3"/>
            <w:shd w:val="clear" w:color="auto" w:fill="FFFFFF"/>
            <w:vAlign w:val="center"/>
          </w:tcPr>
          <w:p w:rsidR="00D305DD" w:rsidRPr="00D77533" w:rsidRDefault="00D305DD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24" w:type="dxa"/>
            <w:gridSpan w:val="2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gridSpan w:val="3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gridSpan w:val="3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gridSpan w:val="3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gridSpan w:val="3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305DD" w:rsidRPr="00D77533" w:rsidTr="00D77533">
        <w:trPr>
          <w:gridAfter w:val="1"/>
          <w:wAfter w:w="21" w:type="dxa"/>
          <w:trHeight w:val="351"/>
        </w:trPr>
        <w:tc>
          <w:tcPr>
            <w:tcW w:w="2269" w:type="dxa"/>
            <w:gridSpan w:val="3"/>
            <w:shd w:val="clear" w:color="auto" w:fill="FFFFFF"/>
            <w:vAlign w:val="center"/>
          </w:tcPr>
          <w:p w:rsidR="00D305DD" w:rsidRPr="00D77533" w:rsidRDefault="00D305DD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24" w:type="dxa"/>
            <w:gridSpan w:val="2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gridSpan w:val="3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gridSpan w:val="3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gridSpan w:val="3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gridSpan w:val="3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:rsidR="00D305DD" w:rsidRPr="00356610" w:rsidRDefault="00D305DD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E4E73" w:rsidRPr="00D77533" w:rsidTr="006C05CA">
        <w:trPr>
          <w:gridAfter w:val="1"/>
          <w:wAfter w:w="21" w:type="dxa"/>
          <w:trHeight w:val="360"/>
        </w:trPr>
        <w:tc>
          <w:tcPr>
            <w:tcW w:w="2269" w:type="dxa"/>
            <w:gridSpan w:val="3"/>
            <w:shd w:val="clear" w:color="auto" w:fill="FFFFFF"/>
            <w:vAlign w:val="center"/>
          </w:tcPr>
          <w:p w:rsidR="004E4E73" w:rsidRPr="00D77533" w:rsidRDefault="004E4E73" w:rsidP="004E4E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Saldo ogółem</w:t>
            </w:r>
          </w:p>
        </w:tc>
        <w:tc>
          <w:tcPr>
            <w:tcW w:w="824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spacing w:line="240" w:lineRule="auto"/>
              <w:jc w:val="right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-515,6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-33,9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-23,1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-7,8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-7,7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-7,7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-7,7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-7,7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-7,7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356610">
              <w:rPr>
                <w:rFonts w:cs="Calibri"/>
                <w:b/>
                <w:bCs/>
                <w:sz w:val="16"/>
                <w:szCs w:val="16"/>
              </w:rPr>
              <w:t>-618,9</w:t>
            </w:r>
          </w:p>
        </w:tc>
      </w:tr>
      <w:tr w:rsidR="004E4E73" w:rsidRPr="00D77533" w:rsidTr="006C05CA">
        <w:trPr>
          <w:gridAfter w:val="1"/>
          <w:wAfter w:w="21" w:type="dxa"/>
          <w:trHeight w:val="360"/>
        </w:trPr>
        <w:tc>
          <w:tcPr>
            <w:tcW w:w="2269" w:type="dxa"/>
            <w:gridSpan w:val="3"/>
            <w:shd w:val="clear" w:color="auto" w:fill="FFFFFF"/>
            <w:vAlign w:val="center"/>
          </w:tcPr>
          <w:p w:rsidR="004E4E73" w:rsidRPr="00D77533" w:rsidRDefault="004E4E73" w:rsidP="004E4E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24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-397,7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-25,4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-17,7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-6,0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-5,9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-5,9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-5,9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-5,9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-5,9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-476,3</w:t>
            </w:r>
          </w:p>
        </w:tc>
      </w:tr>
      <w:tr w:rsidR="004E4E73" w:rsidRPr="00D77533" w:rsidTr="006C05CA">
        <w:trPr>
          <w:gridAfter w:val="1"/>
          <w:wAfter w:w="21" w:type="dxa"/>
          <w:trHeight w:val="357"/>
        </w:trPr>
        <w:tc>
          <w:tcPr>
            <w:tcW w:w="2269" w:type="dxa"/>
            <w:gridSpan w:val="3"/>
            <w:shd w:val="clear" w:color="auto" w:fill="FFFFFF"/>
            <w:vAlign w:val="center"/>
          </w:tcPr>
          <w:p w:rsidR="004E4E73" w:rsidRPr="00D77533" w:rsidRDefault="004E4E73" w:rsidP="004E4E7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24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-117,9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-8,5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-5,4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-1,8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-1,8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-1,8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-1,8</w:t>
            </w:r>
          </w:p>
        </w:tc>
        <w:tc>
          <w:tcPr>
            <w:tcW w:w="683" w:type="dxa"/>
            <w:gridSpan w:val="3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-1,8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-1,8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683" w:type="dxa"/>
            <w:gridSpan w:val="2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E4E73" w:rsidRPr="00356610" w:rsidRDefault="004E4E73" w:rsidP="004E4E73">
            <w:pPr>
              <w:jc w:val="right"/>
              <w:rPr>
                <w:rFonts w:cs="Calibri"/>
                <w:sz w:val="16"/>
                <w:szCs w:val="16"/>
              </w:rPr>
            </w:pPr>
            <w:r w:rsidRPr="00356610">
              <w:rPr>
                <w:rFonts w:cs="Calibri"/>
                <w:sz w:val="16"/>
                <w:szCs w:val="16"/>
              </w:rPr>
              <w:t>-142,6</w:t>
            </w:r>
          </w:p>
        </w:tc>
      </w:tr>
      <w:tr w:rsidR="00D26ED2" w:rsidRPr="00D77533" w:rsidTr="00D77533">
        <w:trPr>
          <w:gridAfter w:val="1"/>
          <w:wAfter w:w="21" w:type="dxa"/>
          <w:trHeight w:val="357"/>
        </w:trPr>
        <w:tc>
          <w:tcPr>
            <w:tcW w:w="2269" w:type="dxa"/>
            <w:gridSpan w:val="3"/>
            <w:shd w:val="clear" w:color="auto" w:fill="FFFFFF"/>
            <w:vAlign w:val="center"/>
          </w:tcPr>
          <w:p w:rsidR="00D26ED2" w:rsidRPr="00D77533" w:rsidRDefault="00D26ED2" w:rsidP="00D26E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24" w:type="dxa"/>
            <w:gridSpan w:val="2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26ED2" w:rsidRPr="00356610" w:rsidRDefault="00D26ED2" w:rsidP="00D26ED2">
            <w:pPr>
              <w:jc w:val="right"/>
              <w:rPr>
                <w:b/>
              </w:rPr>
            </w:pPr>
          </w:p>
        </w:tc>
      </w:tr>
      <w:tr w:rsidR="00D305DD" w:rsidRPr="00D77533" w:rsidTr="00D77533">
        <w:trPr>
          <w:gridAfter w:val="1"/>
          <w:wAfter w:w="21" w:type="dxa"/>
          <w:trHeight w:val="348"/>
        </w:trPr>
        <w:tc>
          <w:tcPr>
            <w:tcW w:w="2269" w:type="dxa"/>
            <w:gridSpan w:val="3"/>
            <w:shd w:val="clear" w:color="auto" w:fill="FFFFFF"/>
            <w:vAlign w:val="center"/>
          </w:tcPr>
          <w:p w:rsidR="00D305DD" w:rsidRPr="00D77533" w:rsidRDefault="00D305DD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47" w:type="dxa"/>
            <w:gridSpan w:val="26"/>
            <w:shd w:val="clear" w:color="auto" w:fill="FFFFFF"/>
            <w:vAlign w:val="center"/>
          </w:tcPr>
          <w:p w:rsidR="00D305DD" w:rsidRPr="00356610" w:rsidRDefault="00D305DD" w:rsidP="00B37C80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305DD" w:rsidRPr="00D77533" w:rsidTr="00D77533">
        <w:trPr>
          <w:gridAfter w:val="1"/>
          <w:wAfter w:w="21" w:type="dxa"/>
          <w:trHeight w:val="1926"/>
        </w:trPr>
        <w:tc>
          <w:tcPr>
            <w:tcW w:w="2269" w:type="dxa"/>
            <w:gridSpan w:val="3"/>
            <w:shd w:val="clear" w:color="auto" w:fill="FFFFFF"/>
          </w:tcPr>
          <w:p w:rsidR="00D305DD" w:rsidRPr="00D77533" w:rsidRDefault="00D305DD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47" w:type="dxa"/>
            <w:gridSpan w:val="26"/>
            <w:shd w:val="clear" w:color="auto" w:fill="FFFFFF"/>
          </w:tcPr>
          <w:p w:rsidR="004E4E73" w:rsidRPr="00747EC8" w:rsidRDefault="004E4E73" w:rsidP="004E4E73">
            <w:pPr>
              <w:pStyle w:val="Akapitzlist"/>
              <w:spacing w:after="160" w:line="259" w:lineRule="auto"/>
              <w:ind w:left="5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7EC8">
              <w:rPr>
                <w:rFonts w:ascii="Times New Roman" w:hAnsi="Times New Roman"/>
                <w:sz w:val="21"/>
                <w:szCs w:val="21"/>
              </w:rPr>
              <w:t xml:space="preserve">Oceniając skutki finansowe </w:t>
            </w:r>
            <w:r w:rsidR="00B339CE" w:rsidRPr="00747EC8">
              <w:rPr>
                <w:rFonts w:ascii="Times New Roman" w:hAnsi="Times New Roman"/>
                <w:sz w:val="21"/>
                <w:szCs w:val="21"/>
              </w:rPr>
              <w:t>z</w:t>
            </w:r>
            <w:r w:rsidR="00B339CE" w:rsidRPr="00747EC8">
              <w:rPr>
                <w:rFonts w:ascii="Times New Roman" w:hAnsi="Times New Roman"/>
                <w:sz w:val="21"/>
                <w:szCs w:val="21"/>
                <w:lang w:eastAsia="pl-PL"/>
              </w:rPr>
              <w:t>wolnienia z opodatkowania podatkiem dochodowym kwot zadłużenia podlegających umorzeniu na postawie ustawy z dnia 30 listopada 1995 r. o pomocy państwa w spłacie niektórych kredytów mieszkaniowych, udzielaniu premii gwarancyjnych oraz refundacji wypłaconych przez bank premii gwarancyjnych</w:t>
            </w:r>
            <w:r w:rsidR="00B339CE" w:rsidRPr="00747EC8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747EC8">
              <w:rPr>
                <w:rFonts w:ascii="Times New Roman" w:hAnsi="Times New Roman"/>
                <w:sz w:val="21"/>
                <w:szCs w:val="21"/>
              </w:rPr>
              <w:t xml:space="preserve">wykorzystano dane PKO BP dotyczące szacowanej wartości umorzeń zobowiązań związanych ze „starymi kredytami mieszkaniowymi” w latach 2018-2026. Projekt obejmuje dodatkowo i niejako „na wyrost” rok 2027, gdyż nie można wykluczyć sytuacji złożenia wniosku w sprawie umorzenia w grudniu 2026 r., który to wniosek zostanie rozpatrzony w 2027 r. </w:t>
            </w:r>
          </w:p>
          <w:p w:rsidR="004E4E73" w:rsidRPr="00747EC8" w:rsidRDefault="004E4E73" w:rsidP="004E4E73">
            <w:pPr>
              <w:pStyle w:val="Akapitzlist"/>
              <w:spacing w:after="160" w:line="259" w:lineRule="auto"/>
              <w:ind w:left="5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7EC8">
              <w:rPr>
                <w:rFonts w:ascii="Times New Roman" w:hAnsi="Times New Roman"/>
                <w:sz w:val="21"/>
                <w:szCs w:val="21"/>
              </w:rPr>
              <w:t>Szczegółowe informacje przedstawia poniższa tabela.</w:t>
            </w:r>
          </w:p>
          <w:tbl>
            <w:tblPr>
              <w:tblW w:w="8285" w:type="dxa"/>
              <w:tblBorders>
                <w:top w:val="single" w:sz="4" w:space="0" w:color="9CC2E5"/>
                <w:left w:val="single" w:sz="4" w:space="0" w:color="9CC2E5"/>
                <w:bottom w:val="single" w:sz="4" w:space="0" w:color="9CC2E5"/>
                <w:right w:val="single" w:sz="4" w:space="0" w:color="9CC2E5"/>
                <w:insideH w:val="single" w:sz="4" w:space="0" w:color="9CC2E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4"/>
              <w:gridCol w:w="1701"/>
              <w:gridCol w:w="1560"/>
              <w:gridCol w:w="1350"/>
            </w:tblGrid>
            <w:tr w:rsidR="00356610" w:rsidRPr="00356610" w:rsidTr="00F24B9D">
              <w:trPr>
                <w:trHeight w:val="631"/>
              </w:trPr>
              <w:tc>
                <w:tcPr>
                  <w:tcW w:w="3674" w:type="dxa"/>
                  <w:vMerge w:val="restart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</w:tcBorders>
                  <w:shd w:val="clear" w:color="auto" w:fill="5B9BD5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4611" w:type="dxa"/>
                  <w:gridSpan w:val="3"/>
                  <w:tcBorders>
                    <w:top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5B9BD5"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Szacowane umorzenie z art.10 a </w:t>
                  </w:r>
                  <w:r w:rsidRPr="0035661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(w całym okresie 2018-2026)</w:t>
                  </w:r>
                </w:p>
                <w:p w:rsidR="004E4E73" w:rsidRPr="00356610" w:rsidRDefault="004E4E73" w:rsidP="004E4E73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[ w mln zł ]</w:t>
                  </w:r>
                </w:p>
              </w:tc>
            </w:tr>
            <w:tr w:rsidR="00356610" w:rsidRPr="00356610" w:rsidTr="00F24B9D">
              <w:trPr>
                <w:trHeight w:val="860"/>
              </w:trPr>
              <w:tc>
                <w:tcPr>
                  <w:tcW w:w="3674" w:type="dxa"/>
                  <w:vMerge/>
                  <w:shd w:val="clear" w:color="auto" w:fill="DEEAF6"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DEEAF6"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odsetki skapitalizowane</w:t>
                  </w:r>
                </w:p>
              </w:tc>
              <w:tc>
                <w:tcPr>
                  <w:tcW w:w="1560" w:type="dxa"/>
                  <w:shd w:val="clear" w:color="auto" w:fill="DEEAF6"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odsetki przejściowo wykupione</w:t>
                  </w:r>
                </w:p>
              </w:tc>
              <w:tc>
                <w:tcPr>
                  <w:tcW w:w="1350" w:type="dxa"/>
                  <w:shd w:val="clear" w:color="auto" w:fill="DEEAF6"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</w:tr>
            <w:tr w:rsidR="00356610" w:rsidRPr="00356610" w:rsidTr="00F24B9D">
              <w:trPr>
                <w:trHeight w:val="268"/>
              </w:trPr>
              <w:tc>
                <w:tcPr>
                  <w:tcW w:w="3674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spółdzielnie mieszkaniowe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502,0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3 600,0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4 102,0</w:t>
                  </w:r>
                </w:p>
              </w:tc>
            </w:tr>
            <w:tr w:rsidR="00356610" w:rsidRPr="00356610" w:rsidTr="00F24B9D">
              <w:trPr>
                <w:trHeight w:val="268"/>
              </w:trPr>
              <w:tc>
                <w:tcPr>
                  <w:tcW w:w="3674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osoby fizyczne</w:t>
                  </w:r>
                </w:p>
              </w:tc>
              <w:tc>
                <w:tcPr>
                  <w:tcW w:w="1701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0,7</w:t>
                  </w:r>
                </w:p>
              </w:tc>
              <w:tc>
                <w:tcPr>
                  <w:tcW w:w="1560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19,0</w:t>
                  </w:r>
                </w:p>
              </w:tc>
              <w:tc>
                <w:tcPr>
                  <w:tcW w:w="1350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19,7</w:t>
                  </w:r>
                </w:p>
              </w:tc>
            </w:tr>
            <w:tr w:rsidR="00356610" w:rsidRPr="00356610" w:rsidTr="00F24B9D">
              <w:trPr>
                <w:trHeight w:val="268"/>
              </w:trPr>
              <w:tc>
                <w:tcPr>
                  <w:tcW w:w="3674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502,7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3 619,0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4 121,7</w:t>
                  </w:r>
                </w:p>
              </w:tc>
            </w:tr>
            <w:tr w:rsidR="00356610" w:rsidRPr="00356610" w:rsidTr="00F24B9D">
              <w:trPr>
                <w:trHeight w:val="268"/>
              </w:trPr>
              <w:tc>
                <w:tcPr>
                  <w:tcW w:w="8285" w:type="dxa"/>
                  <w:gridSpan w:val="4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z tego w roku 2018</w:t>
                  </w:r>
                </w:p>
              </w:tc>
            </w:tr>
            <w:tr w:rsidR="00356610" w:rsidRPr="00356610" w:rsidTr="00F24B9D">
              <w:trPr>
                <w:trHeight w:val="268"/>
              </w:trPr>
              <w:tc>
                <w:tcPr>
                  <w:tcW w:w="3674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 xml:space="preserve">spółdzielnie mieszkaniowe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372,0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3 065,0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3 437,0</w:t>
                  </w:r>
                </w:p>
              </w:tc>
            </w:tr>
            <w:tr w:rsidR="00356610" w:rsidRPr="00356610" w:rsidTr="00F24B9D">
              <w:trPr>
                <w:trHeight w:val="268"/>
              </w:trPr>
              <w:tc>
                <w:tcPr>
                  <w:tcW w:w="3674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osoby fizyczne</w:t>
                  </w:r>
                </w:p>
              </w:tc>
              <w:tc>
                <w:tcPr>
                  <w:tcW w:w="1701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0,6</w:t>
                  </w:r>
                </w:p>
              </w:tc>
              <w:tc>
                <w:tcPr>
                  <w:tcW w:w="1560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15,0</w:t>
                  </w:r>
                </w:p>
              </w:tc>
              <w:tc>
                <w:tcPr>
                  <w:tcW w:w="1350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15,6</w:t>
                  </w:r>
                </w:p>
              </w:tc>
            </w:tr>
            <w:tr w:rsidR="00356610" w:rsidRPr="00356610" w:rsidTr="00F24B9D">
              <w:trPr>
                <w:trHeight w:val="268"/>
              </w:trPr>
              <w:tc>
                <w:tcPr>
                  <w:tcW w:w="3674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372,6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3 080,0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3 452,6</w:t>
                  </w:r>
                </w:p>
              </w:tc>
            </w:tr>
            <w:tr w:rsidR="00356610" w:rsidRPr="00356610" w:rsidTr="00F24B9D">
              <w:trPr>
                <w:trHeight w:val="268"/>
              </w:trPr>
              <w:tc>
                <w:tcPr>
                  <w:tcW w:w="8285" w:type="dxa"/>
                  <w:gridSpan w:val="4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z tego w roku 2019</w:t>
                  </w:r>
                </w:p>
              </w:tc>
            </w:tr>
            <w:tr w:rsidR="00356610" w:rsidRPr="00356610" w:rsidTr="00F24B9D">
              <w:trPr>
                <w:trHeight w:val="268"/>
              </w:trPr>
              <w:tc>
                <w:tcPr>
                  <w:tcW w:w="3674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 xml:space="preserve">spółdzielnie mieszkaniowe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43,0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164,0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207,0</w:t>
                  </w:r>
                </w:p>
              </w:tc>
            </w:tr>
            <w:tr w:rsidR="00356610" w:rsidRPr="00356610" w:rsidTr="00F24B9D">
              <w:trPr>
                <w:trHeight w:val="268"/>
              </w:trPr>
              <w:tc>
                <w:tcPr>
                  <w:tcW w:w="3674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osoby fizyczne</w:t>
                  </w:r>
                </w:p>
              </w:tc>
              <w:tc>
                <w:tcPr>
                  <w:tcW w:w="1701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0,1</w:t>
                  </w:r>
                </w:p>
              </w:tc>
              <w:tc>
                <w:tcPr>
                  <w:tcW w:w="1560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3,0</w:t>
                  </w:r>
                </w:p>
              </w:tc>
              <w:tc>
                <w:tcPr>
                  <w:tcW w:w="1350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3,1</w:t>
                  </w:r>
                </w:p>
              </w:tc>
            </w:tr>
            <w:tr w:rsidR="00356610" w:rsidRPr="00356610" w:rsidTr="00F24B9D">
              <w:trPr>
                <w:trHeight w:val="268"/>
              </w:trPr>
              <w:tc>
                <w:tcPr>
                  <w:tcW w:w="3674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43,1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167,0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210,1</w:t>
                  </w:r>
                </w:p>
              </w:tc>
            </w:tr>
            <w:tr w:rsidR="00356610" w:rsidRPr="00356610" w:rsidTr="00F24B9D">
              <w:trPr>
                <w:trHeight w:val="268"/>
              </w:trPr>
              <w:tc>
                <w:tcPr>
                  <w:tcW w:w="8285" w:type="dxa"/>
                  <w:gridSpan w:val="4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z tego w roku 2020</w:t>
                  </w:r>
                </w:p>
              </w:tc>
            </w:tr>
            <w:tr w:rsidR="00356610" w:rsidRPr="00356610" w:rsidTr="00F24B9D">
              <w:trPr>
                <w:trHeight w:val="268"/>
              </w:trPr>
              <w:tc>
                <w:tcPr>
                  <w:tcW w:w="3674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 xml:space="preserve">spółdzielnie mieszkaniowe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39,0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111,0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150,0</w:t>
                  </w:r>
                </w:p>
              </w:tc>
            </w:tr>
            <w:tr w:rsidR="00356610" w:rsidRPr="00356610" w:rsidTr="00F24B9D">
              <w:trPr>
                <w:trHeight w:val="268"/>
              </w:trPr>
              <w:tc>
                <w:tcPr>
                  <w:tcW w:w="3674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osoby fizyczne</w:t>
                  </w:r>
                </w:p>
              </w:tc>
              <w:tc>
                <w:tcPr>
                  <w:tcW w:w="1701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0,0</w:t>
                  </w:r>
                </w:p>
              </w:tc>
              <w:tc>
                <w:tcPr>
                  <w:tcW w:w="1560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0,5</w:t>
                  </w:r>
                </w:p>
              </w:tc>
              <w:tc>
                <w:tcPr>
                  <w:tcW w:w="1350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0,5</w:t>
                  </w:r>
                </w:p>
              </w:tc>
            </w:tr>
            <w:tr w:rsidR="00356610" w:rsidRPr="00356610" w:rsidTr="00F24B9D">
              <w:trPr>
                <w:trHeight w:val="268"/>
              </w:trPr>
              <w:tc>
                <w:tcPr>
                  <w:tcW w:w="3674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39,0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111,5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150,5</w:t>
                  </w:r>
                </w:p>
              </w:tc>
            </w:tr>
            <w:tr w:rsidR="00356610" w:rsidRPr="00356610" w:rsidTr="00F24B9D">
              <w:trPr>
                <w:trHeight w:val="268"/>
              </w:trPr>
              <w:tc>
                <w:tcPr>
                  <w:tcW w:w="8285" w:type="dxa"/>
                  <w:gridSpan w:val="4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z tego w roku 2021-26</w:t>
                  </w:r>
                </w:p>
              </w:tc>
            </w:tr>
            <w:tr w:rsidR="00356610" w:rsidRPr="00356610" w:rsidTr="00F24B9D">
              <w:trPr>
                <w:trHeight w:val="268"/>
              </w:trPr>
              <w:tc>
                <w:tcPr>
                  <w:tcW w:w="3674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 xml:space="preserve">spółdzielnie mieszkaniowe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48,0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260,0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308,0</w:t>
                  </w:r>
                </w:p>
              </w:tc>
            </w:tr>
            <w:tr w:rsidR="00356610" w:rsidRPr="00356610" w:rsidTr="00F24B9D">
              <w:trPr>
                <w:trHeight w:val="268"/>
              </w:trPr>
              <w:tc>
                <w:tcPr>
                  <w:tcW w:w="3674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osoby fizyczne</w:t>
                  </w:r>
                </w:p>
              </w:tc>
              <w:tc>
                <w:tcPr>
                  <w:tcW w:w="1701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0,0</w:t>
                  </w:r>
                </w:p>
              </w:tc>
              <w:tc>
                <w:tcPr>
                  <w:tcW w:w="1560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0,5</w:t>
                  </w:r>
                </w:p>
              </w:tc>
              <w:tc>
                <w:tcPr>
                  <w:tcW w:w="1350" w:type="dxa"/>
                  <w:shd w:val="clear" w:color="auto" w:fill="DEEAF6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0,5</w:t>
                  </w:r>
                </w:p>
              </w:tc>
            </w:tr>
            <w:tr w:rsidR="00356610" w:rsidRPr="00356610" w:rsidTr="00F24B9D">
              <w:trPr>
                <w:trHeight w:val="268"/>
              </w:trPr>
              <w:tc>
                <w:tcPr>
                  <w:tcW w:w="3674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48,0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260,5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hideMark/>
                </w:tcPr>
                <w:p w:rsidR="004E4E73" w:rsidRPr="00356610" w:rsidRDefault="004E4E73" w:rsidP="004E4E73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356610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308,5</w:t>
                  </w:r>
                </w:p>
              </w:tc>
            </w:tr>
          </w:tbl>
          <w:p w:rsidR="004E4E73" w:rsidRPr="00356610" w:rsidRDefault="004E4E73" w:rsidP="004E4E7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E4E73" w:rsidRPr="00747EC8" w:rsidRDefault="004E4E73" w:rsidP="004E4E73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7EC8">
              <w:rPr>
                <w:rFonts w:ascii="Times New Roman" w:hAnsi="Times New Roman"/>
                <w:sz w:val="21"/>
                <w:szCs w:val="21"/>
              </w:rPr>
              <w:t>Skutki finansowe, określone dla pierwszego roku funkcjonowania rozwiązania, tj. 2018 r. dotyczą zwolnienia od podatku dochodowego od osób prawnych spółdzielni mieszankowych. Kwota ta została obliczona:</w:t>
            </w:r>
          </w:p>
          <w:p w:rsidR="004E4E73" w:rsidRPr="00747EC8" w:rsidRDefault="004E4E73" w:rsidP="004E4E73">
            <w:pPr>
              <w:numPr>
                <w:ilvl w:val="0"/>
                <w:numId w:val="31"/>
              </w:numPr>
              <w:spacing w:line="240" w:lineRule="auto"/>
              <w:ind w:left="48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7EC8">
              <w:rPr>
                <w:rFonts w:ascii="Times New Roman" w:hAnsi="Times New Roman"/>
                <w:sz w:val="21"/>
                <w:szCs w:val="21"/>
              </w:rPr>
              <w:t>przy zastosowaniu 15% stawki podatku, mającej zastosowania do tzw. małych podatników,</w:t>
            </w:r>
          </w:p>
          <w:p w:rsidR="004E4E73" w:rsidRPr="00747EC8" w:rsidRDefault="004E4E73" w:rsidP="004E4E73">
            <w:pPr>
              <w:numPr>
                <w:ilvl w:val="0"/>
                <w:numId w:val="31"/>
              </w:numPr>
              <w:spacing w:line="240" w:lineRule="auto"/>
              <w:ind w:left="48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7EC8">
              <w:rPr>
                <w:rFonts w:ascii="Times New Roman" w:hAnsi="Times New Roman"/>
                <w:sz w:val="21"/>
                <w:szCs w:val="21"/>
              </w:rPr>
              <w:t>bez uwzględnienia faktu, że podatnicy mogą opłacać zaliczki na podatek w sposób uproszczony, bądź przychód z tytułu umorzenia wystąpi w ostatnim miesiącu roku podatkowego, w wyniku czego rozliczenie przychodu z tytułu umorzonych zobowiązań wystąpiłoby w 2019 r.,</w:t>
            </w:r>
          </w:p>
          <w:p w:rsidR="004E4E73" w:rsidRPr="00747EC8" w:rsidRDefault="004E4E73" w:rsidP="004E4E7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48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7EC8">
              <w:rPr>
                <w:rFonts w:ascii="Times New Roman" w:hAnsi="Times New Roman"/>
                <w:sz w:val="21"/>
                <w:szCs w:val="21"/>
                <w:lang w:eastAsia="pl-PL"/>
              </w:rPr>
              <w:t xml:space="preserve">bez pomniejszania wartości skapitalizowanych odsetek o odsetki, które zastały uprzednio zaliczone do kosztów uzyskania przychodów z uwagi na brak danych w tym zakresie. </w:t>
            </w:r>
          </w:p>
          <w:p w:rsidR="004E4E73" w:rsidRPr="00747EC8" w:rsidRDefault="004E4E73" w:rsidP="004E4E73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7EC8">
              <w:rPr>
                <w:rFonts w:ascii="Times New Roman" w:hAnsi="Times New Roman"/>
                <w:sz w:val="21"/>
                <w:szCs w:val="21"/>
              </w:rPr>
              <w:t xml:space="preserve">Skutki finansowe na kolejne lata uwzględniają także zwolnienie od podatku dochodowego osób fizycznych, obliczone przy zastosowaniu 18% stawki podatku. </w:t>
            </w:r>
          </w:p>
          <w:p w:rsidR="004E4E73" w:rsidRPr="00747EC8" w:rsidRDefault="004E4E73" w:rsidP="004E4E73">
            <w:pPr>
              <w:spacing w:after="6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7EC8">
              <w:rPr>
                <w:rFonts w:ascii="Times New Roman" w:hAnsi="Times New Roman"/>
                <w:sz w:val="21"/>
                <w:szCs w:val="21"/>
              </w:rPr>
              <w:t>Projektowane rozwiązanie pozostanie bez wpływu na wysokość wydatków sektora finansów publicznych.</w:t>
            </w:r>
          </w:p>
          <w:p w:rsidR="00F27546" w:rsidRPr="00747EC8" w:rsidRDefault="00F27546" w:rsidP="00F27546">
            <w:pPr>
              <w:spacing w:after="6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7EC8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Zmiany dotyczące zasad amortyzacji składników majątku przedsiębiorstwa otrzymanego w drodze spadku lub darowizn nie były brane pod uwagę (z uwagi na brak danych pozwalających na ich wyliczenie) przy wyliczaniu kwoty wzrostu dochodów sektora finansów publicznych wskazanego w ustawie z dnia 27 października 2017 r. o zmianie ustawy o podatku dochodowym od osób fizycznych, ustawy o podatku dochodowym od osób prawnych oraz ustawy o zryczałtowanym podatku dochodowym od niektórych przychodów osiąganych przez osoby fizyczne. Z uwagi na powyższe modyfikacja tych zasad dokonywana niniejszą nowelizacją nie będzie rzutować na uprzednie wyliczenia.  </w:t>
            </w:r>
          </w:p>
          <w:p w:rsidR="00EA79D0" w:rsidRPr="00747EC8" w:rsidRDefault="00EA79D0" w:rsidP="00EA79D0">
            <w:pPr>
              <w:spacing w:after="6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7EC8">
              <w:rPr>
                <w:rFonts w:ascii="Times New Roman" w:hAnsi="Times New Roman"/>
                <w:sz w:val="21"/>
                <w:szCs w:val="21"/>
              </w:rPr>
              <w:t>Mogą natomiast wystąpić nieznaczne skutki finansowe z tytułu wprowadzenia zwolnienia w art. 21 ust. 1 pkt 83c ustawy o podatku dochodowym od osób fizycznych, jednakże z uwagi na ograniczone informacje dotyczące tego obszaru, brak jest możliwości precyzyjnego określenia ich rozmiaru.</w:t>
            </w:r>
          </w:p>
          <w:p w:rsidR="005D2B37" w:rsidRPr="00747EC8" w:rsidRDefault="005D2B37" w:rsidP="00EA79D0">
            <w:pPr>
              <w:spacing w:after="6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7EC8">
              <w:rPr>
                <w:rFonts w:ascii="Times New Roman" w:hAnsi="Times New Roman"/>
                <w:sz w:val="21"/>
                <w:szCs w:val="21"/>
              </w:rPr>
              <w:t>W przypadku nowelizacji w zakresie opodatkowania wygranych osiągniętych w kasynach gry, projektowane zmiany nie wpłyną na poziom dochodów i wydatków budżetu państwa. Natomiast w odniesieniu do gier kasynowych organizowanych w Internecie lub gier na automatach urządzanych w salonach gier, należy zauważyć, że w 2017 r. takie gry nie były organizowane, zatem zmiana opodatkowania w tym zakresie również pozostanie bez wpływu na budżet państwa.</w:t>
            </w:r>
          </w:p>
          <w:p w:rsidR="008B6C65" w:rsidRPr="00356610" w:rsidRDefault="00F27546" w:rsidP="00F27546">
            <w:pPr>
              <w:spacing w:after="6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7EC8">
              <w:rPr>
                <w:rFonts w:ascii="Times New Roman" w:hAnsi="Times New Roman"/>
                <w:sz w:val="21"/>
                <w:szCs w:val="21"/>
              </w:rPr>
              <w:t>W pozostałym zakresie zmiany mają charakter doprecyzowujący i nie wpływają na wysokość dochodów i wydatków jednostek sektora finansów publicznych, w tym budżetu państwa oraz jednostek samorządu terytorialnego.</w:t>
            </w:r>
          </w:p>
        </w:tc>
      </w:tr>
      <w:tr w:rsidR="00D305DD" w:rsidRPr="00D77533" w:rsidTr="00D77533">
        <w:trPr>
          <w:gridAfter w:val="1"/>
          <w:wAfter w:w="21" w:type="dxa"/>
          <w:trHeight w:val="345"/>
        </w:trPr>
        <w:tc>
          <w:tcPr>
            <w:tcW w:w="10916" w:type="dxa"/>
            <w:gridSpan w:val="29"/>
            <w:shd w:val="clear" w:color="auto" w:fill="99CCFF"/>
          </w:tcPr>
          <w:p w:rsidR="00D305DD" w:rsidRPr="00D77533" w:rsidRDefault="00D305DD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7533">
              <w:rPr>
                <w:rFonts w:ascii="Times New Roman" w:hAnsi="Times New Roman"/>
                <w:b/>
                <w:color w:val="000000"/>
              </w:rPr>
              <w:lastRenderedPageBreak/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D305DD" w:rsidRPr="00D77533" w:rsidTr="00D77533">
        <w:trPr>
          <w:gridAfter w:val="1"/>
          <w:wAfter w:w="21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:rsidR="00D305DD" w:rsidRPr="00D77533" w:rsidRDefault="00D305DD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Skutki</w:t>
            </w:r>
          </w:p>
        </w:tc>
      </w:tr>
      <w:tr w:rsidR="00D305DD" w:rsidRPr="00D77533" w:rsidTr="00D77533">
        <w:trPr>
          <w:gridAfter w:val="1"/>
          <w:wAfter w:w="21" w:type="dxa"/>
          <w:trHeight w:val="142"/>
        </w:trPr>
        <w:tc>
          <w:tcPr>
            <w:tcW w:w="3889" w:type="dxa"/>
            <w:gridSpan w:val="8"/>
            <w:shd w:val="clear" w:color="auto" w:fill="FFFFFF"/>
          </w:tcPr>
          <w:p w:rsidR="00D305DD" w:rsidRPr="00D77533" w:rsidRDefault="00D305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D305DD" w:rsidRPr="00D77533" w:rsidRDefault="00D305DD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D305DD" w:rsidRPr="00D77533" w:rsidRDefault="00D305DD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D305DD" w:rsidRPr="00D77533" w:rsidRDefault="00D305DD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D305DD" w:rsidRPr="00D77533" w:rsidRDefault="00D305DD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D305DD" w:rsidRPr="00D77533" w:rsidRDefault="00D305DD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79" w:type="dxa"/>
            <w:gridSpan w:val="2"/>
            <w:shd w:val="clear" w:color="auto" w:fill="FFFFFF"/>
          </w:tcPr>
          <w:p w:rsidR="00D305DD" w:rsidRPr="00D77533" w:rsidRDefault="00D305DD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305DD" w:rsidRPr="00D77533" w:rsidRDefault="00D305DD" w:rsidP="00620A5D">
            <w:pPr>
              <w:spacing w:line="240" w:lineRule="auto"/>
              <w:ind w:right="-8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Łącznie</w:t>
            </w:r>
            <w:r w:rsidRPr="00D77533" w:rsidDel="0073273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(0</w:t>
            </w:r>
            <w:r w:rsidR="00CF2CB1"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10)</w:t>
            </w:r>
          </w:p>
        </w:tc>
      </w:tr>
      <w:tr w:rsidR="00D305DD" w:rsidRPr="00D77533" w:rsidTr="00D77533">
        <w:trPr>
          <w:gridAfter w:val="1"/>
          <w:wAfter w:w="21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D305DD" w:rsidRPr="00D77533" w:rsidRDefault="00D305DD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:rsidR="00D305DD" w:rsidRPr="00D77533" w:rsidRDefault="00D305DD" w:rsidP="006F78C4">
            <w:pPr>
              <w:rPr>
                <w:rFonts w:ascii="Times New Roman" w:hAnsi="Times New Roman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sz w:val="21"/>
                <w:szCs w:val="21"/>
              </w:rPr>
              <w:t xml:space="preserve">(w mln zł, </w:t>
            </w:r>
          </w:p>
          <w:p w:rsidR="00D305DD" w:rsidRPr="00D77533" w:rsidRDefault="00D305DD" w:rsidP="00620A5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sz w:val="21"/>
                <w:szCs w:val="21"/>
              </w:rPr>
              <w:t>ceny stałe z</w:t>
            </w:r>
            <w:r w:rsidR="00620A5D" w:rsidRPr="00D77533">
              <w:rPr>
                <w:rFonts w:ascii="Times New Roman" w:hAnsi="Times New Roman"/>
                <w:sz w:val="21"/>
                <w:szCs w:val="21"/>
              </w:rPr>
              <w:t> </w:t>
            </w:r>
            <w:r w:rsidR="001764A5" w:rsidRPr="00D77533">
              <w:rPr>
                <w:rFonts w:ascii="Times New Roman" w:hAnsi="Times New Roman"/>
                <w:sz w:val="21"/>
                <w:szCs w:val="21"/>
              </w:rPr>
              <w:t xml:space="preserve">2015 </w:t>
            </w:r>
            <w:r w:rsidRPr="00D77533">
              <w:rPr>
                <w:rFonts w:ascii="Times New Roman" w:hAnsi="Times New Roman"/>
                <w:sz w:val="21"/>
                <w:szCs w:val="21"/>
              </w:rPr>
              <w:t>r.)</w:t>
            </w:r>
          </w:p>
        </w:tc>
        <w:tc>
          <w:tcPr>
            <w:tcW w:w="2293" w:type="dxa"/>
            <w:gridSpan w:val="7"/>
            <w:shd w:val="clear" w:color="auto" w:fill="FFFFFF"/>
          </w:tcPr>
          <w:p w:rsidR="00D305DD" w:rsidRPr="00D77533" w:rsidRDefault="00D305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:rsidR="00D305DD" w:rsidRPr="00D77533" w:rsidRDefault="00D305DD" w:rsidP="00396E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:rsidR="00D305DD" w:rsidRPr="00D77533" w:rsidRDefault="00D305DD" w:rsidP="00396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:rsidR="00D305DD" w:rsidRPr="00D77533" w:rsidRDefault="00D305DD" w:rsidP="00396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:rsidR="00D305DD" w:rsidRPr="00D77533" w:rsidRDefault="00D305DD" w:rsidP="00396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:rsidR="00D305DD" w:rsidRPr="00D77533" w:rsidRDefault="00D305DD" w:rsidP="00396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shd w:val="clear" w:color="auto" w:fill="FFFFFF"/>
            <w:vAlign w:val="center"/>
          </w:tcPr>
          <w:p w:rsidR="00D305DD" w:rsidRPr="00D77533" w:rsidRDefault="00D305DD" w:rsidP="00396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D305DD" w:rsidRPr="00D77533" w:rsidRDefault="00D305DD" w:rsidP="00396E3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9CE" w:rsidRPr="00D77533" w:rsidTr="00986C63">
        <w:trPr>
          <w:gridAfter w:val="1"/>
          <w:wAfter w:w="21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B339CE" w:rsidRPr="00D77533" w:rsidRDefault="00B339CE" w:rsidP="00B339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:rsidR="00B339CE" w:rsidRPr="00D77533" w:rsidRDefault="00B339CE" w:rsidP="00B339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 średnich przedsiębiorstw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:rsidR="00B339CE" w:rsidRPr="00356610" w:rsidRDefault="00B339CE" w:rsidP="00B339CE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610">
              <w:rPr>
                <w:rFonts w:ascii="Times New Roman" w:hAnsi="Times New Roman"/>
                <w:sz w:val="18"/>
                <w:szCs w:val="18"/>
              </w:rPr>
              <w:t>515,6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:rsidR="00B339CE" w:rsidRPr="00356610" w:rsidRDefault="00B339CE" w:rsidP="00B339CE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610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:rsidR="00B339CE" w:rsidRPr="00356610" w:rsidRDefault="00B339CE" w:rsidP="00B339CE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610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:rsidR="00B339CE" w:rsidRPr="00356610" w:rsidRDefault="00B339CE" w:rsidP="00B339CE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610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:rsidR="00B339CE" w:rsidRPr="00356610" w:rsidRDefault="00B339CE" w:rsidP="00B339CE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610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779" w:type="dxa"/>
            <w:gridSpan w:val="2"/>
            <w:shd w:val="clear" w:color="auto" w:fill="FFFFFF"/>
            <w:vAlign w:val="center"/>
          </w:tcPr>
          <w:p w:rsidR="00B339CE" w:rsidRPr="00356610" w:rsidRDefault="00B339CE" w:rsidP="00B339CE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6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B339CE" w:rsidRPr="00356610" w:rsidRDefault="00B339CE" w:rsidP="00B339CE">
            <w:pPr>
              <w:spacing w:line="240" w:lineRule="auto"/>
              <w:jc w:val="righ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56610">
              <w:rPr>
                <w:rFonts w:ascii="Times New Roman" w:hAnsi="Times New Roman"/>
                <w:spacing w:val="-2"/>
                <w:sz w:val="18"/>
                <w:szCs w:val="18"/>
              </w:rPr>
              <w:t>615,4</w:t>
            </w:r>
          </w:p>
        </w:tc>
      </w:tr>
      <w:tr w:rsidR="00B339CE" w:rsidRPr="00D77533" w:rsidTr="00986C63">
        <w:trPr>
          <w:gridAfter w:val="1"/>
          <w:wAfter w:w="21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B339CE" w:rsidRPr="00D77533" w:rsidRDefault="00B339CE" w:rsidP="00B339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:rsidR="00B339CE" w:rsidRPr="00D77533" w:rsidRDefault="00B339CE" w:rsidP="00B339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:rsidR="00B339CE" w:rsidRPr="00356610" w:rsidRDefault="00B339CE" w:rsidP="00B339CE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6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:rsidR="00B339CE" w:rsidRPr="00356610" w:rsidRDefault="00B339CE" w:rsidP="00B339CE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610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:rsidR="00B339CE" w:rsidRPr="00356610" w:rsidRDefault="00B339CE" w:rsidP="00B339CE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610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:rsidR="00B339CE" w:rsidRPr="00356610" w:rsidRDefault="00B339CE" w:rsidP="00B339CE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610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:rsidR="00B339CE" w:rsidRPr="00356610" w:rsidRDefault="00B339CE" w:rsidP="00B339CE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6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shd w:val="clear" w:color="auto" w:fill="FFFFFF"/>
            <w:vAlign w:val="center"/>
          </w:tcPr>
          <w:p w:rsidR="00B339CE" w:rsidRPr="00356610" w:rsidRDefault="00B339CE" w:rsidP="00B339CE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66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B339CE" w:rsidRPr="00356610" w:rsidRDefault="00B339CE" w:rsidP="00B339CE">
            <w:pPr>
              <w:spacing w:line="240" w:lineRule="auto"/>
              <w:jc w:val="righ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56610">
              <w:rPr>
                <w:rFonts w:ascii="Times New Roman" w:hAnsi="Times New Roman"/>
                <w:spacing w:val="-2"/>
                <w:sz w:val="18"/>
                <w:szCs w:val="18"/>
              </w:rPr>
              <w:t>3,5</w:t>
            </w:r>
          </w:p>
        </w:tc>
      </w:tr>
      <w:tr w:rsidR="00D305DD" w:rsidRPr="00D77533" w:rsidTr="00D77533">
        <w:trPr>
          <w:gridAfter w:val="1"/>
          <w:wAfter w:w="21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D305DD" w:rsidRPr="00D77533" w:rsidRDefault="00D305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:rsidR="00D305DD" w:rsidRPr="00D77533" w:rsidRDefault="0027412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(dodaj/usuń)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D305DD" w:rsidRPr="00356610" w:rsidRDefault="00D305DD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D305DD" w:rsidRPr="00356610" w:rsidRDefault="00D305DD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D305DD" w:rsidRPr="00356610" w:rsidRDefault="00D305DD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D305DD" w:rsidRPr="00356610" w:rsidRDefault="00D305DD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D305DD" w:rsidRPr="00356610" w:rsidRDefault="00D305DD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9" w:type="dxa"/>
            <w:gridSpan w:val="2"/>
            <w:shd w:val="clear" w:color="auto" w:fill="FFFFFF"/>
          </w:tcPr>
          <w:p w:rsidR="00D305DD" w:rsidRPr="00356610" w:rsidRDefault="00D305DD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D305DD" w:rsidRPr="00356610" w:rsidRDefault="00D305DD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305DD" w:rsidRPr="00D77533" w:rsidTr="00D77533">
        <w:trPr>
          <w:gridAfter w:val="1"/>
          <w:wAfter w:w="21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D305DD" w:rsidRPr="00D77533" w:rsidRDefault="00D305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7"/>
            <w:shd w:val="clear" w:color="auto" w:fill="FFFFFF"/>
          </w:tcPr>
          <w:p w:rsidR="00D305DD" w:rsidRPr="00D77533" w:rsidRDefault="00D305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27" w:type="dxa"/>
            <w:gridSpan w:val="21"/>
            <w:shd w:val="clear" w:color="auto" w:fill="FFFFFF"/>
          </w:tcPr>
          <w:p w:rsidR="00A4651C" w:rsidRPr="00356610" w:rsidRDefault="00A4651C" w:rsidP="00D7753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5DD" w:rsidRPr="00D77533" w:rsidTr="00D77533">
        <w:trPr>
          <w:gridAfter w:val="1"/>
          <w:wAfter w:w="21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D305DD" w:rsidRPr="00D77533" w:rsidRDefault="00D305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:rsidR="00D305DD" w:rsidRPr="00D77533" w:rsidRDefault="00D305DD" w:rsidP="00620A5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sektor mikro-, małych </w:t>
            </w:r>
            <w:r w:rsidR="00620A5D"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i </w:t>
            </w: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średnich przedsiębiorstw</w:t>
            </w:r>
          </w:p>
        </w:tc>
        <w:tc>
          <w:tcPr>
            <w:tcW w:w="7027" w:type="dxa"/>
            <w:gridSpan w:val="21"/>
            <w:shd w:val="clear" w:color="auto" w:fill="FFFFFF"/>
          </w:tcPr>
          <w:p w:rsidR="00D305DD" w:rsidRPr="00356610" w:rsidRDefault="00D305DD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305DD" w:rsidRPr="00D77533" w:rsidTr="00D77533">
        <w:trPr>
          <w:gridAfter w:val="1"/>
          <w:wAfter w:w="21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D305DD" w:rsidRPr="00D77533" w:rsidRDefault="00D305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:rsidR="00D305DD" w:rsidRPr="00D77533" w:rsidRDefault="00D305DD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27" w:type="dxa"/>
            <w:gridSpan w:val="21"/>
            <w:shd w:val="clear" w:color="auto" w:fill="FFFFFF"/>
          </w:tcPr>
          <w:p w:rsidR="00D305DD" w:rsidRPr="00356610" w:rsidRDefault="00D305DD" w:rsidP="001A1D9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5DD" w:rsidRPr="00D77533" w:rsidTr="00D77533">
        <w:trPr>
          <w:gridAfter w:val="1"/>
          <w:wAfter w:w="21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D305DD" w:rsidRPr="00D77533" w:rsidRDefault="00D305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:rsidR="00D305DD" w:rsidRPr="00D77533" w:rsidRDefault="00274123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(dodaj/usuń)</w:t>
            </w:r>
          </w:p>
        </w:tc>
        <w:tc>
          <w:tcPr>
            <w:tcW w:w="7027" w:type="dxa"/>
            <w:gridSpan w:val="21"/>
            <w:shd w:val="clear" w:color="auto" w:fill="FFFFFF"/>
          </w:tcPr>
          <w:p w:rsidR="00D305DD" w:rsidRPr="00356610" w:rsidRDefault="00D305DD" w:rsidP="00811D46">
            <w:pPr>
              <w:tabs>
                <w:tab w:val="left" w:pos="3000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305DD" w:rsidRPr="00D77533" w:rsidTr="00D77533">
        <w:trPr>
          <w:gridAfter w:val="1"/>
          <w:wAfter w:w="21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D305DD" w:rsidRPr="00D77533" w:rsidRDefault="00D305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7"/>
            <w:shd w:val="clear" w:color="auto" w:fill="FFFFFF"/>
          </w:tcPr>
          <w:p w:rsidR="00D305DD" w:rsidRPr="00D77533" w:rsidRDefault="00274123" w:rsidP="0027412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</w:rPr>
              <w:t>obszar nielegalnych gier hazardowych</w:t>
            </w: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27" w:type="dxa"/>
            <w:gridSpan w:val="21"/>
            <w:shd w:val="clear" w:color="auto" w:fill="FFFFFF"/>
          </w:tcPr>
          <w:p w:rsidR="00D305DD" w:rsidRPr="00356610" w:rsidRDefault="00D305DD" w:rsidP="00620A5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5DD" w:rsidRPr="00D77533" w:rsidTr="00D77533">
        <w:trPr>
          <w:gridAfter w:val="1"/>
          <w:wAfter w:w="21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D305DD" w:rsidRPr="00D77533" w:rsidRDefault="00D305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:rsidR="00D305DD" w:rsidRPr="00D77533" w:rsidRDefault="0027412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>(dodaj/usuń)</w:t>
            </w:r>
          </w:p>
        </w:tc>
        <w:tc>
          <w:tcPr>
            <w:tcW w:w="7027" w:type="dxa"/>
            <w:gridSpan w:val="21"/>
            <w:shd w:val="clear" w:color="auto" w:fill="FFFFFF"/>
          </w:tcPr>
          <w:p w:rsidR="00D305DD" w:rsidRPr="00356610" w:rsidRDefault="00D305DD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305DD" w:rsidRPr="00D77533" w:rsidTr="00D77533">
        <w:trPr>
          <w:gridAfter w:val="1"/>
          <w:wAfter w:w="21" w:type="dxa"/>
          <w:trHeight w:val="1265"/>
        </w:trPr>
        <w:tc>
          <w:tcPr>
            <w:tcW w:w="2243" w:type="dxa"/>
            <w:gridSpan w:val="2"/>
            <w:shd w:val="clear" w:color="auto" w:fill="FFFFFF"/>
          </w:tcPr>
          <w:p w:rsidR="00D305DD" w:rsidRPr="00D77533" w:rsidRDefault="00D305DD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</w:t>
            </w:r>
            <w:r w:rsidR="00D77533">
              <w:rPr>
                <w:rFonts w:ascii="Times New Roman" w:hAnsi="Times New Roman"/>
                <w:color w:val="000000"/>
                <w:sz w:val="21"/>
                <w:szCs w:val="21"/>
              </w:rPr>
              <w:t>w tym wskazanie źródeł danych i </w:t>
            </w:r>
            <w:r w:rsidRPr="00D7753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przyjętych do obliczeń założeń </w:t>
            </w:r>
          </w:p>
        </w:tc>
        <w:tc>
          <w:tcPr>
            <w:tcW w:w="8673" w:type="dxa"/>
            <w:gridSpan w:val="27"/>
            <w:shd w:val="clear" w:color="auto" w:fill="FFFFFF"/>
            <w:vAlign w:val="center"/>
          </w:tcPr>
          <w:p w:rsidR="00B339CE" w:rsidRPr="00356610" w:rsidRDefault="00B339CE" w:rsidP="00B339CE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56610">
              <w:rPr>
                <w:rFonts w:ascii="Times New Roman" w:hAnsi="Times New Roman"/>
                <w:sz w:val="21"/>
                <w:szCs w:val="21"/>
              </w:rPr>
              <w:t>Szczegółowe informacje w zakresie źródła danych i przyjętych do obliczeń założeń ujęto w pkt 6 OSR.</w:t>
            </w:r>
          </w:p>
          <w:p w:rsidR="00D305DD" w:rsidRPr="00356610" w:rsidRDefault="00D305DD" w:rsidP="00982048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305DD" w:rsidRPr="00D77533" w:rsidTr="00D77533">
        <w:trPr>
          <w:gridAfter w:val="1"/>
          <w:wAfter w:w="21" w:type="dxa"/>
          <w:trHeight w:val="3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D305DD" w:rsidRPr="00D77533" w:rsidRDefault="00D305DD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7533"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D305DD" w:rsidRPr="00D77533" w:rsidTr="00D77533">
        <w:trPr>
          <w:gridAfter w:val="1"/>
          <w:wAfter w:w="21" w:type="dxa"/>
          <w:trHeight w:val="151"/>
        </w:trPr>
        <w:tc>
          <w:tcPr>
            <w:tcW w:w="10916" w:type="dxa"/>
            <w:gridSpan w:val="29"/>
            <w:shd w:val="clear" w:color="auto" w:fill="FFFFFF"/>
          </w:tcPr>
          <w:p w:rsidR="00D305DD" w:rsidRPr="00D77533" w:rsidRDefault="00E16217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305DD" w:rsidRPr="00D7753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305DD" w:rsidRPr="00D77533" w:rsidTr="00D77533">
        <w:trPr>
          <w:gridAfter w:val="1"/>
          <w:wAfter w:w="21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D305DD" w:rsidRPr="00D77533" w:rsidRDefault="00D305DD" w:rsidP="001B3460">
            <w:pPr>
              <w:rPr>
                <w:rFonts w:ascii="Times New Roman" w:hAnsi="Times New Roman"/>
                <w:color w:val="000000"/>
              </w:rPr>
            </w:pPr>
            <w:r w:rsidRPr="00D77533">
              <w:rPr>
                <w:rFonts w:ascii="Times New Roman" w:hAnsi="Times New Roman"/>
                <w:color w:val="000000"/>
              </w:rPr>
              <w:t>Wprowadzane są obciążenia poza bezwzględnie wymaganymi przez UE (szczegóły w odwróconej tabeli zgodności).</w:t>
            </w:r>
          </w:p>
        </w:tc>
        <w:tc>
          <w:tcPr>
            <w:tcW w:w="5805" w:type="dxa"/>
            <w:gridSpan w:val="17"/>
            <w:shd w:val="clear" w:color="auto" w:fill="FFFFFF"/>
          </w:tcPr>
          <w:p w:rsidR="00D305DD" w:rsidRPr="00D77533" w:rsidRDefault="00D305DD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753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53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 w:rsidRPr="00D77533">
              <w:rPr>
                <w:rFonts w:ascii="Times New Roman" w:hAnsi="Times New Roman"/>
                <w:color w:val="000000"/>
              </w:rPr>
              <w:fldChar w:fldCharType="end"/>
            </w:r>
            <w:r w:rsidRPr="00D77533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D305DD" w:rsidRPr="00D77533" w:rsidRDefault="00D305DD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753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53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 w:rsidRPr="00D77533">
              <w:rPr>
                <w:rFonts w:ascii="Times New Roman" w:hAnsi="Times New Roman"/>
                <w:color w:val="000000"/>
              </w:rPr>
              <w:fldChar w:fldCharType="end"/>
            </w:r>
            <w:r w:rsidRPr="00D77533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305DD" w:rsidRPr="00D77533" w:rsidRDefault="00D305DD" w:rsidP="004F4E17">
            <w:pPr>
              <w:rPr>
                <w:rFonts w:ascii="Times New Roman" w:hAnsi="Times New Roman"/>
                <w:color w:val="000000"/>
              </w:rPr>
            </w:pPr>
            <w:r w:rsidRPr="00D7753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7753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 w:rsidRPr="00D77533">
              <w:rPr>
                <w:rFonts w:ascii="Times New Roman" w:hAnsi="Times New Roman"/>
                <w:color w:val="000000"/>
              </w:rPr>
              <w:fldChar w:fldCharType="end"/>
            </w:r>
            <w:r w:rsidRPr="00D7753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305DD" w:rsidRPr="00D77533" w:rsidTr="00D77533">
        <w:trPr>
          <w:gridAfter w:val="1"/>
          <w:wAfter w:w="21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D305DD" w:rsidRPr="00D77533" w:rsidRDefault="00E16217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305DD" w:rsidRPr="00D775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305DD" w:rsidRPr="00D77533">
              <w:rPr>
                <w:rFonts w:ascii="Times New Roman" w:hAnsi="Times New Roman"/>
                <w:color w:val="000000"/>
              </w:rPr>
              <w:t xml:space="preserve">zmniejszenie liczby dokumentów </w:t>
            </w:r>
          </w:p>
          <w:p w:rsidR="00D305DD" w:rsidRPr="00D77533" w:rsidRDefault="00E16217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305DD" w:rsidRPr="00D775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305DD" w:rsidRPr="00D77533">
              <w:rPr>
                <w:rFonts w:ascii="Times New Roman" w:hAnsi="Times New Roman"/>
                <w:color w:val="000000"/>
              </w:rPr>
              <w:t>zmniejszenie liczby procedur</w:t>
            </w:r>
          </w:p>
          <w:p w:rsidR="00D305DD" w:rsidRPr="00D77533" w:rsidRDefault="00DB4DEC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305DD" w:rsidRPr="00D775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305DD" w:rsidRPr="00D77533">
              <w:rPr>
                <w:rFonts w:ascii="Times New Roman" w:hAnsi="Times New Roman"/>
                <w:color w:val="000000"/>
              </w:rPr>
              <w:t>skrócenie czasu na załatwienie sprawy</w:t>
            </w:r>
          </w:p>
          <w:p w:rsidR="00D305DD" w:rsidRPr="00D77533" w:rsidRDefault="00D305DD" w:rsidP="00274123">
            <w:pPr>
              <w:rPr>
                <w:rFonts w:ascii="Times New Roman" w:hAnsi="Times New Roman"/>
                <w:b/>
                <w:color w:val="000000"/>
              </w:rPr>
            </w:pPr>
            <w:r w:rsidRPr="00D7753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53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 w:rsidRPr="00D77533">
              <w:rPr>
                <w:rFonts w:ascii="Times New Roman" w:hAnsi="Times New Roman"/>
                <w:color w:val="000000"/>
              </w:rPr>
              <w:fldChar w:fldCharType="end"/>
            </w:r>
            <w:r w:rsidRPr="00D775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7533">
              <w:rPr>
                <w:rFonts w:ascii="Times New Roman" w:hAnsi="Times New Roman"/>
                <w:color w:val="000000"/>
              </w:rPr>
              <w:t xml:space="preserve">inne: </w:t>
            </w:r>
          </w:p>
        </w:tc>
        <w:tc>
          <w:tcPr>
            <w:tcW w:w="5805" w:type="dxa"/>
            <w:gridSpan w:val="17"/>
            <w:shd w:val="clear" w:color="auto" w:fill="FFFFFF"/>
          </w:tcPr>
          <w:p w:rsidR="00D305DD" w:rsidRPr="00D77533" w:rsidRDefault="00DB4DEC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305DD" w:rsidRPr="00D775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305DD" w:rsidRPr="00D77533">
              <w:rPr>
                <w:rFonts w:ascii="Times New Roman" w:hAnsi="Times New Roman"/>
                <w:color w:val="000000"/>
              </w:rPr>
              <w:t>zwiększenie liczby dokumentów</w:t>
            </w:r>
          </w:p>
          <w:p w:rsidR="00D305DD" w:rsidRPr="00D77533" w:rsidRDefault="00DB4DEC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305DD" w:rsidRPr="00D775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305DD" w:rsidRPr="00D77533">
              <w:rPr>
                <w:rFonts w:ascii="Times New Roman" w:hAnsi="Times New Roman"/>
                <w:color w:val="000000"/>
              </w:rPr>
              <w:t>zwiększenie liczby procedur</w:t>
            </w:r>
          </w:p>
          <w:p w:rsidR="00D305DD" w:rsidRPr="00D77533" w:rsidRDefault="00DB4DEC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305DD" w:rsidRPr="00D775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305DD" w:rsidRPr="00D77533">
              <w:rPr>
                <w:rFonts w:ascii="Times New Roman" w:hAnsi="Times New Roman"/>
                <w:color w:val="000000"/>
              </w:rPr>
              <w:t>wydłużenie czasu na załatwienie sprawy</w:t>
            </w:r>
          </w:p>
          <w:p w:rsidR="00D305DD" w:rsidRPr="00D77533" w:rsidRDefault="00D305DD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753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53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 w:rsidRPr="00D77533">
              <w:rPr>
                <w:rFonts w:ascii="Times New Roman" w:hAnsi="Times New Roman"/>
                <w:color w:val="000000"/>
              </w:rPr>
              <w:fldChar w:fldCharType="end"/>
            </w:r>
            <w:r w:rsidRPr="00D775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7533">
              <w:rPr>
                <w:rFonts w:ascii="Times New Roman" w:hAnsi="Times New Roman"/>
                <w:color w:val="000000"/>
              </w:rPr>
              <w:t xml:space="preserve">inne: </w:t>
            </w:r>
          </w:p>
          <w:p w:rsidR="00D305DD" w:rsidRPr="00D77533" w:rsidRDefault="00D305DD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305DD" w:rsidRPr="00D77533" w:rsidTr="00D77533">
        <w:trPr>
          <w:gridAfter w:val="1"/>
          <w:wAfter w:w="21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D305DD" w:rsidRPr="00D77533" w:rsidRDefault="00D305DD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7533">
              <w:rPr>
                <w:rFonts w:ascii="Times New Roman" w:hAnsi="Times New Roman"/>
                <w:color w:val="000000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805" w:type="dxa"/>
            <w:gridSpan w:val="17"/>
            <w:shd w:val="clear" w:color="auto" w:fill="FFFFFF"/>
          </w:tcPr>
          <w:p w:rsidR="00D305DD" w:rsidRPr="00D77533" w:rsidRDefault="00DB4DEC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305DD" w:rsidRPr="00D77533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D305DD" w:rsidRPr="00D77533" w:rsidRDefault="00D305DD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753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53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 w:rsidRPr="00D77533">
              <w:rPr>
                <w:rFonts w:ascii="Times New Roman" w:hAnsi="Times New Roman"/>
                <w:color w:val="000000"/>
              </w:rPr>
              <w:fldChar w:fldCharType="end"/>
            </w:r>
            <w:r w:rsidRPr="00D77533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305DD" w:rsidRPr="00D77533" w:rsidRDefault="00DB4DEC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274123" w:rsidRPr="00D7753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305DD" w:rsidRPr="00D77533" w:rsidTr="00D77533">
        <w:trPr>
          <w:gridAfter w:val="1"/>
          <w:wAfter w:w="21" w:type="dxa"/>
          <w:trHeight w:val="630"/>
        </w:trPr>
        <w:tc>
          <w:tcPr>
            <w:tcW w:w="10916" w:type="dxa"/>
            <w:gridSpan w:val="29"/>
            <w:shd w:val="clear" w:color="auto" w:fill="FFFFFF"/>
          </w:tcPr>
          <w:p w:rsidR="00D305DD" w:rsidRPr="00D77533" w:rsidRDefault="00D305D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7533">
              <w:rPr>
                <w:rFonts w:ascii="Times New Roman" w:hAnsi="Times New Roman"/>
                <w:color w:val="000000"/>
              </w:rPr>
              <w:t>Komentarz:</w:t>
            </w:r>
            <w:r w:rsidR="003964AA">
              <w:rPr>
                <w:rFonts w:ascii="Times New Roman" w:hAnsi="Times New Roman"/>
                <w:color w:val="000000"/>
              </w:rPr>
              <w:t xml:space="preserve"> Brak zmian obci</w:t>
            </w:r>
            <w:r w:rsidR="00BE46E9">
              <w:rPr>
                <w:rFonts w:ascii="Times New Roman" w:hAnsi="Times New Roman"/>
                <w:color w:val="000000"/>
              </w:rPr>
              <w:t>ą</w:t>
            </w:r>
            <w:r w:rsidR="003964AA">
              <w:rPr>
                <w:rFonts w:ascii="Times New Roman" w:hAnsi="Times New Roman"/>
                <w:color w:val="000000"/>
              </w:rPr>
              <w:t>żeń</w:t>
            </w:r>
            <w:r w:rsidR="000326B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305DD" w:rsidRPr="00D77533" w:rsidTr="00D77533">
        <w:trPr>
          <w:gridAfter w:val="1"/>
          <w:wAfter w:w="21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:rsidR="00D305DD" w:rsidRPr="00D77533" w:rsidRDefault="00D305DD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7533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305DD" w:rsidRPr="00D77533" w:rsidTr="00D77533">
        <w:trPr>
          <w:gridAfter w:val="1"/>
          <w:wAfter w:w="2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:rsidR="00D305DD" w:rsidRPr="00D77533" w:rsidRDefault="00BD2318" w:rsidP="000326BB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Brak wpływu. </w:t>
            </w:r>
          </w:p>
        </w:tc>
      </w:tr>
      <w:tr w:rsidR="00D305DD" w:rsidRPr="00D77533" w:rsidTr="00D77533">
        <w:trPr>
          <w:gridAfter w:val="1"/>
          <w:wAfter w:w="21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:rsidR="00D305DD" w:rsidRPr="00D77533" w:rsidRDefault="00D305DD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753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305DD" w:rsidRPr="00D77533" w:rsidTr="00D77533">
        <w:trPr>
          <w:gridAfter w:val="1"/>
          <w:wAfter w:w="21" w:type="dxa"/>
          <w:trHeight w:val="1031"/>
        </w:trPr>
        <w:tc>
          <w:tcPr>
            <w:tcW w:w="3547" w:type="dxa"/>
            <w:gridSpan w:val="6"/>
            <w:shd w:val="clear" w:color="auto" w:fill="FFFFFF"/>
          </w:tcPr>
          <w:p w:rsidR="00D305DD" w:rsidRPr="00D77533" w:rsidRDefault="00D305DD" w:rsidP="00620A5D">
            <w:pPr>
              <w:spacing w:before="60" w:line="240" w:lineRule="auto"/>
              <w:rPr>
                <w:rFonts w:ascii="Times New Roman" w:hAnsi="Times New Roman"/>
                <w:color w:val="000000"/>
              </w:rPr>
            </w:pPr>
            <w:r w:rsidRPr="00D7753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53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 w:rsidRPr="00D77533">
              <w:rPr>
                <w:rFonts w:ascii="Times New Roman" w:hAnsi="Times New Roman"/>
                <w:color w:val="000000"/>
              </w:rPr>
              <w:fldChar w:fldCharType="end"/>
            </w:r>
            <w:r w:rsidRPr="00D775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7533">
              <w:rPr>
                <w:rFonts w:ascii="Times New Roman" w:hAnsi="Times New Roman"/>
                <w:color w:val="000000"/>
              </w:rPr>
              <w:t>środowisko naturalne</w:t>
            </w:r>
          </w:p>
          <w:p w:rsidR="00D305DD" w:rsidRPr="00D77533" w:rsidRDefault="00D305DD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753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53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 w:rsidRPr="00D77533">
              <w:rPr>
                <w:rFonts w:ascii="Times New Roman" w:hAnsi="Times New Roman"/>
                <w:color w:val="000000"/>
              </w:rPr>
              <w:fldChar w:fldCharType="end"/>
            </w:r>
            <w:r w:rsidRPr="00D775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7533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D305DD" w:rsidRPr="00D77533" w:rsidRDefault="00D305DD" w:rsidP="0027412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753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53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 w:rsidRPr="00D77533">
              <w:rPr>
                <w:rFonts w:ascii="Times New Roman" w:hAnsi="Times New Roman"/>
                <w:color w:val="000000"/>
              </w:rPr>
              <w:fldChar w:fldCharType="end"/>
            </w:r>
            <w:r w:rsidRPr="00D775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7533">
              <w:rPr>
                <w:rFonts w:ascii="Times New Roman" w:hAnsi="Times New Roman"/>
                <w:color w:val="000000"/>
              </w:rPr>
              <w:t xml:space="preserve">inne: 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D305DD" w:rsidRPr="00D77533" w:rsidRDefault="00D305DD" w:rsidP="00620A5D">
            <w:pPr>
              <w:spacing w:before="60" w:line="240" w:lineRule="auto"/>
              <w:rPr>
                <w:rFonts w:ascii="Times New Roman" w:hAnsi="Times New Roman"/>
                <w:color w:val="000000"/>
              </w:rPr>
            </w:pPr>
            <w:r w:rsidRPr="00D7753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53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 w:rsidRPr="00D77533">
              <w:rPr>
                <w:rFonts w:ascii="Times New Roman" w:hAnsi="Times New Roman"/>
                <w:color w:val="000000"/>
              </w:rPr>
              <w:fldChar w:fldCharType="end"/>
            </w:r>
            <w:r w:rsidRPr="00D775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7533">
              <w:rPr>
                <w:rFonts w:ascii="Times New Roman" w:hAnsi="Times New Roman"/>
                <w:color w:val="000000"/>
              </w:rPr>
              <w:t>demografia</w:t>
            </w:r>
          </w:p>
          <w:p w:rsidR="00D305DD" w:rsidRPr="00D77533" w:rsidRDefault="000326BB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305DD" w:rsidRPr="00D775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305DD" w:rsidRPr="00D77533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682" w:type="dxa"/>
            <w:gridSpan w:val="8"/>
            <w:shd w:val="clear" w:color="auto" w:fill="FFFFFF"/>
          </w:tcPr>
          <w:p w:rsidR="00D305DD" w:rsidRPr="00D77533" w:rsidRDefault="00D305DD" w:rsidP="00620A5D">
            <w:pPr>
              <w:spacing w:before="60" w:line="240" w:lineRule="auto"/>
              <w:rPr>
                <w:rFonts w:ascii="Times New Roman" w:hAnsi="Times New Roman"/>
                <w:color w:val="000000"/>
              </w:rPr>
            </w:pPr>
            <w:r w:rsidRPr="00D7753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53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 w:rsidRPr="00D77533">
              <w:rPr>
                <w:rFonts w:ascii="Times New Roman" w:hAnsi="Times New Roman"/>
                <w:color w:val="000000"/>
              </w:rPr>
              <w:fldChar w:fldCharType="end"/>
            </w:r>
            <w:r w:rsidRPr="00D775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7533">
              <w:rPr>
                <w:rFonts w:ascii="Times New Roman" w:hAnsi="Times New Roman"/>
                <w:color w:val="000000"/>
              </w:rPr>
              <w:t>informatyzacja</w:t>
            </w:r>
          </w:p>
          <w:p w:rsidR="00D305DD" w:rsidRPr="00D77533" w:rsidRDefault="000326BB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6078">
              <w:rPr>
                <w:rFonts w:ascii="Times New Roman" w:hAnsi="Times New Roman"/>
                <w:color w:val="000000"/>
              </w:rPr>
            </w:r>
            <w:r w:rsidR="00CF607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305DD" w:rsidRPr="00D775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305DD" w:rsidRPr="00D77533">
              <w:rPr>
                <w:rFonts w:ascii="Times New Roman" w:hAnsi="Times New Roman"/>
                <w:color w:val="000000"/>
              </w:rPr>
              <w:t>zdrowie</w:t>
            </w:r>
          </w:p>
        </w:tc>
      </w:tr>
      <w:tr w:rsidR="00D305DD" w:rsidRPr="00D77533" w:rsidTr="00D77533">
        <w:trPr>
          <w:gridAfter w:val="1"/>
          <w:wAfter w:w="21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D305DD" w:rsidRPr="00D77533" w:rsidRDefault="00D305DD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753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73" w:type="dxa"/>
            <w:gridSpan w:val="27"/>
            <w:shd w:val="clear" w:color="auto" w:fill="FFFFFF"/>
            <w:vAlign w:val="center"/>
          </w:tcPr>
          <w:p w:rsidR="00620A5D" w:rsidRPr="00D77533" w:rsidRDefault="000326BB" w:rsidP="00D77533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0326BB">
              <w:rPr>
                <w:rFonts w:ascii="Times New Roman" w:hAnsi="Times New Roman"/>
                <w:color w:val="000000"/>
              </w:rPr>
              <w:t>Projekt ustawy nie wpływa na wymienione obszary</w:t>
            </w:r>
          </w:p>
        </w:tc>
      </w:tr>
      <w:tr w:rsidR="00D305DD" w:rsidRPr="00D77533" w:rsidTr="00D77533">
        <w:trPr>
          <w:gridAfter w:val="1"/>
          <w:wAfter w:w="21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:rsidR="00D305DD" w:rsidRPr="00D77533" w:rsidRDefault="00D305DD" w:rsidP="00D77533">
            <w:pPr>
              <w:keepNext/>
              <w:numPr>
                <w:ilvl w:val="0"/>
                <w:numId w:val="3"/>
              </w:numPr>
              <w:tabs>
                <w:tab w:val="clear" w:pos="360"/>
                <w:tab w:val="num" w:pos="460"/>
              </w:tabs>
              <w:spacing w:before="60" w:after="60" w:line="240" w:lineRule="auto"/>
              <w:ind w:left="460" w:hanging="426"/>
              <w:jc w:val="both"/>
              <w:rPr>
                <w:rFonts w:ascii="Times New Roman" w:hAnsi="Times New Roman"/>
                <w:b/>
              </w:rPr>
            </w:pPr>
            <w:r w:rsidRPr="00D77533">
              <w:rPr>
                <w:rFonts w:ascii="Times New Roman" w:hAnsi="Times New Roman"/>
                <w:b/>
              </w:rPr>
              <w:t>Planowane wykonanie przepisów aktu prawnego</w:t>
            </w:r>
          </w:p>
        </w:tc>
      </w:tr>
      <w:tr w:rsidR="00D305DD" w:rsidRPr="00D77533" w:rsidTr="00D77533">
        <w:trPr>
          <w:gridAfter w:val="1"/>
          <w:wAfter w:w="21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:rsidR="00D305DD" w:rsidRPr="00D77533" w:rsidRDefault="00D305DD" w:rsidP="000326BB">
            <w:pPr>
              <w:keepNext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77533">
              <w:rPr>
                <w:rFonts w:ascii="Times New Roman" w:hAnsi="Times New Roman"/>
              </w:rPr>
              <w:t>Wykonanie przepisów projektowanej ustawy nastąpi w dniu wejści</w:t>
            </w:r>
            <w:r w:rsidR="00967B7D">
              <w:rPr>
                <w:rFonts w:ascii="Times New Roman" w:hAnsi="Times New Roman"/>
              </w:rPr>
              <w:t>a</w:t>
            </w:r>
            <w:r w:rsidRPr="00D77533">
              <w:rPr>
                <w:rFonts w:ascii="Times New Roman" w:hAnsi="Times New Roman"/>
              </w:rPr>
              <w:t xml:space="preserve"> w życi</w:t>
            </w:r>
            <w:r w:rsidR="00967B7D">
              <w:rPr>
                <w:rFonts w:ascii="Times New Roman" w:hAnsi="Times New Roman"/>
              </w:rPr>
              <w:t>e</w:t>
            </w:r>
            <w:r w:rsidR="000326BB">
              <w:rPr>
                <w:rFonts w:ascii="Times New Roman" w:hAnsi="Times New Roman"/>
              </w:rPr>
              <w:t xml:space="preserve"> ustawy. </w:t>
            </w:r>
          </w:p>
        </w:tc>
      </w:tr>
      <w:tr w:rsidR="00D305DD" w:rsidRPr="00D77533" w:rsidTr="00D77533">
        <w:trPr>
          <w:gridAfter w:val="1"/>
          <w:wAfter w:w="21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:rsidR="00D305DD" w:rsidRPr="00D77533" w:rsidRDefault="00D305DD" w:rsidP="00D77533">
            <w:pPr>
              <w:numPr>
                <w:ilvl w:val="0"/>
                <w:numId w:val="3"/>
              </w:numPr>
              <w:tabs>
                <w:tab w:val="clear" w:pos="360"/>
                <w:tab w:val="num" w:pos="460"/>
              </w:tabs>
              <w:spacing w:before="60" w:after="60" w:line="240" w:lineRule="auto"/>
              <w:ind w:left="460" w:hanging="426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7533">
              <w:rPr>
                <w:rFonts w:ascii="Times New Roman" w:hAnsi="Times New Roman"/>
                <w:b/>
              </w:rPr>
              <w:t>W jaki sposób i kiedy nastąpi ewaluacja efektów projektu oraz jakie mierniki zostaną zastosowane?</w:t>
            </w:r>
          </w:p>
        </w:tc>
      </w:tr>
      <w:tr w:rsidR="00D305DD" w:rsidRPr="00D77533" w:rsidTr="00D77533">
        <w:trPr>
          <w:gridAfter w:val="1"/>
          <w:wAfter w:w="21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:rsidR="00D305DD" w:rsidRPr="00D77533" w:rsidRDefault="000326BB" w:rsidP="00D7753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Ewaluacja efektów projektu nie jest planowana.</w:t>
            </w:r>
          </w:p>
        </w:tc>
      </w:tr>
      <w:tr w:rsidR="00D305DD" w:rsidRPr="00D77533" w:rsidTr="00D77533">
        <w:trPr>
          <w:gridAfter w:val="1"/>
          <w:wAfter w:w="21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:rsidR="00D305DD" w:rsidRPr="00D77533" w:rsidRDefault="00D305DD" w:rsidP="00D77533">
            <w:pPr>
              <w:numPr>
                <w:ilvl w:val="0"/>
                <w:numId w:val="3"/>
              </w:numPr>
              <w:tabs>
                <w:tab w:val="clear" w:pos="360"/>
                <w:tab w:val="num" w:pos="460"/>
              </w:tabs>
              <w:spacing w:before="60" w:after="60" w:line="240" w:lineRule="auto"/>
              <w:ind w:left="460" w:hanging="426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7533">
              <w:rPr>
                <w:rFonts w:ascii="Times New Roman" w:hAnsi="Times New Roman"/>
                <w:b/>
                <w:color w:val="000000"/>
              </w:rPr>
              <w:t xml:space="preserve">Załączniki </w:t>
            </w:r>
            <w:r w:rsidRPr="00D77533">
              <w:rPr>
                <w:rFonts w:ascii="Times New Roman" w:hAnsi="Times New Roman"/>
                <w:b/>
              </w:rPr>
              <w:t>(istotne dokumenty źródłowe, badania, analizy itp.</w:t>
            </w:r>
            <w:r w:rsidRPr="00D77533">
              <w:rPr>
                <w:rFonts w:ascii="Times New Roman" w:hAnsi="Times New Roman"/>
                <w:b/>
                <w:color w:val="000000"/>
              </w:rPr>
              <w:t xml:space="preserve">) </w:t>
            </w:r>
          </w:p>
        </w:tc>
      </w:tr>
      <w:tr w:rsidR="00D305DD" w:rsidRPr="00D77533" w:rsidTr="00D77533">
        <w:trPr>
          <w:gridAfter w:val="1"/>
          <w:wAfter w:w="21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:rsidR="00D305DD" w:rsidRPr="00D77533" w:rsidRDefault="00D305DD" w:rsidP="000326BB">
            <w:pPr>
              <w:rPr>
                <w:rFonts w:ascii="Times New Roman" w:hAnsi="Times New Roman"/>
              </w:rPr>
            </w:pPr>
          </w:p>
        </w:tc>
      </w:tr>
    </w:tbl>
    <w:p w:rsidR="006176ED" w:rsidRPr="00D77533" w:rsidRDefault="006176ED" w:rsidP="003E4901">
      <w:pPr>
        <w:pStyle w:val="Nagwek1"/>
        <w:rPr>
          <w:rFonts w:ascii="Times New Roman" w:hAnsi="Times New Roman"/>
          <w:b w:val="0"/>
          <w:sz w:val="20"/>
          <w:szCs w:val="20"/>
        </w:rPr>
      </w:pPr>
    </w:p>
    <w:sectPr w:rsidR="006176ED" w:rsidRPr="00D77533" w:rsidSect="00CF2CB1">
      <w:footerReference w:type="default" r:id="rId10"/>
      <w:pgSz w:w="11906" w:h="16838"/>
      <w:pgMar w:top="568" w:right="707" w:bottom="568" w:left="72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78" w:rsidRDefault="00CF6078" w:rsidP="00044739">
      <w:pPr>
        <w:spacing w:line="240" w:lineRule="auto"/>
      </w:pPr>
      <w:r>
        <w:separator/>
      </w:r>
    </w:p>
  </w:endnote>
  <w:endnote w:type="continuationSeparator" w:id="0">
    <w:p w:rsidR="00CF6078" w:rsidRDefault="00CF607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1" w:rsidRPr="00CF2CB1" w:rsidRDefault="00CF2CB1">
    <w:pPr>
      <w:pStyle w:val="Stopka"/>
      <w:jc w:val="center"/>
      <w:rPr>
        <w:rFonts w:ascii="Times New Roman" w:hAnsi="Times New Roman"/>
      </w:rPr>
    </w:pPr>
    <w:r w:rsidRPr="00CF2CB1">
      <w:rPr>
        <w:rFonts w:ascii="Times New Roman" w:hAnsi="Times New Roman"/>
      </w:rPr>
      <w:fldChar w:fldCharType="begin"/>
    </w:r>
    <w:r w:rsidRPr="00CF2CB1">
      <w:rPr>
        <w:rFonts w:ascii="Times New Roman" w:hAnsi="Times New Roman"/>
      </w:rPr>
      <w:instrText>PAGE   \* MERGEFORMAT</w:instrText>
    </w:r>
    <w:r w:rsidRPr="00CF2CB1">
      <w:rPr>
        <w:rFonts w:ascii="Times New Roman" w:hAnsi="Times New Roman"/>
      </w:rPr>
      <w:fldChar w:fldCharType="separate"/>
    </w:r>
    <w:r w:rsidR="00602A16">
      <w:rPr>
        <w:rFonts w:ascii="Times New Roman" w:hAnsi="Times New Roman"/>
        <w:noProof/>
      </w:rPr>
      <w:t>6</w:t>
    </w:r>
    <w:r w:rsidRPr="00CF2CB1">
      <w:rPr>
        <w:rFonts w:ascii="Times New Roman" w:hAnsi="Times New Roman"/>
      </w:rPr>
      <w:fldChar w:fldCharType="end"/>
    </w:r>
  </w:p>
  <w:p w:rsidR="00CF2CB1" w:rsidRDefault="00CF2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78" w:rsidRDefault="00CF6078" w:rsidP="00044739">
      <w:pPr>
        <w:spacing w:line="240" w:lineRule="auto"/>
      </w:pPr>
      <w:r>
        <w:separator/>
      </w:r>
    </w:p>
  </w:footnote>
  <w:footnote w:type="continuationSeparator" w:id="0">
    <w:p w:rsidR="00CF6078" w:rsidRDefault="00CF607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5E17"/>
    <w:multiLevelType w:val="hybridMultilevel"/>
    <w:tmpl w:val="A4E42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0EE"/>
    <w:multiLevelType w:val="hybridMultilevel"/>
    <w:tmpl w:val="B22CC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2C75EB"/>
    <w:multiLevelType w:val="hybridMultilevel"/>
    <w:tmpl w:val="E4A29780"/>
    <w:lvl w:ilvl="0" w:tplc="7D1E6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D3B43"/>
    <w:multiLevelType w:val="hybridMultilevel"/>
    <w:tmpl w:val="535AF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1F05C27"/>
    <w:multiLevelType w:val="hybridMultilevel"/>
    <w:tmpl w:val="0F020D52"/>
    <w:lvl w:ilvl="0" w:tplc="FF5892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556E52"/>
    <w:multiLevelType w:val="hybridMultilevel"/>
    <w:tmpl w:val="1C205E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BB20EB"/>
    <w:multiLevelType w:val="hybridMultilevel"/>
    <w:tmpl w:val="11E4ABD4"/>
    <w:lvl w:ilvl="0" w:tplc="696249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FA0345"/>
    <w:multiLevelType w:val="hybridMultilevel"/>
    <w:tmpl w:val="29F64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BF2F3D"/>
    <w:multiLevelType w:val="hybridMultilevel"/>
    <w:tmpl w:val="D0BC5DA2"/>
    <w:lvl w:ilvl="0" w:tplc="FF5892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96042AA"/>
    <w:multiLevelType w:val="hybridMultilevel"/>
    <w:tmpl w:val="6AD033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D0546"/>
    <w:multiLevelType w:val="hybridMultilevel"/>
    <w:tmpl w:val="56963B36"/>
    <w:lvl w:ilvl="0" w:tplc="696249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D14A4B"/>
    <w:multiLevelType w:val="hybridMultilevel"/>
    <w:tmpl w:val="08DC5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0573DE"/>
    <w:multiLevelType w:val="hybridMultilevel"/>
    <w:tmpl w:val="3ED6029A"/>
    <w:lvl w:ilvl="0" w:tplc="7D1E6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5"/>
  </w:num>
  <w:num w:numId="5">
    <w:abstractNumId w:val="3"/>
  </w:num>
  <w:num w:numId="6">
    <w:abstractNumId w:val="10"/>
  </w:num>
  <w:num w:numId="7">
    <w:abstractNumId w:val="17"/>
  </w:num>
  <w:num w:numId="8">
    <w:abstractNumId w:val="6"/>
  </w:num>
  <w:num w:numId="9">
    <w:abstractNumId w:val="19"/>
  </w:num>
  <w:num w:numId="10">
    <w:abstractNumId w:val="14"/>
  </w:num>
  <w:num w:numId="11">
    <w:abstractNumId w:val="18"/>
  </w:num>
  <w:num w:numId="12">
    <w:abstractNumId w:val="4"/>
  </w:num>
  <w:num w:numId="13">
    <w:abstractNumId w:val="13"/>
  </w:num>
  <w:num w:numId="14">
    <w:abstractNumId w:val="26"/>
  </w:num>
  <w:num w:numId="15">
    <w:abstractNumId w:val="20"/>
  </w:num>
  <w:num w:numId="16">
    <w:abstractNumId w:val="23"/>
  </w:num>
  <w:num w:numId="17">
    <w:abstractNumId w:val="7"/>
  </w:num>
  <w:num w:numId="18">
    <w:abstractNumId w:val="28"/>
  </w:num>
  <w:num w:numId="19">
    <w:abstractNumId w:val="31"/>
  </w:num>
  <w:num w:numId="20">
    <w:abstractNumId w:val="21"/>
  </w:num>
  <w:num w:numId="21">
    <w:abstractNumId w:val="8"/>
  </w:num>
  <w:num w:numId="22">
    <w:abstractNumId w:val="2"/>
  </w:num>
  <w:num w:numId="23">
    <w:abstractNumId w:val="22"/>
  </w:num>
  <w:num w:numId="24">
    <w:abstractNumId w:val="15"/>
  </w:num>
  <w:num w:numId="25">
    <w:abstractNumId w:val="24"/>
  </w:num>
  <w:num w:numId="26">
    <w:abstractNumId w:val="11"/>
  </w:num>
  <w:num w:numId="27">
    <w:abstractNumId w:val="9"/>
  </w:num>
  <w:num w:numId="28">
    <w:abstractNumId w:val="30"/>
  </w:num>
  <w:num w:numId="29">
    <w:abstractNumId w:val="29"/>
  </w:num>
  <w:num w:numId="30">
    <w:abstractNumId w:val="1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1766"/>
    <w:rsid w:val="000022D5"/>
    <w:rsid w:val="00004C6A"/>
    <w:rsid w:val="00012D11"/>
    <w:rsid w:val="00013EB5"/>
    <w:rsid w:val="00022B6D"/>
    <w:rsid w:val="00023836"/>
    <w:rsid w:val="0003033B"/>
    <w:rsid w:val="00031155"/>
    <w:rsid w:val="000326BB"/>
    <w:rsid w:val="000356A9"/>
    <w:rsid w:val="00042745"/>
    <w:rsid w:val="00042CC2"/>
    <w:rsid w:val="00043DE5"/>
    <w:rsid w:val="00044138"/>
    <w:rsid w:val="00044739"/>
    <w:rsid w:val="000452EC"/>
    <w:rsid w:val="00051637"/>
    <w:rsid w:val="000546F4"/>
    <w:rsid w:val="0005571A"/>
    <w:rsid w:val="0005602B"/>
    <w:rsid w:val="00056681"/>
    <w:rsid w:val="000648A7"/>
    <w:rsid w:val="0006618B"/>
    <w:rsid w:val="000670C0"/>
    <w:rsid w:val="00071093"/>
    <w:rsid w:val="00071B99"/>
    <w:rsid w:val="0007535E"/>
    <w:rsid w:val="000756E5"/>
    <w:rsid w:val="0007704E"/>
    <w:rsid w:val="00080EC8"/>
    <w:rsid w:val="00081736"/>
    <w:rsid w:val="0009277C"/>
    <w:rsid w:val="000944AC"/>
    <w:rsid w:val="00094CB9"/>
    <w:rsid w:val="000956B2"/>
    <w:rsid w:val="000969E7"/>
    <w:rsid w:val="000978D0"/>
    <w:rsid w:val="000A23DE"/>
    <w:rsid w:val="000A4020"/>
    <w:rsid w:val="000A4039"/>
    <w:rsid w:val="000A781D"/>
    <w:rsid w:val="000B4D23"/>
    <w:rsid w:val="000B54FB"/>
    <w:rsid w:val="000B5DC4"/>
    <w:rsid w:val="000B6DD8"/>
    <w:rsid w:val="000C080C"/>
    <w:rsid w:val="000C25E1"/>
    <w:rsid w:val="000C29B0"/>
    <w:rsid w:val="000C5C28"/>
    <w:rsid w:val="000C75DA"/>
    <w:rsid w:val="000C76FC"/>
    <w:rsid w:val="000D0EDF"/>
    <w:rsid w:val="000D38FC"/>
    <w:rsid w:val="000D3F4C"/>
    <w:rsid w:val="000D4D90"/>
    <w:rsid w:val="000D4ECE"/>
    <w:rsid w:val="000E2D10"/>
    <w:rsid w:val="000E6A77"/>
    <w:rsid w:val="000F19BA"/>
    <w:rsid w:val="000F1E68"/>
    <w:rsid w:val="000F3204"/>
    <w:rsid w:val="000F4219"/>
    <w:rsid w:val="000F4D67"/>
    <w:rsid w:val="001008A4"/>
    <w:rsid w:val="0010548B"/>
    <w:rsid w:val="001072D1"/>
    <w:rsid w:val="00117017"/>
    <w:rsid w:val="0012371A"/>
    <w:rsid w:val="00130E8E"/>
    <w:rsid w:val="0013216E"/>
    <w:rsid w:val="001333FA"/>
    <w:rsid w:val="00136955"/>
    <w:rsid w:val="001401B5"/>
    <w:rsid w:val="001413E6"/>
    <w:rsid w:val="001422B9"/>
    <w:rsid w:val="00142C84"/>
    <w:rsid w:val="00145C6C"/>
    <w:rsid w:val="0014665F"/>
    <w:rsid w:val="00147A09"/>
    <w:rsid w:val="00147B3A"/>
    <w:rsid w:val="00153464"/>
    <w:rsid w:val="001541B3"/>
    <w:rsid w:val="00155B15"/>
    <w:rsid w:val="001625BE"/>
    <w:rsid w:val="001643A4"/>
    <w:rsid w:val="00166AB5"/>
    <w:rsid w:val="00167500"/>
    <w:rsid w:val="00170A33"/>
    <w:rsid w:val="001727BB"/>
    <w:rsid w:val="001764A5"/>
    <w:rsid w:val="00180D25"/>
    <w:rsid w:val="0018318D"/>
    <w:rsid w:val="0018572C"/>
    <w:rsid w:val="00187E79"/>
    <w:rsid w:val="00187F0D"/>
    <w:rsid w:val="0019054F"/>
    <w:rsid w:val="00192CC5"/>
    <w:rsid w:val="001951BF"/>
    <w:rsid w:val="001956A7"/>
    <w:rsid w:val="001A118A"/>
    <w:rsid w:val="001A1B03"/>
    <w:rsid w:val="001A1D9F"/>
    <w:rsid w:val="001A27F4"/>
    <w:rsid w:val="001A2D95"/>
    <w:rsid w:val="001A5664"/>
    <w:rsid w:val="001B02DD"/>
    <w:rsid w:val="001B3460"/>
    <w:rsid w:val="001B3533"/>
    <w:rsid w:val="001B4CA1"/>
    <w:rsid w:val="001B51EF"/>
    <w:rsid w:val="001B75D8"/>
    <w:rsid w:val="001C1060"/>
    <w:rsid w:val="001C3C63"/>
    <w:rsid w:val="001D4732"/>
    <w:rsid w:val="001D6A3C"/>
    <w:rsid w:val="001D6D51"/>
    <w:rsid w:val="001E1D7A"/>
    <w:rsid w:val="001E44B4"/>
    <w:rsid w:val="001E7A4F"/>
    <w:rsid w:val="001F653A"/>
    <w:rsid w:val="001F6979"/>
    <w:rsid w:val="0020041C"/>
    <w:rsid w:val="002008B0"/>
    <w:rsid w:val="00202BC6"/>
    <w:rsid w:val="002036CB"/>
    <w:rsid w:val="00205141"/>
    <w:rsid w:val="0020516B"/>
    <w:rsid w:val="002057CF"/>
    <w:rsid w:val="002070CA"/>
    <w:rsid w:val="00213310"/>
    <w:rsid w:val="00213559"/>
    <w:rsid w:val="00213EFD"/>
    <w:rsid w:val="002163A9"/>
    <w:rsid w:val="002172F1"/>
    <w:rsid w:val="00223C7B"/>
    <w:rsid w:val="0022462A"/>
    <w:rsid w:val="00224AB1"/>
    <w:rsid w:val="0022687A"/>
    <w:rsid w:val="00230728"/>
    <w:rsid w:val="00231E50"/>
    <w:rsid w:val="002335B6"/>
    <w:rsid w:val="00234040"/>
    <w:rsid w:val="00235CD2"/>
    <w:rsid w:val="00243AF1"/>
    <w:rsid w:val="002448AF"/>
    <w:rsid w:val="00245C62"/>
    <w:rsid w:val="00245DF5"/>
    <w:rsid w:val="0025169D"/>
    <w:rsid w:val="00254DED"/>
    <w:rsid w:val="00255619"/>
    <w:rsid w:val="00255D7F"/>
    <w:rsid w:val="00255DAD"/>
    <w:rsid w:val="00256108"/>
    <w:rsid w:val="00260F33"/>
    <w:rsid w:val="002613BD"/>
    <w:rsid w:val="002624F1"/>
    <w:rsid w:val="002625D9"/>
    <w:rsid w:val="00270C81"/>
    <w:rsid w:val="00271558"/>
    <w:rsid w:val="00271AD5"/>
    <w:rsid w:val="00272EAF"/>
    <w:rsid w:val="00274123"/>
    <w:rsid w:val="00274862"/>
    <w:rsid w:val="00275DBC"/>
    <w:rsid w:val="002763B4"/>
    <w:rsid w:val="002804C8"/>
    <w:rsid w:val="00282D72"/>
    <w:rsid w:val="00282F95"/>
    <w:rsid w:val="00283402"/>
    <w:rsid w:val="00290FD6"/>
    <w:rsid w:val="00294259"/>
    <w:rsid w:val="002A2C81"/>
    <w:rsid w:val="002A4608"/>
    <w:rsid w:val="002B3D1A"/>
    <w:rsid w:val="002B7538"/>
    <w:rsid w:val="002C018D"/>
    <w:rsid w:val="002C27D0"/>
    <w:rsid w:val="002C2C9B"/>
    <w:rsid w:val="002C43CE"/>
    <w:rsid w:val="002C4DAF"/>
    <w:rsid w:val="002C54E7"/>
    <w:rsid w:val="002C585C"/>
    <w:rsid w:val="002D17D6"/>
    <w:rsid w:val="002D18D7"/>
    <w:rsid w:val="002D21CE"/>
    <w:rsid w:val="002D28F3"/>
    <w:rsid w:val="002D4835"/>
    <w:rsid w:val="002D6C24"/>
    <w:rsid w:val="002E3DA3"/>
    <w:rsid w:val="002E450F"/>
    <w:rsid w:val="002E6B38"/>
    <w:rsid w:val="002E6D63"/>
    <w:rsid w:val="002E6E2B"/>
    <w:rsid w:val="002F02A7"/>
    <w:rsid w:val="002F0D15"/>
    <w:rsid w:val="002F500B"/>
    <w:rsid w:val="002F7F22"/>
    <w:rsid w:val="00300991"/>
    <w:rsid w:val="00301959"/>
    <w:rsid w:val="00301F28"/>
    <w:rsid w:val="0030235F"/>
    <w:rsid w:val="00305B8A"/>
    <w:rsid w:val="0030702B"/>
    <w:rsid w:val="00310BCF"/>
    <w:rsid w:val="00312205"/>
    <w:rsid w:val="00314020"/>
    <w:rsid w:val="00314DD3"/>
    <w:rsid w:val="00315167"/>
    <w:rsid w:val="00315E02"/>
    <w:rsid w:val="00317403"/>
    <w:rsid w:val="00321D06"/>
    <w:rsid w:val="00323EFC"/>
    <w:rsid w:val="00331BF9"/>
    <w:rsid w:val="00333782"/>
    <w:rsid w:val="0033495E"/>
    <w:rsid w:val="00334A79"/>
    <w:rsid w:val="00334D8D"/>
    <w:rsid w:val="00335F46"/>
    <w:rsid w:val="00336D33"/>
    <w:rsid w:val="00337345"/>
    <w:rsid w:val="00337DD2"/>
    <w:rsid w:val="003404D1"/>
    <w:rsid w:val="003406CB"/>
    <w:rsid w:val="00341D85"/>
    <w:rsid w:val="003423F1"/>
    <w:rsid w:val="003443FF"/>
    <w:rsid w:val="00352205"/>
    <w:rsid w:val="003536C7"/>
    <w:rsid w:val="00353A66"/>
    <w:rsid w:val="00355808"/>
    <w:rsid w:val="00356610"/>
    <w:rsid w:val="00361802"/>
    <w:rsid w:val="00362C7E"/>
    <w:rsid w:val="00363309"/>
    <w:rsid w:val="00363601"/>
    <w:rsid w:val="00365975"/>
    <w:rsid w:val="003737FC"/>
    <w:rsid w:val="003744F2"/>
    <w:rsid w:val="00376AC9"/>
    <w:rsid w:val="00381F48"/>
    <w:rsid w:val="00384386"/>
    <w:rsid w:val="00393032"/>
    <w:rsid w:val="00394B69"/>
    <w:rsid w:val="003964AA"/>
    <w:rsid w:val="00396CEF"/>
    <w:rsid w:val="00396E34"/>
    <w:rsid w:val="00397078"/>
    <w:rsid w:val="003A0BFE"/>
    <w:rsid w:val="003A26EE"/>
    <w:rsid w:val="003A6953"/>
    <w:rsid w:val="003B6083"/>
    <w:rsid w:val="003B756E"/>
    <w:rsid w:val="003C2BAC"/>
    <w:rsid w:val="003C3838"/>
    <w:rsid w:val="003C3D3A"/>
    <w:rsid w:val="003C5847"/>
    <w:rsid w:val="003C6D90"/>
    <w:rsid w:val="003C77BD"/>
    <w:rsid w:val="003D0681"/>
    <w:rsid w:val="003D12F6"/>
    <w:rsid w:val="003D1426"/>
    <w:rsid w:val="003D673C"/>
    <w:rsid w:val="003E145B"/>
    <w:rsid w:val="003E2F4E"/>
    <w:rsid w:val="003E4901"/>
    <w:rsid w:val="003E720A"/>
    <w:rsid w:val="003F09F9"/>
    <w:rsid w:val="003F4E10"/>
    <w:rsid w:val="003F5A99"/>
    <w:rsid w:val="00403E6E"/>
    <w:rsid w:val="004064BC"/>
    <w:rsid w:val="004129B4"/>
    <w:rsid w:val="00414A20"/>
    <w:rsid w:val="00415A04"/>
    <w:rsid w:val="00417EF0"/>
    <w:rsid w:val="00422181"/>
    <w:rsid w:val="004229B2"/>
    <w:rsid w:val="004244A8"/>
    <w:rsid w:val="00425810"/>
    <w:rsid w:val="00425F72"/>
    <w:rsid w:val="00427736"/>
    <w:rsid w:val="004408D1"/>
    <w:rsid w:val="00441787"/>
    <w:rsid w:val="00444F2D"/>
    <w:rsid w:val="00446357"/>
    <w:rsid w:val="00447FD6"/>
    <w:rsid w:val="00452034"/>
    <w:rsid w:val="00452EA4"/>
    <w:rsid w:val="00455FA6"/>
    <w:rsid w:val="004574DF"/>
    <w:rsid w:val="00466C70"/>
    <w:rsid w:val="00467B66"/>
    <w:rsid w:val="004702C9"/>
    <w:rsid w:val="00472E45"/>
    <w:rsid w:val="00473303"/>
    <w:rsid w:val="00473380"/>
    <w:rsid w:val="00473FEA"/>
    <w:rsid w:val="00475718"/>
    <w:rsid w:val="0047579D"/>
    <w:rsid w:val="00475A9E"/>
    <w:rsid w:val="00483262"/>
    <w:rsid w:val="00484107"/>
    <w:rsid w:val="00485CC5"/>
    <w:rsid w:val="00490C60"/>
    <w:rsid w:val="0049290C"/>
    <w:rsid w:val="0049343F"/>
    <w:rsid w:val="004964FC"/>
    <w:rsid w:val="004A145E"/>
    <w:rsid w:val="004A1F15"/>
    <w:rsid w:val="004A2A81"/>
    <w:rsid w:val="004A33CF"/>
    <w:rsid w:val="004A7B1B"/>
    <w:rsid w:val="004A7BD7"/>
    <w:rsid w:val="004B139B"/>
    <w:rsid w:val="004B1C32"/>
    <w:rsid w:val="004B3A25"/>
    <w:rsid w:val="004C0C0A"/>
    <w:rsid w:val="004C15C2"/>
    <w:rsid w:val="004C3593"/>
    <w:rsid w:val="004C36D8"/>
    <w:rsid w:val="004C752B"/>
    <w:rsid w:val="004D04C3"/>
    <w:rsid w:val="004D1248"/>
    <w:rsid w:val="004D1E3C"/>
    <w:rsid w:val="004D4169"/>
    <w:rsid w:val="004D5F25"/>
    <w:rsid w:val="004D6E14"/>
    <w:rsid w:val="004D7845"/>
    <w:rsid w:val="004D7EE9"/>
    <w:rsid w:val="004E4E73"/>
    <w:rsid w:val="004E5387"/>
    <w:rsid w:val="004E7CB8"/>
    <w:rsid w:val="004F453A"/>
    <w:rsid w:val="004F4BA8"/>
    <w:rsid w:val="004F4E17"/>
    <w:rsid w:val="004F6962"/>
    <w:rsid w:val="0050082F"/>
    <w:rsid w:val="00500C56"/>
    <w:rsid w:val="00501713"/>
    <w:rsid w:val="00506568"/>
    <w:rsid w:val="00507789"/>
    <w:rsid w:val="0051551B"/>
    <w:rsid w:val="00517036"/>
    <w:rsid w:val="00520C57"/>
    <w:rsid w:val="00522D94"/>
    <w:rsid w:val="005233E7"/>
    <w:rsid w:val="00532BD4"/>
    <w:rsid w:val="00533D89"/>
    <w:rsid w:val="00536564"/>
    <w:rsid w:val="0054178E"/>
    <w:rsid w:val="00541C71"/>
    <w:rsid w:val="00543F83"/>
    <w:rsid w:val="00544597"/>
    <w:rsid w:val="00544FFE"/>
    <w:rsid w:val="005473F5"/>
    <w:rsid w:val="005477E7"/>
    <w:rsid w:val="00552794"/>
    <w:rsid w:val="00556723"/>
    <w:rsid w:val="00560FA2"/>
    <w:rsid w:val="0056165F"/>
    <w:rsid w:val="00563199"/>
    <w:rsid w:val="00564874"/>
    <w:rsid w:val="00567963"/>
    <w:rsid w:val="0057009A"/>
    <w:rsid w:val="00571260"/>
    <w:rsid w:val="0057189C"/>
    <w:rsid w:val="00572CF5"/>
    <w:rsid w:val="00573FC1"/>
    <w:rsid w:val="005741EE"/>
    <w:rsid w:val="0057668E"/>
    <w:rsid w:val="00583700"/>
    <w:rsid w:val="005850B6"/>
    <w:rsid w:val="005925FC"/>
    <w:rsid w:val="00595E83"/>
    <w:rsid w:val="00596530"/>
    <w:rsid w:val="005967F3"/>
    <w:rsid w:val="005A06DF"/>
    <w:rsid w:val="005A5527"/>
    <w:rsid w:val="005A5AE6"/>
    <w:rsid w:val="005A732D"/>
    <w:rsid w:val="005B1206"/>
    <w:rsid w:val="005B1A09"/>
    <w:rsid w:val="005B37E8"/>
    <w:rsid w:val="005B4CBD"/>
    <w:rsid w:val="005B6631"/>
    <w:rsid w:val="005C0056"/>
    <w:rsid w:val="005C75FF"/>
    <w:rsid w:val="005D2B37"/>
    <w:rsid w:val="005D61D6"/>
    <w:rsid w:val="005E0D13"/>
    <w:rsid w:val="005E1BCB"/>
    <w:rsid w:val="005E5047"/>
    <w:rsid w:val="005E56A9"/>
    <w:rsid w:val="005E7205"/>
    <w:rsid w:val="005E7371"/>
    <w:rsid w:val="005E7946"/>
    <w:rsid w:val="005F116C"/>
    <w:rsid w:val="005F2131"/>
    <w:rsid w:val="005F4C5D"/>
    <w:rsid w:val="00602A16"/>
    <w:rsid w:val="00605EF6"/>
    <w:rsid w:val="00606455"/>
    <w:rsid w:val="00614929"/>
    <w:rsid w:val="00614E26"/>
    <w:rsid w:val="00616511"/>
    <w:rsid w:val="006176ED"/>
    <w:rsid w:val="006200DE"/>
    <w:rsid w:val="006202F3"/>
    <w:rsid w:val="0062097A"/>
    <w:rsid w:val="00620A5D"/>
    <w:rsid w:val="00621DA6"/>
    <w:rsid w:val="00623CFE"/>
    <w:rsid w:val="00627221"/>
    <w:rsid w:val="00627EE8"/>
    <w:rsid w:val="006310B9"/>
    <w:rsid w:val="006316FA"/>
    <w:rsid w:val="00631AA1"/>
    <w:rsid w:val="006370D2"/>
    <w:rsid w:val="0064074F"/>
    <w:rsid w:val="00641F55"/>
    <w:rsid w:val="00642B8D"/>
    <w:rsid w:val="00645E4A"/>
    <w:rsid w:val="00647065"/>
    <w:rsid w:val="006528DC"/>
    <w:rsid w:val="00653688"/>
    <w:rsid w:val="0066091B"/>
    <w:rsid w:val="0066120B"/>
    <w:rsid w:val="00661615"/>
    <w:rsid w:val="006643D3"/>
    <w:rsid w:val="006660E9"/>
    <w:rsid w:val="006665AF"/>
    <w:rsid w:val="00666BAC"/>
    <w:rsid w:val="00667249"/>
    <w:rsid w:val="00667558"/>
    <w:rsid w:val="00671523"/>
    <w:rsid w:val="00672A41"/>
    <w:rsid w:val="00674296"/>
    <w:rsid w:val="006754EF"/>
    <w:rsid w:val="00676C8D"/>
    <w:rsid w:val="00676F1F"/>
    <w:rsid w:val="00677381"/>
    <w:rsid w:val="00677414"/>
    <w:rsid w:val="006810F3"/>
    <w:rsid w:val="006826F5"/>
    <w:rsid w:val="006832CF"/>
    <w:rsid w:val="0068601E"/>
    <w:rsid w:val="006877B0"/>
    <w:rsid w:val="00690A46"/>
    <w:rsid w:val="0069486B"/>
    <w:rsid w:val="00694FFC"/>
    <w:rsid w:val="006A4904"/>
    <w:rsid w:val="006A548F"/>
    <w:rsid w:val="006A701A"/>
    <w:rsid w:val="006A789D"/>
    <w:rsid w:val="006B64DC"/>
    <w:rsid w:val="006B7A91"/>
    <w:rsid w:val="006C1709"/>
    <w:rsid w:val="006C7042"/>
    <w:rsid w:val="006D4704"/>
    <w:rsid w:val="006D484C"/>
    <w:rsid w:val="006D594A"/>
    <w:rsid w:val="006D6A2D"/>
    <w:rsid w:val="006E1E18"/>
    <w:rsid w:val="006E27D3"/>
    <w:rsid w:val="006E31CE"/>
    <w:rsid w:val="006E34D3"/>
    <w:rsid w:val="006E43D4"/>
    <w:rsid w:val="006E4D75"/>
    <w:rsid w:val="006E73A7"/>
    <w:rsid w:val="006F1435"/>
    <w:rsid w:val="006F4CB4"/>
    <w:rsid w:val="006F4ED3"/>
    <w:rsid w:val="006F68BF"/>
    <w:rsid w:val="006F6991"/>
    <w:rsid w:val="006F78C4"/>
    <w:rsid w:val="00700E2A"/>
    <w:rsid w:val="007027E5"/>
    <w:rsid w:val="007031A0"/>
    <w:rsid w:val="007056F5"/>
    <w:rsid w:val="00705A29"/>
    <w:rsid w:val="00705CB0"/>
    <w:rsid w:val="00707498"/>
    <w:rsid w:val="00711A65"/>
    <w:rsid w:val="00714133"/>
    <w:rsid w:val="00714DA4"/>
    <w:rsid w:val="007158B2"/>
    <w:rsid w:val="00716081"/>
    <w:rsid w:val="00717E00"/>
    <w:rsid w:val="00722B48"/>
    <w:rsid w:val="00724164"/>
    <w:rsid w:val="00725DE7"/>
    <w:rsid w:val="0072636A"/>
    <w:rsid w:val="00726B44"/>
    <w:rsid w:val="007314A4"/>
    <w:rsid w:val="007318DD"/>
    <w:rsid w:val="00733167"/>
    <w:rsid w:val="00737C5D"/>
    <w:rsid w:val="00740D2C"/>
    <w:rsid w:val="0074127C"/>
    <w:rsid w:val="00742603"/>
    <w:rsid w:val="00743A19"/>
    <w:rsid w:val="00744BF9"/>
    <w:rsid w:val="00747EC8"/>
    <w:rsid w:val="007525F8"/>
    <w:rsid w:val="00752623"/>
    <w:rsid w:val="00754433"/>
    <w:rsid w:val="00756465"/>
    <w:rsid w:val="00760551"/>
    <w:rsid w:val="00760F1F"/>
    <w:rsid w:val="0076423E"/>
    <w:rsid w:val="007646CB"/>
    <w:rsid w:val="00766046"/>
    <w:rsid w:val="0076658F"/>
    <w:rsid w:val="00766E47"/>
    <w:rsid w:val="0077040A"/>
    <w:rsid w:val="00772D64"/>
    <w:rsid w:val="0077691F"/>
    <w:rsid w:val="00780323"/>
    <w:rsid w:val="0078335B"/>
    <w:rsid w:val="00785136"/>
    <w:rsid w:val="007907FD"/>
    <w:rsid w:val="00792609"/>
    <w:rsid w:val="00792887"/>
    <w:rsid w:val="007943E2"/>
    <w:rsid w:val="00794F2C"/>
    <w:rsid w:val="007A1E99"/>
    <w:rsid w:val="007A3BC7"/>
    <w:rsid w:val="007A4338"/>
    <w:rsid w:val="007A5AC4"/>
    <w:rsid w:val="007A6775"/>
    <w:rsid w:val="007B0FDD"/>
    <w:rsid w:val="007B4802"/>
    <w:rsid w:val="007B4EDC"/>
    <w:rsid w:val="007B63D5"/>
    <w:rsid w:val="007B6668"/>
    <w:rsid w:val="007B6B33"/>
    <w:rsid w:val="007B7814"/>
    <w:rsid w:val="007C09B3"/>
    <w:rsid w:val="007C2019"/>
    <w:rsid w:val="007C2701"/>
    <w:rsid w:val="007C3E66"/>
    <w:rsid w:val="007C53B7"/>
    <w:rsid w:val="007D2192"/>
    <w:rsid w:val="007D5244"/>
    <w:rsid w:val="007D6E29"/>
    <w:rsid w:val="007E0ECE"/>
    <w:rsid w:val="007E1690"/>
    <w:rsid w:val="007F0021"/>
    <w:rsid w:val="007F2F52"/>
    <w:rsid w:val="00801F71"/>
    <w:rsid w:val="008045E7"/>
    <w:rsid w:val="00805F28"/>
    <w:rsid w:val="00806F63"/>
    <w:rsid w:val="0080749F"/>
    <w:rsid w:val="00811D46"/>
    <w:rsid w:val="008125B0"/>
    <w:rsid w:val="008144CB"/>
    <w:rsid w:val="00815588"/>
    <w:rsid w:val="00815FF3"/>
    <w:rsid w:val="00821717"/>
    <w:rsid w:val="00823EB3"/>
    <w:rsid w:val="00824210"/>
    <w:rsid w:val="00824885"/>
    <w:rsid w:val="008254A6"/>
    <w:rsid w:val="00825C1A"/>
    <w:rsid w:val="008263C0"/>
    <w:rsid w:val="00827976"/>
    <w:rsid w:val="00831BE0"/>
    <w:rsid w:val="00841422"/>
    <w:rsid w:val="008419C2"/>
    <w:rsid w:val="00841D3B"/>
    <w:rsid w:val="0084266C"/>
    <w:rsid w:val="0084314C"/>
    <w:rsid w:val="00843171"/>
    <w:rsid w:val="008558AC"/>
    <w:rsid w:val="008568F5"/>
    <w:rsid w:val="008575C3"/>
    <w:rsid w:val="00860D24"/>
    <w:rsid w:val="00861CC1"/>
    <w:rsid w:val="00863D28"/>
    <w:rsid w:val="008648C3"/>
    <w:rsid w:val="0086718C"/>
    <w:rsid w:val="00874A65"/>
    <w:rsid w:val="00880F26"/>
    <w:rsid w:val="0088307C"/>
    <w:rsid w:val="008852AA"/>
    <w:rsid w:val="008906CB"/>
    <w:rsid w:val="00895246"/>
    <w:rsid w:val="00896C2E"/>
    <w:rsid w:val="008A17FC"/>
    <w:rsid w:val="008A261F"/>
    <w:rsid w:val="008A5095"/>
    <w:rsid w:val="008A608F"/>
    <w:rsid w:val="008B1740"/>
    <w:rsid w:val="008B1A9A"/>
    <w:rsid w:val="008B3954"/>
    <w:rsid w:val="008B4FE6"/>
    <w:rsid w:val="008B5BC3"/>
    <w:rsid w:val="008B6C37"/>
    <w:rsid w:val="008B6C65"/>
    <w:rsid w:val="008B79F4"/>
    <w:rsid w:val="008C2E2A"/>
    <w:rsid w:val="008D2044"/>
    <w:rsid w:val="008D51B9"/>
    <w:rsid w:val="008E18F7"/>
    <w:rsid w:val="008E1954"/>
    <w:rsid w:val="008E1E10"/>
    <w:rsid w:val="008E291B"/>
    <w:rsid w:val="008E4386"/>
    <w:rsid w:val="008E4F2F"/>
    <w:rsid w:val="008E74B0"/>
    <w:rsid w:val="008E7733"/>
    <w:rsid w:val="008F1E52"/>
    <w:rsid w:val="008F5D30"/>
    <w:rsid w:val="009008A8"/>
    <w:rsid w:val="009023F7"/>
    <w:rsid w:val="009035F3"/>
    <w:rsid w:val="009063B0"/>
    <w:rsid w:val="00907106"/>
    <w:rsid w:val="009107FD"/>
    <w:rsid w:val="0091137C"/>
    <w:rsid w:val="00911567"/>
    <w:rsid w:val="00911813"/>
    <w:rsid w:val="00914330"/>
    <w:rsid w:val="00917AAE"/>
    <w:rsid w:val="009251A9"/>
    <w:rsid w:val="0092559A"/>
    <w:rsid w:val="00930699"/>
    <w:rsid w:val="00931F69"/>
    <w:rsid w:val="00934123"/>
    <w:rsid w:val="009478AF"/>
    <w:rsid w:val="0095000B"/>
    <w:rsid w:val="00955774"/>
    <w:rsid w:val="009560B5"/>
    <w:rsid w:val="009567ED"/>
    <w:rsid w:val="00962ABF"/>
    <w:rsid w:val="00962B2B"/>
    <w:rsid w:val="00967B7D"/>
    <w:rsid w:val="009703D6"/>
    <w:rsid w:val="0097181B"/>
    <w:rsid w:val="00971CFD"/>
    <w:rsid w:val="00976DC5"/>
    <w:rsid w:val="00976E0B"/>
    <w:rsid w:val="009818C7"/>
    <w:rsid w:val="00982048"/>
    <w:rsid w:val="00982DD4"/>
    <w:rsid w:val="00983BF8"/>
    <w:rsid w:val="009841E5"/>
    <w:rsid w:val="0098479F"/>
    <w:rsid w:val="00984892"/>
    <w:rsid w:val="00984A8A"/>
    <w:rsid w:val="009857B6"/>
    <w:rsid w:val="00985A8D"/>
    <w:rsid w:val="00986610"/>
    <w:rsid w:val="0098742A"/>
    <w:rsid w:val="009877DC"/>
    <w:rsid w:val="0099169F"/>
    <w:rsid w:val="00991F96"/>
    <w:rsid w:val="009936DF"/>
    <w:rsid w:val="009942C1"/>
    <w:rsid w:val="00996F0A"/>
    <w:rsid w:val="009A1D86"/>
    <w:rsid w:val="009A4546"/>
    <w:rsid w:val="009A4FB9"/>
    <w:rsid w:val="009A6ADA"/>
    <w:rsid w:val="009B017A"/>
    <w:rsid w:val="009B049C"/>
    <w:rsid w:val="009B11C8"/>
    <w:rsid w:val="009B2289"/>
    <w:rsid w:val="009B2BCF"/>
    <w:rsid w:val="009B2FF8"/>
    <w:rsid w:val="009B5BA3"/>
    <w:rsid w:val="009C3132"/>
    <w:rsid w:val="009D0027"/>
    <w:rsid w:val="009D0655"/>
    <w:rsid w:val="009D23B4"/>
    <w:rsid w:val="009D5EAF"/>
    <w:rsid w:val="009E1E98"/>
    <w:rsid w:val="009E39C2"/>
    <w:rsid w:val="009E3ABE"/>
    <w:rsid w:val="009E3C4B"/>
    <w:rsid w:val="009E6752"/>
    <w:rsid w:val="009E6DA7"/>
    <w:rsid w:val="009F0637"/>
    <w:rsid w:val="009F2118"/>
    <w:rsid w:val="009F58A3"/>
    <w:rsid w:val="009F62A6"/>
    <w:rsid w:val="009F674F"/>
    <w:rsid w:val="009F7374"/>
    <w:rsid w:val="009F799E"/>
    <w:rsid w:val="00A02020"/>
    <w:rsid w:val="00A021AC"/>
    <w:rsid w:val="00A03569"/>
    <w:rsid w:val="00A03DBA"/>
    <w:rsid w:val="00A056CB"/>
    <w:rsid w:val="00A07A29"/>
    <w:rsid w:val="00A10FF1"/>
    <w:rsid w:val="00A1506B"/>
    <w:rsid w:val="00A1773E"/>
    <w:rsid w:val="00A17CB2"/>
    <w:rsid w:val="00A20641"/>
    <w:rsid w:val="00A219E9"/>
    <w:rsid w:val="00A21F0E"/>
    <w:rsid w:val="00A22B47"/>
    <w:rsid w:val="00A22BDE"/>
    <w:rsid w:val="00A23191"/>
    <w:rsid w:val="00A23ADF"/>
    <w:rsid w:val="00A244B4"/>
    <w:rsid w:val="00A25189"/>
    <w:rsid w:val="00A274E9"/>
    <w:rsid w:val="00A319C0"/>
    <w:rsid w:val="00A31CAD"/>
    <w:rsid w:val="00A33560"/>
    <w:rsid w:val="00A35DBA"/>
    <w:rsid w:val="00A364E4"/>
    <w:rsid w:val="00A36837"/>
    <w:rsid w:val="00A371A5"/>
    <w:rsid w:val="00A40A80"/>
    <w:rsid w:val="00A42015"/>
    <w:rsid w:val="00A4552F"/>
    <w:rsid w:val="00A45C20"/>
    <w:rsid w:val="00A4651C"/>
    <w:rsid w:val="00A47BDF"/>
    <w:rsid w:val="00A50EE8"/>
    <w:rsid w:val="00A51CD7"/>
    <w:rsid w:val="00A52ADB"/>
    <w:rsid w:val="00A533E8"/>
    <w:rsid w:val="00A53537"/>
    <w:rsid w:val="00A542D9"/>
    <w:rsid w:val="00A54936"/>
    <w:rsid w:val="00A56E64"/>
    <w:rsid w:val="00A624C3"/>
    <w:rsid w:val="00A6641C"/>
    <w:rsid w:val="00A704EF"/>
    <w:rsid w:val="00A76291"/>
    <w:rsid w:val="00A767D2"/>
    <w:rsid w:val="00A77616"/>
    <w:rsid w:val="00A805DA"/>
    <w:rsid w:val="00A811B4"/>
    <w:rsid w:val="00A8174D"/>
    <w:rsid w:val="00A86EFF"/>
    <w:rsid w:val="00A87CDE"/>
    <w:rsid w:val="00A92BAF"/>
    <w:rsid w:val="00A94737"/>
    <w:rsid w:val="00A94BA3"/>
    <w:rsid w:val="00A96CBA"/>
    <w:rsid w:val="00AA2943"/>
    <w:rsid w:val="00AA400F"/>
    <w:rsid w:val="00AA7C1D"/>
    <w:rsid w:val="00AB1ACD"/>
    <w:rsid w:val="00AB277F"/>
    <w:rsid w:val="00AB350A"/>
    <w:rsid w:val="00AB3610"/>
    <w:rsid w:val="00AB4099"/>
    <w:rsid w:val="00AB449A"/>
    <w:rsid w:val="00AB67FB"/>
    <w:rsid w:val="00AC1035"/>
    <w:rsid w:val="00AD14F9"/>
    <w:rsid w:val="00AD35D6"/>
    <w:rsid w:val="00AD58C5"/>
    <w:rsid w:val="00AD5ADF"/>
    <w:rsid w:val="00AE1707"/>
    <w:rsid w:val="00AE36C4"/>
    <w:rsid w:val="00AE472C"/>
    <w:rsid w:val="00AE5375"/>
    <w:rsid w:val="00AE5F92"/>
    <w:rsid w:val="00AE6CF8"/>
    <w:rsid w:val="00AF4CAC"/>
    <w:rsid w:val="00AF5392"/>
    <w:rsid w:val="00AF5C0F"/>
    <w:rsid w:val="00B03E0D"/>
    <w:rsid w:val="00B054F8"/>
    <w:rsid w:val="00B10D91"/>
    <w:rsid w:val="00B13414"/>
    <w:rsid w:val="00B14364"/>
    <w:rsid w:val="00B14DA5"/>
    <w:rsid w:val="00B21CEE"/>
    <w:rsid w:val="00B2219A"/>
    <w:rsid w:val="00B2628B"/>
    <w:rsid w:val="00B339CE"/>
    <w:rsid w:val="00B3581B"/>
    <w:rsid w:val="00B36B81"/>
    <w:rsid w:val="00B36FEE"/>
    <w:rsid w:val="00B37C80"/>
    <w:rsid w:val="00B45ED7"/>
    <w:rsid w:val="00B5092B"/>
    <w:rsid w:val="00B5194E"/>
    <w:rsid w:val="00B51AF5"/>
    <w:rsid w:val="00B531FC"/>
    <w:rsid w:val="00B55347"/>
    <w:rsid w:val="00B56B7F"/>
    <w:rsid w:val="00B57E5E"/>
    <w:rsid w:val="00B61F37"/>
    <w:rsid w:val="00B651E0"/>
    <w:rsid w:val="00B6768E"/>
    <w:rsid w:val="00B71ADD"/>
    <w:rsid w:val="00B74454"/>
    <w:rsid w:val="00B750A2"/>
    <w:rsid w:val="00B7770F"/>
    <w:rsid w:val="00B77A89"/>
    <w:rsid w:val="00B77B27"/>
    <w:rsid w:val="00B8134E"/>
    <w:rsid w:val="00B815DF"/>
    <w:rsid w:val="00B81B55"/>
    <w:rsid w:val="00B84613"/>
    <w:rsid w:val="00B87AF0"/>
    <w:rsid w:val="00B9037B"/>
    <w:rsid w:val="00B910BD"/>
    <w:rsid w:val="00B93834"/>
    <w:rsid w:val="00B96469"/>
    <w:rsid w:val="00B973FD"/>
    <w:rsid w:val="00BA0DA2"/>
    <w:rsid w:val="00BA2981"/>
    <w:rsid w:val="00BA42EE"/>
    <w:rsid w:val="00BA48F9"/>
    <w:rsid w:val="00BA5F14"/>
    <w:rsid w:val="00BB0DCA"/>
    <w:rsid w:val="00BB2666"/>
    <w:rsid w:val="00BB4C43"/>
    <w:rsid w:val="00BB6B80"/>
    <w:rsid w:val="00BC12B9"/>
    <w:rsid w:val="00BC1DE0"/>
    <w:rsid w:val="00BC36E9"/>
    <w:rsid w:val="00BC3773"/>
    <w:rsid w:val="00BC381A"/>
    <w:rsid w:val="00BC7194"/>
    <w:rsid w:val="00BD0962"/>
    <w:rsid w:val="00BD1EED"/>
    <w:rsid w:val="00BD2318"/>
    <w:rsid w:val="00BD5C8B"/>
    <w:rsid w:val="00BE0C93"/>
    <w:rsid w:val="00BE3986"/>
    <w:rsid w:val="00BE46E9"/>
    <w:rsid w:val="00BE53DA"/>
    <w:rsid w:val="00BF0DA2"/>
    <w:rsid w:val="00BF1063"/>
    <w:rsid w:val="00BF109C"/>
    <w:rsid w:val="00BF34FA"/>
    <w:rsid w:val="00C004B6"/>
    <w:rsid w:val="00C047A7"/>
    <w:rsid w:val="00C05DE5"/>
    <w:rsid w:val="00C06FEF"/>
    <w:rsid w:val="00C07D7E"/>
    <w:rsid w:val="00C10B81"/>
    <w:rsid w:val="00C12C59"/>
    <w:rsid w:val="00C13B1A"/>
    <w:rsid w:val="00C14757"/>
    <w:rsid w:val="00C20C95"/>
    <w:rsid w:val="00C245CB"/>
    <w:rsid w:val="00C25108"/>
    <w:rsid w:val="00C307EA"/>
    <w:rsid w:val="00C31EF1"/>
    <w:rsid w:val="00C3269E"/>
    <w:rsid w:val="00C32CCD"/>
    <w:rsid w:val="00C33027"/>
    <w:rsid w:val="00C37667"/>
    <w:rsid w:val="00C435DB"/>
    <w:rsid w:val="00C44D73"/>
    <w:rsid w:val="00C46B3C"/>
    <w:rsid w:val="00C470DC"/>
    <w:rsid w:val="00C50B42"/>
    <w:rsid w:val="00C516FF"/>
    <w:rsid w:val="00C52BFA"/>
    <w:rsid w:val="00C53D1D"/>
    <w:rsid w:val="00C53F26"/>
    <w:rsid w:val="00C540BC"/>
    <w:rsid w:val="00C54ECE"/>
    <w:rsid w:val="00C57028"/>
    <w:rsid w:val="00C62582"/>
    <w:rsid w:val="00C62B4B"/>
    <w:rsid w:val="00C64F7D"/>
    <w:rsid w:val="00C67309"/>
    <w:rsid w:val="00C71EF8"/>
    <w:rsid w:val="00C7614E"/>
    <w:rsid w:val="00C77BF1"/>
    <w:rsid w:val="00C80D60"/>
    <w:rsid w:val="00C814CF"/>
    <w:rsid w:val="00C82FBD"/>
    <w:rsid w:val="00C84288"/>
    <w:rsid w:val="00C85267"/>
    <w:rsid w:val="00C8721B"/>
    <w:rsid w:val="00C91DD7"/>
    <w:rsid w:val="00C9372C"/>
    <w:rsid w:val="00C94562"/>
    <w:rsid w:val="00C9470E"/>
    <w:rsid w:val="00C95CEB"/>
    <w:rsid w:val="00CA1054"/>
    <w:rsid w:val="00CA2B04"/>
    <w:rsid w:val="00CA63EB"/>
    <w:rsid w:val="00CA66BC"/>
    <w:rsid w:val="00CA69F1"/>
    <w:rsid w:val="00CB5C76"/>
    <w:rsid w:val="00CB5FE0"/>
    <w:rsid w:val="00CB6991"/>
    <w:rsid w:val="00CC6194"/>
    <w:rsid w:val="00CC6305"/>
    <w:rsid w:val="00CC78A5"/>
    <w:rsid w:val="00CD0516"/>
    <w:rsid w:val="00CD4F17"/>
    <w:rsid w:val="00CD6139"/>
    <w:rsid w:val="00CD72AB"/>
    <w:rsid w:val="00CD756B"/>
    <w:rsid w:val="00CE734F"/>
    <w:rsid w:val="00CE7759"/>
    <w:rsid w:val="00CF112E"/>
    <w:rsid w:val="00CF2CB1"/>
    <w:rsid w:val="00CF5F4F"/>
    <w:rsid w:val="00CF6078"/>
    <w:rsid w:val="00CF655A"/>
    <w:rsid w:val="00CF6D8E"/>
    <w:rsid w:val="00D055D9"/>
    <w:rsid w:val="00D07B9D"/>
    <w:rsid w:val="00D218DC"/>
    <w:rsid w:val="00D24E56"/>
    <w:rsid w:val="00D26ED2"/>
    <w:rsid w:val="00D300D8"/>
    <w:rsid w:val="00D305DD"/>
    <w:rsid w:val="00D31643"/>
    <w:rsid w:val="00D31AEB"/>
    <w:rsid w:val="00D32ECD"/>
    <w:rsid w:val="00D36152"/>
    <w:rsid w:val="00D361E4"/>
    <w:rsid w:val="00D36B88"/>
    <w:rsid w:val="00D40E8D"/>
    <w:rsid w:val="00D42A8F"/>
    <w:rsid w:val="00D439F6"/>
    <w:rsid w:val="00D459C6"/>
    <w:rsid w:val="00D50729"/>
    <w:rsid w:val="00D50C19"/>
    <w:rsid w:val="00D50C37"/>
    <w:rsid w:val="00D52D4F"/>
    <w:rsid w:val="00D5379E"/>
    <w:rsid w:val="00D5655E"/>
    <w:rsid w:val="00D62643"/>
    <w:rsid w:val="00D633D9"/>
    <w:rsid w:val="00D64C0F"/>
    <w:rsid w:val="00D658F1"/>
    <w:rsid w:val="00D66531"/>
    <w:rsid w:val="00D709D6"/>
    <w:rsid w:val="00D72EFE"/>
    <w:rsid w:val="00D76227"/>
    <w:rsid w:val="00D77533"/>
    <w:rsid w:val="00D77DF1"/>
    <w:rsid w:val="00D80B1B"/>
    <w:rsid w:val="00D8334C"/>
    <w:rsid w:val="00D86AFF"/>
    <w:rsid w:val="00D949F2"/>
    <w:rsid w:val="00D95A44"/>
    <w:rsid w:val="00D95D16"/>
    <w:rsid w:val="00D97C76"/>
    <w:rsid w:val="00DA3E4D"/>
    <w:rsid w:val="00DA7FC0"/>
    <w:rsid w:val="00DB02B4"/>
    <w:rsid w:val="00DB4DEC"/>
    <w:rsid w:val="00DB538D"/>
    <w:rsid w:val="00DC1996"/>
    <w:rsid w:val="00DC275C"/>
    <w:rsid w:val="00DC4B0D"/>
    <w:rsid w:val="00DC5DD1"/>
    <w:rsid w:val="00DC6E59"/>
    <w:rsid w:val="00DC728D"/>
    <w:rsid w:val="00DC7FE1"/>
    <w:rsid w:val="00DD3F3F"/>
    <w:rsid w:val="00DD5572"/>
    <w:rsid w:val="00DE5D80"/>
    <w:rsid w:val="00DE736A"/>
    <w:rsid w:val="00DF26D7"/>
    <w:rsid w:val="00DF58CD"/>
    <w:rsid w:val="00DF65DE"/>
    <w:rsid w:val="00DF67F2"/>
    <w:rsid w:val="00E019A5"/>
    <w:rsid w:val="00E02EC8"/>
    <w:rsid w:val="00E037F5"/>
    <w:rsid w:val="00E04ECB"/>
    <w:rsid w:val="00E05A09"/>
    <w:rsid w:val="00E06253"/>
    <w:rsid w:val="00E06CA1"/>
    <w:rsid w:val="00E06D58"/>
    <w:rsid w:val="00E07666"/>
    <w:rsid w:val="00E12872"/>
    <w:rsid w:val="00E16125"/>
    <w:rsid w:val="00E16217"/>
    <w:rsid w:val="00E1689C"/>
    <w:rsid w:val="00E172B8"/>
    <w:rsid w:val="00E17FB4"/>
    <w:rsid w:val="00E20B75"/>
    <w:rsid w:val="00E214F2"/>
    <w:rsid w:val="00E22470"/>
    <w:rsid w:val="00E23454"/>
    <w:rsid w:val="00E2371E"/>
    <w:rsid w:val="00E24BD7"/>
    <w:rsid w:val="00E25744"/>
    <w:rsid w:val="00E25D47"/>
    <w:rsid w:val="00E26523"/>
    <w:rsid w:val="00E2675B"/>
    <w:rsid w:val="00E26809"/>
    <w:rsid w:val="00E3412D"/>
    <w:rsid w:val="00E34351"/>
    <w:rsid w:val="00E36BE1"/>
    <w:rsid w:val="00E409B5"/>
    <w:rsid w:val="00E43BEA"/>
    <w:rsid w:val="00E45A4B"/>
    <w:rsid w:val="00E516D3"/>
    <w:rsid w:val="00E53898"/>
    <w:rsid w:val="00E57322"/>
    <w:rsid w:val="00E60B1E"/>
    <w:rsid w:val="00E628CB"/>
    <w:rsid w:val="00E62AD9"/>
    <w:rsid w:val="00E63816"/>
    <w:rsid w:val="00E638C8"/>
    <w:rsid w:val="00E7509B"/>
    <w:rsid w:val="00E855B6"/>
    <w:rsid w:val="00E86590"/>
    <w:rsid w:val="00E907FF"/>
    <w:rsid w:val="00E93EDB"/>
    <w:rsid w:val="00E9560C"/>
    <w:rsid w:val="00E95B62"/>
    <w:rsid w:val="00EA18E0"/>
    <w:rsid w:val="00EA42D1"/>
    <w:rsid w:val="00EA42EF"/>
    <w:rsid w:val="00EA79D0"/>
    <w:rsid w:val="00EB2DD1"/>
    <w:rsid w:val="00EB6B37"/>
    <w:rsid w:val="00EC29FE"/>
    <w:rsid w:val="00EC3C70"/>
    <w:rsid w:val="00EC7407"/>
    <w:rsid w:val="00ED3A3D"/>
    <w:rsid w:val="00ED538A"/>
    <w:rsid w:val="00ED6FBC"/>
    <w:rsid w:val="00ED7CD7"/>
    <w:rsid w:val="00EE20CA"/>
    <w:rsid w:val="00EE2F16"/>
    <w:rsid w:val="00EE3819"/>
    <w:rsid w:val="00EE3861"/>
    <w:rsid w:val="00EE3891"/>
    <w:rsid w:val="00EE3F0D"/>
    <w:rsid w:val="00EE56D2"/>
    <w:rsid w:val="00EF14E3"/>
    <w:rsid w:val="00EF2E73"/>
    <w:rsid w:val="00EF7683"/>
    <w:rsid w:val="00EF7A2D"/>
    <w:rsid w:val="00F04F8D"/>
    <w:rsid w:val="00F0513F"/>
    <w:rsid w:val="00F10AD0"/>
    <w:rsid w:val="00F111BA"/>
    <w:rsid w:val="00F116CC"/>
    <w:rsid w:val="00F12BD1"/>
    <w:rsid w:val="00F12FF8"/>
    <w:rsid w:val="00F15327"/>
    <w:rsid w:val="00F168CF"/>
    <w:rsid w:val="00F2555C"/>
    <w:rsid w:val="00F27546"/>
    <w:rsid w:val="00F31DF3"/>
    <w:rsid w:val="00F32041"/>
    <w:rsid w:val="00F33AE5"/>
    <w:rsid w:val="00F35133"/>
    <w:rsid w:val="00F3597D"/>
    <w:rsid w:val="00F3742B"/>
    <w:rsid w:val="00F37CAC"/>
    <w:rsid w:val="00F400CC"/>
    <w:rsid w:val="00F4376D"/>
    <w:rsid w:val="00F45399"/>
    <w:rsid w:val="00F45ACB"/>
    <w:rsid w:val="00F465EA"/>
    <w:rsid w:val="00F545D1"/>
    <w:rsid w:val="00F54E7B"/>
    <w:rsid w:val="00F55A88"/>
    <w:rsid w:val="00F70DB6"/>
    <w:rsid w:val="00F71617"/>
    <w:rsid w:val="00F71DA1"/>
    <w:rsid w:val="00F72525"/>
    <w:rsid w:val="00F72BC8"/>
    <w:rsid w:val="00F74005"/>
    <w:rsid w:val="00F76884"/>
    <w:rsid w:val="00F7696C"/>
    <w:rsid w:val="00F7712F"/>
    <w:rsid w:val="00F77EC9"/>
    <w:rsid w:val="00F826FE"/>
    <w:rsid w:val="00F83D24"/>
    <w:rsid w:val="00F83DD9"/>
    <w:rsid w:val="00F83F40"/>
    <w:rsid w:val="00F915F0"/>
    <w:rsid w:val="00F9408A"/>
    <w:rsid w:val="00F9516D"/>
    <w:rsid w:val="00F96245"/>
    <w:rsid w:val="00FA117A"/>
    <w:rsid w:val="00FA6C74"/>
    <w:rsid w:val="00FA6F6F"/>
    <w:rsid w:val="00FB0A3C"/>
    <w:rsid w:val="00FB386A"/>
    <w:rsid w:val="00FC0786"/>
    <w:rsid w:val="00FC2F5D"/>
    <w:rsid w:val="00FC49EF"/>
    <w:rsid w:val="00FD3770"/>
    <w:rsid w:val="00FD578B"/>
    <w:rsid w:val="00FD7B5E"/>
    <w:rsid w:val="00FE1102"/>
    <w:rsid w:val="00FE203A"/>
    <w:rsid w:val="00FE32D1"/>
    <w:rsid w:val="00FE36E2"/>
    <w:rsid w:val="00FE38A0"/>
    <w:rsid w:val="00FF11AD"/>
    <w:rsid w:val="00FF1858"/>
    <w:rsid w:val="00FF1BFE"/>
    <w:rsid w:val="00FF2971"/>
    <w:rsid w:val="00FF34D4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71AD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B71A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locked/>
    <w:rsid w:val="00B71ADD"/>
    <w:rPr>
      <w:b/>
      <w:bCs/>
    </w:rPr>
  </w:style>
  <w:style w:type="paragraph" w:styleId="Poprawka">
    <w:name w:val="Revision"/>
    <w:hidden/>
    <w:uiPriority w:val="99"/>
    <w:semiHidden/>
    <w:rsid w:val="00EA79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9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0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5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zukowski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B1AD-50E3-4202-A77F-BDFE6FE9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2679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18718</CharactersWithSpaces>
  <SharedDoc>false</SharedDoc>
  <HLinks>
    <vt:vector size="30" baseType="variant">
      <vt:variant>
        <vt:i4>1638433</vt:i4>
      </vt:variant>
      <vt:variant>
        <vt:i4>85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82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  <vt:variant>
        <vt:i4>6881321</vt:i4>
      </vt:variant>
      <vt:variant>
        <vt:i4>79</vt:i4>
      </vt:variant>
      <vt:variant>
        <vt:i4>0</vt:i4>
      </vt:variant>
      <vt:variant>
        <vt:i4>5</vt:i4>
      </vt:variant>
      <vt:variant>
        <vt:lpwstr>http://ec.europa.eu/transparency/regdoc/rep/1/2015/PL/1-2015-84-PL-F1-1-ANNEX-1.PDF</vt:lpwstr>
      </vt:variant>
      <vt:variant>
        <vt:lpwstr/>
      </vt:variant>
      <vt:variant>
        <vt:i4>4063291</vt:i4>
      </vt:variant>
      <vt:variant>
        <vt:i4>76</vt:i4>
      </vt:variant>
      <vt:variant>
        <vt:i4>0</vt:i4>
      </vt:variant>
      <vt:variant>
        <vt:i4>5</vt:i4>
      </vt:variant>
      <vt:variant>
        <vt:lpwstr>http://eur-lex.europa.eu/legal-content/PL/TXT/PDF/?uri=CELEX:32014H0478&amp;from=PL</vt:lpwstr>
      </vt:variant>
      <vt:variant>
        <vt:lpwstr/>
      </vt:variant>
      <vt:variant>
        <vt:i4>8060976</vt:i4>
      </vt:variant>
      <vt:variant>
        <vt:i4>8</vt:i4>
      </vt:variant>
      <vt:variant>
        <vt:i4>0</vt:i4>
      </vt:variant>
      <vt:variant>
        <vt:i4>5</vt:i4>
      </vt:variant>
      <vt:variant>
        <vt:lpwstr>http://www.rcl.gov.pl/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2018-02-05T12:29:00Z</dcterms:created>
  <dcterms:modified xsi:type="dcterms:W3CDTF">2018-02-05T12:30:00Z</dcterms:modified>
</cp:coreProperties>
</file>