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7A7E37" w14:paraId="5BD1A140" w14:textId="77777777" w:rsidTr="00F755F2">
        <w:tc>
          <w:tcPr>
            <w:tcW w:w="3114" w:type="dxa"/>
          </w:tcPr>
          <w:p w14:paraId="39DED281" w14:textId="34FD77F3" w:rsidR="007A7E37" w:rsidRPr="00B31CC1" w:rsidRDefault="007A7E37" w:rsidP="007A7E37">
            <w:pPr>
              <w:jc w:val="center"/>
              <w:rPr>
                <w:b/>
                <w:i/>
                <w:iCs/>
              </w:rPr>
            </w:pPr>
            <w:bookmarkStart w:id="0" w:name="_GoBack"/>
            <w:bookmarkEnd w:id="0"/>
            <w:r w:rsidRPr="00B31CC1">
              <w:rPr>
                <w:b/>
                <w:i/>
                <w:iCs/>
              </w:rPr>
              <w:t xml:space="preserve">W </w:t>
            </w:r>
            <w:r w:rsidR="00B31CC1" w:rsidRPr="00B31CC1">
              <w:rPr>
                <w:b/>
                <w:i/>
                <w:iCs/>
              </w:rPr>
              <w:t>zakresie świadczeń rodzinnych</w:t>
            </w:r>
          </w:p>
        </w:tc>
        <w:tc>
          <w:tcPr>
            <w:tcW w:w="5948" w:type="dxa"/>
          </w:tcPr>
          <w:p w14:paraId="343E79C1" w14:textId="6ED07E55" w:rsidR="007A7E37" w:rsidRPr="00D105E0" w:rsidRDefault="00B31CC1">
            <w:pPr>
              <w:rPr>
                <w:i/>
              </w:rPr>
            </w:pPr>
            <w:r>
              <w:rPr>
                <w:b/>
                <w:i/>
              </w:rPr>
              <w:t>Instrukcja postępowania dla pracownika samorządowego w celu skutecznego  zrealizowania świadczenia/pomocy</w:t>
            </w:r>
          </w:p>
        </w:tc>
      </w:tr>
      <w:tr w:rsidR="007A7E37" w14:paraId="332B1519" w14:textId="77777777" w:rsidTr="00F755F2">
        <w:tc>
          <w:tcPr>
            <w:tcW w:w="3114" w:type="dxa"/>
          </w:tcPr>
          <w:p w14:paraId="64DF68A7" w14:textId="7E1E31BD" w:rsidR="007A7E37" w:rsidRDefault="00F850CE">
            <w:pPr>
              <w:rPr>
                <w:b/>
              </w:rPr>
            </w:pPr>
            <w:r w:rsidRPr="00F850CE">
              <w:rPr>
                <w:b/>
              </w:rPr>
              <w:t xml:space="preserve">Świadczenia </w:t>
            </w:r>
            <w:r w:rsidR="000935B8">
              <w:rPr>
                <w:b/>
              </w:rPr>
              <w:t>rodzinne</w:t>
            </w:r>
          </w:p>
          <w:p w14:paraId="5C8B1BBC" w14:textId="77777777" w:rsidR="00F850CE" w:rsidRDefault="00F850CE">
            <w:pPr>
              <w:rPr>
                <w:b/>
              </w:rPr>
            </w:pPr>
          </w:p>
          <w:p w14:paraId="4FC58C56" w14:textId="676728B4" w:rsidR="00F850CE" w:rsidRPr="00F850CE" w:rsidRDefault="00F850CE">
            <w:pPr>
              <w:rPr>
                <w:i/>
              </w:rPr>
            </w:pPr>
          </w:p>
        </w:tc>
        <w:tc>
          <w:tcPr>
            <w:tcW w:w="5948" w:type="dxa"/>
          </w:tcPr>
          <w:p w14:paraId="0B1E5B93" w14:textId="1A4DF37A" w:rsidR="00D31493" w:rsidRDefault="00D31493" w:rsidP="000935B8">
            <w:pPr>
              <w:pStyle w:val="Akapitzlist"/>
              <w:numPr>
                <w:ilvl w:val="0"/>
                <w:numId w:val="10"/>
              </w:numPr>
              <w:ind w:left="318"/>
              <w:jc w:val="both"/>
            </w:pPr>
            <w:r w:rsidRPr="007C2A1A">
              <w:t xml:space="preserve">Wniosek o przyznanie </w:t>
            </w:r>
            <w:r w:rsidR="000935B8">
              <w:t>świadczeń rodzinnych o</w:t>
            </w:r>
            <w:r>
              <w:t xml:space="preserve">bywatel Ukrainy </w:t>
            </w:r>
            <w:r w:rsidRPr="007C2A1A">
              <w:t>składa w ośrodku pomocy społecznej</w:t>
            </w:r>
            <w:r w:rsidR="000935B8">
              <w:t xml:space="preserve"> (urząd gminy)</w:t>
            </w:r>
            <w:r w:rsidRPr="007C2A1A">
              <w:t xml:space="preserve"> gminy właściwej ze względu na miejsce pobytu osoby składającej wniosek</w:t>
            </w:r>
            <w:r w:rsidR="000935B8">
              <w:t xml:space="preserve"> lub za pośrednictwem portalu </w:t>
            </w:r>
            <w:proofErr w:type="spellStart"/>
            <w:r w:rsidR="000935B8">
              <w:t>MRiPS</w:t>
            </w:r>
            <w:proofErr w:type="spellEnd"/>
            <w:r w:rsidR="000935B8">
              <w:t xml:space="preserve"> empatia.mrips.gov.pl</w:t>
            </w:r>
            <w:r w:rsidRPr="007C2A1A">
              <w:t xml:space="preserve">. </w:t>
            </w:r>
            <w:r w:rsidR="00D4243A">
              <w:t>Wniosek może złożyć rodzic dziecka albo opiekun tymczasowy ustanowiony przez sąd.</w:t>
            </w:r>
          </w:p>
          <w:p w14:paraId="53E58CBD" w14:textId="77777777" w:rsidR="0005321A" w:rsidRDefault="0005321A" w:rsidP="0005321A">
            <w:pPr>
              <w:pStyle w:val="Akapitzlist"/>
              <w:ind w:left="318"/>
            </w:pPr>
            <w:r w:rsidRPr="007C2A1A">
              <w:t>Uprawniony do pomocy jest obywatel Ukrainy, który wjechał legalnie na terytorium Rzeczypospolitej Polskiej bezpośrednio z terytorium Ukrainy w okresie od dnia 24 lutego 2022 r.,  deklaruje zamiar pozostania na terytorium Rzeczypospolitej Polskiej i został wpisany do rejestru PESEL.</w:t>
            </w:r>
          </w:p>
          <w:p w14:paraId="28550C19" w14:textId="77777777" w:rsidR="0005321A" w:rsidRDefault="0005321A" w:rsidP="0005321A">
            <w:pPr>
              <w:pStyle w:val="Akapitzlist"/>
              <w:ind w:left="318"/>
            </w:pPr>
            <w:r>
              <w:t xml:space="preserve">Legalność pobytu będzie ustalana na podstawie zarejestrowania obywatela Ukrainy przez komendanta placówki Straży Granicznej. W przypadku gdy wjazd obywatela Ukrainy nie został zarejestrowany podczas kontroli granicznej, jego pobyt na terytorium RP będzie rejestrowany przez Komendanta Głównego Straży Granicznej. </w:t>
            </w:r>
          </w:p>
          <w:p w14:paraId="61BDE1F6" w14:textId="77777777" w:rsidR="0005321A" w:rsidRDefault="0005321A" w:rsidP="0005321A">
            <w:pPr>
              <w:pStyle w:val="Akapitzlist"/>
              <w:ind w:left="318"/>
            </w:pPr>
            <w:r>
              <w:t xml:space="preserve">Komendant Główny Straży Granicznej będzie prowadził w systemie teleinformatycznym Straży Granicznej rejestr obywateli Ukrainy, którzy wjechali na terytorium RP bezpośrednio z terytorium Ukrainy w związku z działaniami wojennymi oraz którzy złożyli wniosek o nadanie numeru PESEL. </w:t>
            </w:r>
          </w:p>
          <w:p w14:paraId="4C929420" w14:textId="77777777" w:rsidR="0005321A" w:rsidRPr="00AF06D3" w:rsidRDefault="0005321A" w:rsidP="0005321A">
            <w:pPr>
              <w:pStyle w:val="Akapitzlist"/>
              <w:ind w:left="318"/>
              <w:rPr>
                <w:b/>
              </w:rPr>
            </w:pPr>
            <w:r w:rsidRPr="00AF06D3">
              <w:rPr>
                <w:b/>
              </w:rPr>
              <w:t xml:space="preserve">Komendant Główny Straży Granicznej zapewnia udostępnienie gminom danych zawartych w rejestrze, w drodze teletransmisji danych. </w:t>
            </w:r>
          </w:p>
          <w:p w14:paraId="2E496FD6" w14:textId="77777777" w:rsidR="0005321A" w:rsidRDefault="0005321A" w:rsidP="0005321A">
            <w:pPr>
              <w:pStyle w:val="Akapitzlist"/>
              <w:ind w:left="318"/>
            </w:pPr>
            <w:r>
              <w:t xml:space="preserve">Obywatelowi Ukrainy, którego pobyt na terytorium RP uznaje się za legalny na podstawie art. 2 ust. 1 specustawy, na podstawie wniosku złożonego w dowolnym organie wykonawczym gminy – nadaje się numer PESEL. </w:t>
            </w:r>
          </w:p>
          <w:p w14:paraId="525420E9" w14:textId="77777777" w:rsidR="0005321A" w:rsidRDefault="0005321A" w:rsidP="0005321A">
            <w:pPr>
              <w:pStyle w:val="Akapitzlist"/>
              <w:ind w:left="318"/>
            </w:pPr>
            <w:r>
              <w:t>Powyższe informacje należy sprawdzić w ww. rejestrze.</w:t>
            </w:r>
          </w:p>
          <w:p w14:paraId="7EC51AE0" w14:textId="3DFFDB43" w:rsidR="000935B8" w:rsidRDefault="000935B8" w:rsidP="000935B8">
            <w:pPr>
              <w:pStyle w:val="Akapitzlist"/>
              <w:ind w:left="318"/>
              <w:jc w:val="both"/>
            </w:pPr>
            <w:r>
              <w:t>Sprawdzenie legalności pobytu następuje poprzez wywołanie usługi w systemie dziedzinowym (połączenie z bazą PESEL).</w:t>
            </w:r>
          </w:p>
          <w:p w14:paraId="4CBB6D39" w14:textId="05E16FC4" w:rsidR="007C2A1A" w:rsidRDefault="007C2A1A" w:rsidP="000935B8">
            <w:pPr>
              <w:pStyle w:val="Akapitzlist"/>
              <w:numPr>
                <w:ilvl w:val="0"/>
                <w:numId w:val="10"/>
              </w:numPr>
              <w:ind w:left="320"/>
              <w:jc w:val="both"/>
            </w:pPr>
            <w:r>
              <w:t xml:space="preserve">Obywatelom Ukrainy mogą być przyznane świadczenia </w:t>
            </w:r>
            <w:r w:rsidR="000935B8">
              <w:t>rodzinne</w:t>
            </w:r>
            <w:r>
              <w:t xml:space="preserve">: </w:t>
            </w:r>
          </w:p>
          <w:p w14:paraId="4D5A1200" w14:textId="236B1D91" w:rsidR="007C2A1A" w:rsidRDefault="007C2A1A" w:rsidP="000935B8">
            <w:pPr>
              <w:pStyle w:val="Akapitzlist"/>
              <w:numPr>
                <w:ilvl w:val="0"/>
                <w:numId w:val="8"/>
              </w:numPr>
              <w:jc w:val="both"/>
            </w:pPr>
            <w:r>
              <w:t xml:space="preserve">zasiłek </w:t>
            </w:r>
            <w:r w:rsidR="000935B8">
              <w:t>rodzinny</w:t>
            </w:r>
            <w:r>
              <w:t>,</w:t>
            </w:r>
          </w:p>
          <w:p w14:paraId="1371723A" w14:textId="2FB7FDD2" w:rsidR="007C2A1A" w:rsidRDefault="000935B8" w:rsidP="000935B8">
            <w:pPr>
              <w:pStyle w:val="Akapitzlist"/>
              <w:numPr>
                <w:ilvl w:val="0"/>
                <w:numId w:val="8"/>
              </w:numPr>
              <w:jc w:val="both"/>
            </w:pPr>
            <w:r>
              <w:t>dodatki do zasiłku rodzinnego,</w:t>
            </w:r>
          </w:p>
          <w:p w14:paraId="40913549" w14:textId="50D7738B" w:rsidR="000935B8" w:rsidRDefault="000935B8" w:rsidP="000935B8">
            <w:pPr>
              <w:pStyle w:val="Akapitzlist"/>
              <w:numPr>
                <w:ilvl w:val="0"/>
                <w:numId w:val="8"/>
              </w:numPr>
              <w:jc w:val="both"/>
            </w:pPr>
            <w:r>
              <w:t>becikowe,</w:t>
            </w:r>
          </w:p>
          <w:p w14:paraId="0BF4416D" w14:textId="77777777" w:rsidR="000935B8" w:rsidRDefault="000935B8" w:rsidP="000935B8">
            <w:pPr>
              <w:pStyle w:val="Akapitzlist"/>
              <w:numPr>
                <w:ilvl w:val="0"/>
                <w:numId w:val="8"/>
              </w:numPr>
              <w:jc w:val="both"/>
            </w:pPr>
            <w:r>
              <w:t>świadczenie rodzicielskie,</w:t>
            </w:r>
          </w:p>
          <w:p w14:paraId="7C3B89FD" w14:textId="347EBA01" w:rsidR="000935B8" w:rsidRDefault="000935B8" w:rsidP="000935B8">
            <w:pPr>
              <w:pStyle w:val="Akapitzlist"/>
              <w:numPr>
                <w:ilvl w:val="0"/>
                <w:numId w:val="8"/>
              </w:numPr>
              <w:jc w:val="both"/>
            </w:pPr>
            <w:r>
              <w:t>świadczenia opiekuńcze.</w:t>
            </w:r>
          </w:p>
          <w:p w14:paraId="0C3C2000" w14:textId="77777777" w:rsidR="000935B8" w:rsidRDefault="007C2A1A" w:rsidP="000935B8">
            <w:pPr>
              <w:pStyle w:val="Akapitzlist"/>
              <w:numPr>
                <w:ilvl w:val="0"/>
                <w:numId w:val="10"/>
              </w:numPr>
              <w:ind w:left="318"/>
              <w:jc w:val="both"/>
            </w:pPr>
            <w:r>
              <w:t xml:space="preserve">Skład i dochód rodziny ustala </w:t>
            </w:r>
            <w:r w:rsidR="000935B8">
              <w:t xml:space="preserve">się w analogiczny sposób jak dla obywateli polskich. </w:t>
            </w:r>
          </w:p>
          <w:p w14:paraId="651EF5F1" w14:textId="7E9E1E7E" w:rsidR="007C2A1A" w:rsidRDefault="000935B8" w:rsidP="000935B8">
            <w:pPr>
              <w:pStyle w:val="Akapitzlist"/>
              <w:numPr>
                <w:ilvl w:val="0"/>
                <w:numId w:val="10"/>
              </w:numPr>
              <w:ind w:left="318"/>
              <w:jc w:val="both"/>
            </w:pPr>
            <w:r>
              <w:t xml:space="preserve">Do składu rodziny nie wlicza się członka rodziny, który zgodnie z oświadczeniem wnioskodawcy nie przebywa </w:t>
            </w:r>
            <w:r w:rsidR="00875D45">
              <w:br/>
            </w:r>
            <w:r>
              <w:t>w Polsce.</w:t>
            </w:r>
            <w:r w:rsidR="00DE117D">
              <w:t xml:space="preserve"> Ustawa nie nakłada na samorząd określonego wzoru oświadczenia. </w:t>
            </w:r>
          </w:p>
          <w:p w14:paraId="2B29F1FA" w14:textId="20B616A5" w:rsidR="00D4243A" w:rsidRDefault="00D4243A" w:rsidP="000935B8">
            <w:pPr>
              <w:pStyle w:val="Akapitzlist"/>
              <w:numPr>
                <w:ilvl w:val="0"/>
                <w:numId w:val="10"/>
              </w:numPr>
              <w:ind w:left="318"/>
              <w:jc w:val="both"/>
            </w:pPr>
            <w:r>
              <w:t>Ustalenie prawa do świadczeń rodzinnych następuje w drodze decyzji</w:t>
            </w:r>
            <w:r w:rsidR="00412BA2">
              <w:t xml:space="preserve"> administracyjnej</w:t>
            </w:r>
            <w:r>
              <w:t>.</w:t>
            </w:r>
          </w:p>
          <w:p w14:paraId="40D4D847" w14:textId="099763E3" w:rsidR="00D4243A" w:rsidRDefault="00D4243A" w:rsidP="00D4243A">
            <w:pPr>
              <w:ind w:left="-40"/>
            </w:pPr>
            <w:r>
              <w:t>Osoby do kontaktu Departament Polityki Rodzinnej:</w:t>
            </w:r>
          </w:p>
          <w:p w14:paraId="60CD1F57" w14:textId="4DD09D46" w:rsidR="00D4243A" w:rsidRDefault="00D4243A" w:rsidP="00D4243A">
            <w:pPr>
              <w:ind w:left="-40"/>
            </w:pPr>
            <w:r>
              <w:lastRenderedPageBreak/>
              <w:t xml:space="preserve">Wojciech </w:t>
            </w:r>
            <w:proofErr w:type="spellStart"/>
            <w:r>
              <w:t>Kuraszyk</w:t>
            </w:r>
            <w:proofErr w:type="spellEnd"/>
            <w:r>
              <w:t xml:space="preserve"> – główny specjalista, t</w:t>
            </w:r>
            <w:r w:rsidRPr="00855C1D">
              <w:t xml:space="preserve">el. 22 </w:t>
            </w:r>
            <w:r>
              <w:t>4616095</w:t>
            </w:r>
            <w:r w:rsidRPr="00855C1D">
              <w:t>,</w:t>
            </w:r>
            <w:r>
              <w:t xml:space="preserve"> </w:t>
            </w:r>
          </w:p>
          <w:p w14:paraId="21EDD83B" w14:textId="1302F646" w:rsidR="00D4243A" w:rsidRDefault="00D4243A" w:rsidP="00D4243A">
            <w:pPr>
              <w:ind w:left="-40"/>
            </w:pPr>
            <w:r>
              <w:t xml:space="preserve">Agnieszka Strzelecka – starszy specjalista, tel. </w:t>
            </w:r>
            <w:r w:rsidRPr="00855C1D">
              <w:t xml:space="preserve">22 </w:t>
            </w:r>
            <w:r>
              <w:t xml:space="preserve">4616080, </w:t>
            </w:r>
          </w:p>
          <w:p w14:paraId="70183D44" w14:textId="7B6ED0F5" w:rsidR="0059377B" w:rsidRDefault="00D4243A" w:rsidP="009D3EAD">
            <w:pPr>
              <w:ind w:left="-40"/>
            </w:pPr>
            <w:r>
              <w:t xml:space="preserve">Mariola </w:t>
            </w:r>
            <w:proofErr w:type="spellStart"/>
            <w:r>
              <w:t>Falecka</w:t>
            </w:r>
            <w:proofErr w:type="spellEnd"/>
            <w:r>
              <w:t xml:space="preserve"> – główny specjalista, tel. </w:t>
            </w:r>
            <w:r w:rsidRPr="00855C1D">
              <w:t>22 </w:t>
            </w:r>
            <w:r>
              <w:t>4</w:t>
            </w:r>
            <w:r w:rsidRPr="00855C1D">
              <w:t xml:space="preserve">61 </w:t>
            </w:r>
            <w:r>
              <w:t>6086</w:t>
            </w:r>
          </w:p>
          <w:p w14:paraId="68A593FC" w14:textId="0F314BE0" w:rsidR="00683AD5" w:rsidRDefault="00683AD5" w:rsidP="00683AD5">
            <w:pPr>
              <w:ind w:left="-42"/>
            </w:pPr>
          </w:p>
        </w:tc>
      </w:tr>
      <w:tr w:rsidR="00DE117D" w14:paraId="5A92DE2A" w14:textId="77777777" w:rsidTr="00F755F2">
        <w:tc>
          <w:tcPr>
            <w:tcW w:w="3114" w:type="dxa"/>
          </w:tcPr>
          <w:p w14:paraId="66E858B3" w14:textId="0E9C7249" w:rsidR="00DE117D" w:rsidRPr="00F850CE" w:rsidRDefault="00DE117D">
            <w:pPr>
              <w:rPr>
                <w:b/>
              </w:rPr>
            </w:pPr>
            <w:r>
              <w:rPr>
                <w:b/>
              </w:rPr>
              <w:lastRenderedPageBreak/>
              <w:t>Opieka nad dziećmi w wieku do lat 3</w:t>
            </w:r>
          </w:p>
        </w:tc>
        <w:tc>
          <w:tcPr>
            <w:tcW w:w="5948" w:type="dxa"/>
          </w:tcPr>
          <w:p w14:paraId="7A9FABE8" w14:textId="24EA157A" w:rsidR="00DE117D" w:rsidRPr="007C2A1A" w:rsidRDefault="00DE117D" w:rsidP="00DE117D">
            <w:pPr>
              <w:jc w:val="both"/>
            </w:pPr>
            <w:r>
              <w:t>Ustawa określa, że w celu zapewnienia miejsc opieki nad dziećmi wójt, burmistrz i prezydent miasta mogą odstąpić od stosowania standardów opieki. Decyzja zarówno w zakresie odstąpienia, rodzaju odstąpienia i jego zakresu należy do gminy.</w:t>
            </w:r>
          </w:p>
        </w:tc>
      </w:tr>
    </w:tbl>
    <w:p w14:paraId="331A72A9" w14:textId="77777777" w:rsidR="00202B9E" w:rsidRDefault="00FC38AF"/>
    <w:sectPr w:rsidR="00202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F5B3D"/>
    <w:multiLevelType w:val="hybridMultilevel"/>
    <w:tmpl w:val="04963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16367"/>
    <w:multiLevelType w:val="hybridMultilevel"/>
    <w:tmpl w:val="446899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918D9"/>
    <w:multiLevelType w:val="hybridMultilevel"/>
    <w:tmpl w:val="92AAF8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13EE9"/>
    <w:multiLevelType w:val="hybridMultilevel"/>
    <w:tmpl w:val="CCE4D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A2CC2"/>
    <w:multiLevelType w:val="hybridMultilevel"/>
    <w:tmpl w:val="68FCE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27AA5"/>
    <w:multiLevelType w:val="hybridMultilevel"/>
    <w:tmpl w:val="68FCE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F4CC4"/>
    <w:multiLevelType w:val="hybridMultilevel"/>
    <w:tmpl w:val="04963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2426D"/>
    <w:multiLevelType w:val="hybridMultilevel"/>
    <w:tmpl w:val="FF248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B2A6A"/>
    <w:multiLevelType w:val="hybridMultilevel"/>
    <w:tmpl w:val="04963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22C2F"/>
    <w:multiLevelType w:val="hybridMultilevel"/>
    <w:tmpl w:val="68FCE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E441BE"/>
    <w:multiLevelType w:val="hybridMultilevel"/>
    <w:tmpl w:val="66EE2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050E8"/>
    <w:multiLevelType w:val="hybridMultilevel"/>
    <w:tmpl w:val="247C0594"/>
    <w:lvl w:ilvl="0" w:tplc="AD0897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3708D7"/>
    <w:multiLevelType w:val="hybridMultilevel"/>
    <w:tmpl w:val="8676C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F6193E"/>
    <w:multiLevelType w:val="hybridMultilevel"/>
    <w:tmpl w:val="CCE4D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10"/>
  </w:num>
  <w:num w:numId="8">
    <w:abstractNumId w:val="11"/>
  </w:num>
  <w:num w:numId="9">
    <w:abstractNumId w:val="9"/>
  </w:num>
  <w:num w:numId="10">
    <w:abstractNumId w:val="7"/>
  </w:num>
  <w:num w:numId="11">
    <w:abstractNumId w:val="3"/>
  </w:num>
  <w:num w:numId="12">
    <w:abstractNumId w:val="12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2B7"/>
    <w:rsid w:val="0005321A"/>
    <w:rsid w:val="000935B8"/>
    <w:rsid w:val="001E47DD"/>
    <w:rsid w:val="001F2F8F"/>
    <w:rsid w:val="00275A91"/>
    <w:rsid w:val="00310279"/>
    <w:rsid w:val="00412BA2"/>
    <w:rsid w:val="004C10BD"/>
    <w:rsid w:val="004F0966"/>
    <w:rsid w:val="0059377B"/>
    <w:rsid w:val="00683AD5"/>
    <w:rsid w:val="00693065"/>
    <w:rsid w:val="006C4563"/>
    <w:rsid w:val="00700862"/>
    <w:rsid w:val="007A580C"/>
    <w:rsid w:val="007A7E37"/>
    <w:rsid w:val="007C2A1A"/>
    <w:rsid w:val="00875D45"/>
    <w:rsid w:val="00985454"/>
    <w:rsid w:val="009D3EAD"/>
    <w:rsid w:val="00A60FED"/>
    <w:rsid w:val="00A9268C"/>
    <w:rsid w:val="00AB1909"/>
    <w:rsid w:val="00AD52B7"/>
    <w:rsid w:val="00B31CC1"/>
    <w:rsid w:val="00D105E0"/>
    <w:rsid w:val="00D31493"/>
    <w:rsid w:val="00D4243A"/>
    <w:rsid w:val="00D9402B"/>
    <w:rsid w:val="00DA1396"/>
    <w:rsid w:val="00DE117D"/>
    <w:rsid w:val="00E6417E"/>
    <w:rsid w:val="00ED7D05"/>
    <w:rsid w:val="00EE052F"/>
    <w:rsid w:val="00F14C65"/>
    <w:rsid w:val="00F36E4A"/>
    <w:rsid w:val="00F673F7"/>
    <w:rsid w:val="00F755F2"/>
    <w:rsid w:val="00F850CE"/>
    <w:rsid w:val="00FC38AF"/>
    <w:rsid w:val="00FF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253D0"/>
  <w15:chartTrackingRefBased/>
  <w15:docId w15:val="{B5D126BB-5A90-4269-B020-AD3B8A678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A7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850C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B19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19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19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19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190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90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937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Dertkowska</dc:creator>
  <cp:keywords/>
  <dc:description/>
  <cp:lastModifiedBy>Świątkowska Katarzyna</cp:lastModifiedBy>
  <cp:revision>2</cp:revision>
  <dcterms:created xsi:type="dcterms:W3CDTF">2022-03-15T11:54:00Z</dcterms:created>
  <dcterms:modified xsi:type="dcterms:W3CDTF">2022-03-15T11:54:00Z</dcterms:modified>
</cp:coreProperties>
</file>