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683B" w14:textId="16D8C244" w:rsidR="00B033BF" w:rsidRDefault="006A32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5A2">
        <w:t>Koszalin</w:t>
      </w:r>
      <w:r>
        <w:t>, 2</w:t>
      </w:r>
      <w:r w:rsidR="00654447">
        <w:t>2</w:t>
      </w:r>
      <w:r w:rsidR="007465A2">
        <w:t xml:space="preserve"> października 2021 r.</w:t>
      </w:r>
    </w:p>
    <w:p w14:paraId="67D2BC57" w14:textId="77777777" w:rsidR="006A32CA" w:rsidRDefault="006A32CA" w:rsidP="006A32CA">
      <w:pPr>
        <w:spacing w:after="0"/>
      </w:pPr>
    </w:p>
    <w:p w14:paraId="1A904447" w14:textId="77777777" w:rsidR="006A32CA" w:rsidRPr="006A32CA" w:rsidRDefault="006A32CA" w:rsidP="006A32C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2CA">
        <w:rPr>
          <w:b/>
        </w:rPr>
        <w:t>Zarząd</w:t>
      </w:r>
    </w:p>
    <w:p w14:paraId="2B981623" w14:textId="77777777" w:rsidR="006A32CA" w:rsidRPr="006A32CA" w:rsidRDefault="006A32CA" w:rsidP="006A32CA">
      <w:pPr>
        <w:spacing w:after="0"/>
        <w:rPr>
          <w:b/>
        </w:rPr>
      </w:pPr>
      <w:r w:rsidRPr="006A32CA">
        <w:rPr>
          <w:b/>
        </w:rPr>
        <w:tab/>
      </w:r>
      <w:r w:rsidRPr="006A32CA">
        <w:rPr>
          <w:b/>
        </w:rPr>
        <w:tab/>
      </w:r>
      <w:r w:rsidRPr="006A32CA">
        <w:rPr>
          <w:b/>
        </w:rPr>
        <w:tab/>
      </w:r>
      <w:r w:rsidRPr="006A32CA">
        <w:rPr>
          <w:b/>
        </w:rPr>
        <w:tab/>
      </w:r>
      <w:r w:rsidRPr="006A32CA">
        <w:rPr>
          <w:b/>
        </w:rPr>
        <w:tab/>
      </w:r>
      <w:r w:rsidRPr="006A32CA">
        <w:rPr>
          <w:b/>
        </w:rPr>
        <w:tab/>
      </w:r>
      <w:r w:rsidRPr="006A32CA">
        <w:rPr>
          <w:b/>
        </w:rPr>
        <w:tab/>
        <w:t>Związku Miast Polskich</w:t>
      </w:r>
    </w:p>
    <w:p w14:paraId="0495F4FD" w14:textId="77777777" w:rsidR="006A32CA" w:rsidRDefault="006A32CA" w:rsidP="006A32CA">
      <w:pPr>
        <w:spacing w:after="0"/>
      </w:pPr>
    </w:p>
    <w:p w14:paraId="62D357FF" w14:textId="21C3A268" w:rsidR="00DC3E5D" w:rsidRDefault="006A32CA" w:rsidP="00B15B0B">
      <w:pPr>
        <w:spacing w:after="0"/>
      </w:pPr>
      <w:r>
        <w:tab/>
        <w:t xml:space="preserve">Komisja Edukacji Związku Miast Polskich przedstawia stanowisko wypracowane podczas </w:t>
      </w:r>
      <w:r w:rsidR="007465A2">
        <w:t>pracy zdalnej w dniach 1</w:t>
      </w:r>
      <w:r w:rsidR="00DC3E5D">
        <w:t>6</w:t>
      </w:r>
      <w:r w:rsidR="007465A2">
        <w:t>.10. – 21.10.2021 r.</w:t>
      </w:r>
      <w:r w:rsidR="0080795C">
        <w:t xml:space="preserve">, w szczególności stanowiska </w:t>
      </w:r>
      <w:r w:rsidR="00C76B2E">
        <w:t xml:space="preserve">pisemne </w:t>
      </w:r>
      <w:r w:rsidR="0080795C">
        <w:t>przekazane przez Urząd Miasta Legnica</w:t>
      </w:r>
      <w:r w:rsidR="0026692C">
        <w:t>, Wałbrzych</w:t>
      </w:r>
      <w:r w:rsidR="0080795C">
        <w:t xml:space="preserve"> i Chełmno, </w:t>
      </w:r>
      <w:r w:rsidR="00DC3E5D">
        <w:t>w kwestii propozycji Ministerstwa Edukacji i Nauki dotyczących zmian w zakresie pragmatyki zawodowej nauczycieli</w:t>
      </w:r>
      <w:r w:rsidR="00C76B2E">
        <w:t>.</w:t>
      </w:r>
      <w:r w:rsidR="00DC3E5D">
        <w:t xml:space="preserve"> Komisja Edukacji Związku Miast Polskich zauważa, iż:</w:t>
      </w:r>
    </w:p>
    <w:p w14:paraId="693A3922" w14:textId="77777777" w:rsidR="0026692C" w:rsidRDefault="0026692C" w:rsidP="00B15B0B">
      <w:pPr>
        <w:spacing w:after="0"/>
      </w:pPr>
    </w:p>
    <w:p w14:paraId="665B2638" w14:textId="51D60F7B" w:rsidR="0026554D" w:rsidRPr="00B15B0B" w:rsidRDefault="00DC3E5D" w:rsidP="00B15B0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B15B0B">
        <w:rPr>
          <w:b/>
          <w:bCs/>
        </w:rPr>
        <w:t xml:space="preserve">Czas pracy nauczycieli </w:t>
      </w:r>
    </w:p>
    <w:p w14:paraId="2F3E3513" w14:textId="0F279228" w:rsidR="00DC3E5D" w:rsidRDefault="0026554D" w:rsidP="0019715E">
      <w:pPr>
        <w:spacing w:after="0"/>
        <w:ind w:firstLine="708"/>
      </w:pPr>
      <w:r>
        <w:t>P</w:t>
      </w:r>
      <w:r w:rsidR="00DC3E5D">
        <w:t>odwyższenie tygodniowego obowiązkowego wymiaru godzin</w:t>
      </w:r>
      <w:r>
        <w:t xml:space="preserve"> </w:t>
      </w:r>
      <w:r w:rsidR="00DC3E5D">
        <w:t>nauczycieli o 4 godziny oraz wprowadzenie czasu dostępności nauczyciela</w:t>
      </w:r>
      <w:r w:rsidR="0026692C">
        <w:t xml:space="preserve"> jest słusznym postulatem, choć z analizy skutków finansowych wprowadzanych zmian wynika, że nie są przewidziane dodatkowe środki w ramach subwencji oświatowej na ten cel. </w:t>
      </w:r>
      <w:r>
        <w:t xml:space="preserve"> </w:t>
      </w:r>
      <w:r w:rsidR="00DC3E5D" w:rsidRPr="00B15B0B">
        <w:rPr>
          <w:u w:val="single"/>
        </w:rPr>
        <w:t>Niezrozumiałe jest</w:t>
      </w:r>
      <w:r w:rsidRPr="00B15B0B">
        <w:rPr>
          <w:u w:val="single"/>
        </w:rPr>
        <w:t xml:space="preserve"> </w:t>
      </w:r>
      <w:r w:rsidR="00DC3E5D" w:rsidRPr="00B15B0B">
        <w:rPr>
          <w:u w:val="single"/>
        </w:rPr>
        <w:t xml:space="preserve">jednak wyłączenie z tej </w:t>
      </w:r>
      <w:r w:rsidRPr="00B15B0B">
        <w:rPr>
          <w:u w:val="single"/>
        </w:rPr>
        <w:t>regulacji</w:t>
      </w:r>
      <w:r w:rsidR="00DC3E5D" w:rsidRPr="00B15B0B">
        <w:rPr>
          <w:u w:val="single"/>
        </w:rPr>
        <w:t xml:space="preserve"> nauczycieli wychowania przedszkolnego, co rodzi zarzut</w:t>
      </w:r>
      <w:r w:rsidR="00B15B0B" w:rsidRPr="00B15B0B">
        <w:rPr>
          <w:u w:val="single"/>
        </w:rPr>
        <w:t xml:space="preserve"> </w:t>
      </w:r>
      <w:r w:rsidR="00DC3E5D" w:rsidRPr="00B15B0B">
        <w:rPr>
          <w:u w:val="single"/>
        </w:rPr>
        <w:t>nierównego traktowania nauczycieli</w:t>
      </w:r>
      <w:r w:rsidR="00DC3E5D">
        <w:t>.</w:t>
      </w:r>
    </w:p>
    <w:p w14:paraId="1F1A2189" w14:textId="0C64F269" w:rsidR="0080795C" w:rsidRDefault="00DC3E5D" w:rsidP="00375517">
      <w:pPr>
        <w:spacing w:after="0"/>
        <w:ind w:firstLine="708"/>
      </w:pPr>
      <w:r>
        <w:t>Wprowadzenie czasu dostępności nauczyciela w szkole na poziomie 8 godzin tygodniowo poza</w:t>
      </w:r>
      <w:r w:rsidR="00375517">
        <w:t xml:space="preserve"> </w:t>
      </w:r>
      <w:r>
        <w:t>pensum budzi szereg wątpliwości</w:t>
      </w:r>
      <w:r w:rsidR="00B15B0B">
        <w:t>, w szczególności</w:t>
      </w:r>
      <w:r w:rsidR="00375517">
        <w:t xml:space="preserve"> rodzą się pytania</w:t>
      </w:r>
      <w:r w:rsidR="00B15B0B">
        <w:t>: D</w:t>
      </w:r>
      <w:r>
        <w:t>laczego 8 a nie 10 godzin?</w:t>
      </w:r>
      <w:r w:rsidR="00B15B0B">
        <w:t xml:space="preserve"> </w:t>
      </w:r>
      <w:r w:rsidR="009F76E0">
        <w:t xml:space="preserve">Co z obecnie obowiązującym 40 godzinnym czasem pracy nauczyciela i jego dostępnością w tym czasie? </w:t>
      </w:r>
      <w:r>
        <w:t>Dlaczego nauczycieli wychowania przedszkolnego wyłączono z tej regulacji?</w:t>
      </w:r>
      <w:r w:rsidR="00B15B0B">
        <w:t xml:space="preserve"> </w:t>
      </w:r>
      <w:r>
        <w:t>Dlaczego w obrębie nauczycieli „tablicowych” proponuje się kolejne zróżnicowanie statusu</w:t>
      </w:r>
      <w:r w:rsidR="00B15B0B">
        <w:t xml:space="preserve"> </w:t>
      </w:r>
      <w:r>
        <w:t>nauczyciela poprzez wprowadzenie większej puli dostępności dla nauczycieli wychowania</w:t>
      </w:r>
      <w:r w:rsidR="00B15B0B">
        <w:t xml:space="preserve"> </w:t>
      </w:r>
      <w:r>
        <w:t>fizycznego, plastyki, muzyki?</w:t>
      </w:r>
      <w:r w:rsidR="00375517">
        <w:t xml:space="preserve"> </w:t>
      </w:r>
      <w:r w:rsidR="00B15B0B">
        <w:t xml:space="preserve">Rodzi się także pytanie: </w:t>
      </w:r>
      <w:r w:rsidRPr="002458F0">
        <w:rPr>
          <w:u w:val="single"/>
        </w:rPr>
        <w:t>Co z 40-godzinnym czasem pracy nauczyciela bibliotekarza, który obecnie realizuje</w:t>
      </w:r>
      <w:r w:rsidR="00B15B0B" w:rsidRPr="002458F0">
        <w:rPr>
          <w:u w:val="single"/>
        </w:rPr>
        <w:t xml:space="preserve"> </w:t>
      </w:r>
      <w:r w:rsidRPr="002458F0">
        <w:rPr>
          <w:u w:val="single"/>
        </w:rPr>
        <w:t xml:space="preserve">pensum w wymiarze </w:t>
      </w:r>
      <w:r w:rsidR="00375517">
        <w:rPr>
          <w:u w:val="single"/>
        </w:rPr>
        <w:t xml:space="preserve">np. </w:t>
      </w:r>
      <w:r w:rsidRPr="002458F0">
        <w:rPr>
          <w:u w:val="single"/>
        </w:rPr>
        <w:t>30 godzin tygodniowo, a po zmianach miałby pracować 42 godziny</w:t>
      </w:r>
      <w:r w:rsidR="00B15B0B" w:rsidRPr="002458F0">
        <w:rPr>
          <w:u w:val="single"/>
        </w:rPr>
        <w:t xml:space="preserve"> </w:t>
      </w:r>
      <w:r w:rsidRPr="002458F0">
        <w:rPr>
          <w:u w:val="single"/>
        </w:rPr>
        <w:t>tygodniowo (34-godzinne pensum i 8 godzin dostępności)</w:t>
      </w:r>
      <w:r>
        <w:t>?</w:t>
      </w:r>
    </w:p>
    <w:p w14:paraId="5299DA9C" w14:textId="1E7EBE3D" w:rsidR="0080795C" w:rsidRDefault="0080795C" w:rsidP="00B93CB1">
      <w:pPr>
        <w:spacing w:after="0"/>
        <w:ind w:firstLine="708"/>
        <w:rPr>
          <w:rFonts w:eastAsia="Times New Roman" w:cs="Times New Roman"/>
          <w:color w:val="222222"/>
          <w:szCs w:val="24"/>
          <w:lang w:eastAsia="pl-PL"/>
        </w:rPr>
      </w:pPr>
      <w:r>
        <w:t xml:space="preserve">Należy jednak zauważyć, iż zwiększenie </w:t>
      </w:r>
      <w:r w:rsidRPr="0080795C">
        <w:rPr>
          <w:rFonts w:eastAsia="Times New Roman" w:cs="Times New Roman"/>
          <w:color w:val="222222"/>
          <w:szCs w:val="24"/>
          <w:lang w:eastAsia="pl-PL"/>
        </w:rPr>
        <w:t xml:space="preserve">pensum o 4 godziny zajęć </w:t>
      </w:r>
      <w:r>
        <w:rPr>
          <w:rFonts w:eastAsia="Times New Roman" w:cs="Times New Roman"/>
          <w:color w:val="222222"/>
          <w:szCs w:val="24"/>
          <w:lang w:eastAsia="pl-PL"/>
        </w:rPr>
        <w:t>wywoła</w:t>
      </w:r>
      <w:r w:rsidR="00C00501">
        <w:rPr>
          <w:rFonts w:eastAsia="Times New Roman" w:cs="Times New Roman"/>
          <w:color w:val="222222"/>
          <w:szCs w:val="24"/>
          <w:lang w:eastAsia="pl-PL"/>
        </w:rPr>
        <w:t>,</w:t>
      </w:r>
      <w:r>
        <w:rPr>
          <w:rFonts w:eastAsia="Times New Roman" w:cs="Times New Roman"/>
          <w:color w:val="222222"/>
          <w:szCs w:val="24"/>
          <w:lang w:eastAsia="pl-PL"/>
        </w:rPr>
        <w:t xml:space="preserve"> w </w:t>
      </w:r>
      <w:r w:rsidR="00B93CB1">
        <w:rPr>
          <w:rFonts w:eastAsia="Times New Roman" w:cs="Times New Roman"/>
          <w:color w:val="222222"/>
          <w:szCs w:val="24"/>
          <w:lang w:eastAsia="pl-PL"/>
        </w:rPr>
        <w:t>szczególności w mniejszych samorządach</w:t>
      </w:r>
      <w:r w:rsidR="00C00501">
        <w:rPr>
          <w:rFonts w:eastAsia="Times New Roman" w:cs="Times New Roman"/>
          <w:color w:val="222222"/>
          <w:szCs w:val="24"/>
          <w:lang w:eastAsia="pl-PL"/>
        </w:rPr>
        <w:t>,</w:t>
      </w:r>
      <w:r w:rsidR="00B93CB1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80795C">
        <w:rPr>
          <w:rFonts w:eastAsia="Times New Roman" w:cs="Times New Roman"/>
          <w:color w:val="222222"/>
          <w:szCs w:val="24"/>
          <w:lang w:eastAsia="pl-PL"/>
        </w:rPr>
        <w:t>konieczność zatrudnienia nauczycieli w kilku szkołach jednocześnie</w:t>
      </w:r>
      <w:r w:rsidR="00B93CB1">
        <w:rPr>
          <w:rFonts w:eastAsia="Times New Roman" w:cs="Times New Roman"/>
          <w:color w:val="222222"/>
          <w:szCs w:val="24"/>
          <w:lang w:eastAsia="pl-PL"/>
        </w:rPr>
        <w:t xml:space="preserve"> i może to wpłynąć na rzeczywistą dostępność nauczyciela oraz jego udział w życiu szkoły i realizacji innych poza pracą „tablicową” zadań i projektów.</w:t>
      </w:r>
    </w:p>
    <w:p w14:paraId="50784856" w14:textId="7C1379C8" w:rsidR="00B93CB1" w:rsidRDefault="00B93CB1" w:rsidP="00B93CB1">
      <w:pPr>
        <w:spacing w:after="0"/>
        <w:ind w:firstLine="708"/>
      </w:pPr>
      <w:r>
        <w:rPr>
          <w:rFonts w:eastAsia="Times New Roman" w:cs="Times New Roman"/>
          <w:color w:val="222222"/>
          <w:szCs w:val="24"/>
          <w:lang w:eastAsia="pl-PL"/>
        </w:rPr>
        <w:lastRenderedPageBreak/>
        <w:t xml:space="preserve">Ponadto, przy założeniu, iż nauczyciel w ramach dostępności przebywa 8 godzin w szkole powstanie konieczność zaangażowania dodatkowych środków finansowych, które będą </w:t>
      </w:r>
      <w:r w:rsidR="00C00501">
        <w:rPr>
          <w:rFonts w:eastAsia="Times New Roman" w:cs="Times New Roman"/>
          <w:color w:val="222222"/>
          <w:szCs w:val="24"/>
          <w:lang w:eastAsia="pl-PL"/>
        </w:rPr>
        <w:t xml:space="preserve">musiały zostać </w:t>
      </w:r>
      <w:r>
        <w:rPr>
          <w:rFonts w:eastAsia="Times New Roman" w:cs="Times New Roman"/>
          <w:color w:val="222222"/>
          <w:szCs w:val="24"/>
          <w:lang w:eastAsia="pl-PL"/>
        </w:rPr>
        <w:t xml:space="preserve">przeznaczane na stworzenie odpowiednich warunków do pracy nauczycieli na terenie szkoły. </w:t>
      </w:r>
    </w:p>
    <w:p w14:paraId="5F3DEE57" w14:textId="77777777" w:rsidR="00C00501" w:rsidRDefault="00DC3E5D" w:rsidP="002458F0">
      <w:pPr>
        <w:spacing w:after="0"/>
        <w:ind w:firstLine="708"/>
      </w:pPr>
      <w:r>
        <w:t>Rejestrowanie zajęć i czynności nauczyciela w ramach dostępności nauczyciela w szkole to</w:t>
      </w:r>
      <w:r w:rsidR="00B15B0B">
        <w:t xml:space="preserve"> </w:t>
      </w:r>
      <w:r>
        <w:t xml:space="preserve">nałożenie na dyrektora </w:t>
      </w:r>
      <w:r w:rsidRPr="002458F0">
        <w:rPr>
          <w:u w:val="single"/>
        </w:rPr>
        <w:t xml:space="preserve">dodatkowych </w:t>
      </w:r>
      <w:r w:rsidR="00B15B0B" w:rsidRPr="002458F0">
        <w:rPr>
          <w:u w:val="single"/>
        </w:rPr>
        <w:t xml:space="preserve">żmudnych i </w:t>
      </w:r>
      <w:r w:rsidRPr="002458F0">
        <w:rPr>
          <w:u w:val="single"/>
        </w:rPr>
        <w:t>czasochłonnych obowiązków, wprowadzenie kolejnego</w:t>
      </w:r>
      <w:r w:rsidR="00B15B0B" w:rsidRPr="002458F0">
        <w:rPr>
          <w:u w:val="single"/>
        </w:rPr>
        <w:t xml:space="preserve"> </w:t>
      </w:r>
      <w:r w:rsidRPr="002458F0">
        <w:rPr>
          <w:u w:val="single"/>
        </w:rPr>
        <w:t xml:space="preserve">biurokratycznego formalizmu, co wyraźnie stoi w sprzeczności z postulowanym przez </w:t>
      </w:r>
      <w:proofErr w:type="spellStart"/>
      <w:r w:rsidRPr="002458F0">
        <w:rPr>
          <w:u w:val="single"/>
        </w:rPr>
        <w:t>MEiN</w:t>
      </w:r>
      <w:proofErr w:type="spellEnd"/>
      <w:r w:rsidR="00B15B0B" w:rsidRPr="002458F0">
        <w:rPr>
          <w:u w:val="single"/>
        </w:rPr>
        <w:t xml:space="preserve"> </w:t>
      </w:r>
      <w:r w:rsidRPr="002458F0">
        <w:rPr>
          <w:u w:val="single"/>
        </w:rPr>
        <w:t>odbiurokratyzowaniem szkoły</w:t>
      </w:r>
      <w:r>
        <w:t xml:space="preserve">. </w:t>
      </w:r>
    </w:p>
    <w:p w14:paraId="5601318C" w14:textId="5425892F" w:rsidR="002458F0" w:rsidRDefault="00B15B0B" w:rsidP="002458F0">
      <w:pPr>
        <w:spacing w:after="0"/>
        <w:ind w:firstLine="708"/>
      </w:pPr>
      <w:r>
        <w:t xml:space="preserve">W opinii Komisji Edukacja wprowadzenie </w:t>
      </w:r>
      <w:r w:rsidR="00DC3E5D">
        <w:t>3-letni</w:t>
      </w:r>
      <w:r>
        <w:t>ego</w:t>
      </w:r>
      <w:r w:rsidR="00DC3E5D">
        <w:t xml:space="preserve"> okres przejściowy</w:t>
      </w:r>
      <w:r w:rsidR="003629B0">
        <w:t>,</w:t>
      </w:r>
      <w:r w:rsidR="00DC3E5D">
        <w:t xml:space="preserve"> to nic innego niż utrzymanie </w:t>
      </w:r>
      <w:r w:rsidRPr="00B15B0B">
        <w:rPr>
          <w:i/>
          <w:iCs/>
        </w:rPr>
        <w:t>status quo</w:t>
      </w:r>
      <w:r>
        <w:t xml:space="preserve">. Naszą wątpliwość budzi celowość wprowadzania owej przejściowości, skoro </w:t>
      </w:r>
      <w:r w:rsidR="00DC3E5D">
        <w:t>założeniem zmiany jest ograniczenie wymiaru</w:t>
      </w:r>
      <w:r>
        <w:t xml:space="preserve"> </w:t>
      </w:r>
      <w:r w:rsidR="00DC3E5D">
        <w:t>zatrudnienia przy jednoczesnym zmniejszeniu wynagrodzenia</w:t>
      </w:r>
      <w:r w:rsidR="003629B0">
        <w:t xml:space="preserve">. </w:t>
      </w:r>
      <w:r w:rsidR="00106C55">
        <w:t>Rodzą się także pytania</w:t>
      </w:r>
      <w:r w:rsidR="002458F0">
        <w:t xml:space="preserve">: </w:t>
      </w:r>
      <w:r w:rsidR="00DC3E5D">
        <w:t>Jaka będzie sytuacja nauczyciela,</w:t>
      </w:r>
      <w:r w:rsidR="003629B0">
        <w:t xml:space="preserve"> </w:t>
      </w:r>
      <w:r w:rsidR="00DC3E5D">
        <w:t xml:space="preserve">który po 3 latach pozostawania na dotychczasowych warunkach nadal nie </w:t>
      </w:r>
      <w:r w:rsidR="002458F0">
        <w:t>zgadza</w:t>
      </w:r>
      <w:r w:rsidR="00DC3E5D">
        <w:t xml:space="preserve"> się na ich zmianę?</w:t>
      </w:r>
      <w:r w:rsidR="002458F0">
        <w:t xml:space="preserve"> </w:t>
      </w:r>
      <w:r w:rsidR="009F76E0">
        <w:t>Czy wprowadzane rozwiązanie nie stanie się zgrabnym mechanizmem do zwalniania „niewygodnych” nauczycieli ?</w:t>
      </w:r>
    </w:p>
    <w:p w14:paraId="5D8CFB63" w14:textId="719DA0D0" w:rsidR="00DC3E5D" w:rsidRDefault="002458F0" w:rsidP="002458F0">
      <w:pPr>
        <w:spacing w:after="0"/>
        <w:ind w:firstLine="708"/>
      </w:pPr>
      <w:r>
        <w:t>Przestawiona p</w:t>
      </w:r>
      <w:r w:rsidR="00DC3E5D">
        <w:t xml:space="preserve">ropozycja zakłada ograniczenie zatrudnienia nauczyciela do wymiaru niższego niż </w:t>
      </w:r>
      <w:r>
        <w:t xml:space="preserve">½ </w:t>
      </w:r>
      <w:r w:rsidR="00DC3E5D">
        <w:t xml:space="preserve">obowiązującego go pensum. </w:t>
      </w:r>
      <w:r>
        <w:t>Brak jest w tym dokumencie wskazania j</w:t>
      </w:r>
      <w:r w:rsidR="00DC3E5D">
        <w:t>aka będzie forma zatrudnienia takiego nauczyciela</w:t>
      </w:r>
      <w:r>
        <w:t>.</w:t>
      </w:r>
      <w:r w:rsidR="00DC3E5D">
        <w:t xml:space="preserve"> Czy w dalszym</w:t>
      </w:r>
      <w:r>
        <w:t xml:space="preserve"> </w:t>
      </w:r>
      <w:r w:rsidR="00DC3E5D">
        <w:t>ciągu jego stosunek pracy będzie zawarty na podstawie mianowania?</w:t>
      </w:r>
    </w:p>
    <w:p w14:paraId="472F4A91" w14:textId="77777777" w:rsidR="00106C55" w:rsidRDefault="00106C55" w:rsidP="002458F0">
      <w:pPr>
        <w:spacing w:after="0"/>
        <w:ind w:firstLine="708"/>
      </w:pPr>
    </w:p>
    <w:p w14:paraId="631C7DFE" w14:textId="52F8B795" w:rsidR="00DC3E5D" w:rsidRPr="002458F0" w:rsidRDefault="00DC3E5D" w:rsidP="002458F0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2458F0">
        <w:rPr>
          <w:b/>
          <w:bCs/>
        </w:rPr>
        <w:t>Ocena pracy i urlop wypoczynkowy.</w:t>
      </w:r>
    </w:p>
    <w:p w14:paraId="650ACDF1" w14:textId="77777777" w:rsidR="0019715E" w:rsidRDefault="0019715E" w:rsidP="00654447">
      <w:pPr>
        <w:spacing w:after="0"/>
        <w:ind w:firstLine="708"/>
      </w:pPr>
    </w:p>
    <w:p w14:paraId="0DB99986" w14:textId="2B93ED7E" w:rsidR="002458F0" w:rsidRDefault="00DC3E5D" w:rsidP="00654447">
      <w:pPr>
        <w:spacing w:after="0"/>
        <w:ind w:firstLine="708"/>
      </w:pPr>
      <w:r>
        <w:t xml:space="preserve">Proponowane zmiany </w:t>
      </w:r>
      <w:r w:rsidR="002458F0">
        <w:t xml:space="preserve">dotyczące </w:t>
      </w:r>
      <w:r>
        <w:t xml:space="preserve">dokonywania oceny pracy są zasadne. </w:t>
      </w:r>
      <w:r w:rsidRPr="009E56B6">
        <w:rPr>
          <w:u w:val="single"/>
        </w:rPr>
        <w:t>Określenie przypadków,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w których wymagane będzie posiadanie przez nauczyciela oceny pracy jest pożądaną modyfikacją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przepisów</w:t>
      </w:r>
      <w:r>
        <w:t xml:space="preserve">. </w:t>
      </w:r>
      <w:r w:rsidR="002458F0">
        <w:t xml:space="preserve">Na obecnym etapie </w:t>
      </w:r>
      <w:r>
        <w:t xml:space="preserve">nie jest </w:t>
      </w:r>
      <w:r w:rsidR="002458F0">
        <w:t xml:space="preserve">jednak </w:t>
      </w:r>
      <w:r>
        <w:t>wiadome, czy przepisy będą nadal uwzględniały możliwość</w:t>
      </w:r>
      <w:r w:rsidR="002458F0">
        <w:t xml:space="preserve"> </w:t>
      </w:r>
      <w:r>
        <w:t>dokonywania oceny pracy na wniosek nauczyciela i z inicjatywy dyrektora. Dotychczasowe</w:t>
      </w:r>
      <w:r w:rsidR="002458F0">
        <w:t xml:space="preserve"> </w:t>
      </w:r>
      <w:r>
        <w:t>regulacje w tym zakresie powinny zostać utrzymane także po wprowadzeniu zmian.</w:t>
      </w:r>
      <w:r w:rsidR="002458F0">
        <w:t xml:space="preserve"> </w:t>
      </w:r>
      <w:r>
        <w:t>Określenie kryteriów szczegółowych oraz kryteriów do wyboru na poziomie rozporządzenia to</w:t>
      </w:r>
      <w:r w:rsidR="002458F0">
        <w:t xml:space="preserve"> </w:t>
      </w:r>
      <w:r>
        <w:t>kolejny pozytywny aspekt proponowanych zmian.</w:t>
      </w:r>
    </w:p>
    <w:p w14:paraId="37A26598" w14:textId="59D689FB" w:rsidR="002458F0" w:rsidRDefault="00DC3E5D" w:rsidP="002458F0">
      <w:pPr>
        <w:spacing w:after="0"/>
        <w:ind w:firstLine="708"/>
      </w:pPr>
      <w:r w:rsidRPr="009E56B6">
        <w:rPr>
          <w:u w:val="single"/>
        </w:rPr>
        <w:t>Ustalenie wymiaru urlopu wypoczynkowego dla nauczycieli placówek feryjnych na poziomie 50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dni roboczych przy zachowaniu 35 dni urlopu nauczycieli placówek nieferyjnych (np. przedszkola)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 xml:space="preserve">to </w:t>
      </w:r>
      <w:r w:rsidR="00C00501">
        <w:rPr>
          <w:u w:val="single"/>
        </w:rPr>
        <w:t xml:space="preserve">kolejny </w:t>
      </w:r>
      <w:r w:rsidRPr="009E56B6">
        <w:rPr>
          <w:u w:val="single"/>
        </w:rPr>
        <w:t>przejaw nierównego traktowania</w:t>
      </w:r>
      <w:r w:rsidR="002458F0" w:rsidRPr="009E56B6">
        <w:rPr>
          <w:u w:val="single"/>
        </w:rPr>
        <w:t xml:space="preserve"> dwóch grup nauczycieli</w:t>
      </w:r>
      <w:r w:rsidR="002458F0">
        <w:t xml:space="preserve">. </w:t>
      </w:r>
      <w:r>
        <w:t>Okre</w:t>
      </w:r>
      <w:r>
        <w:lastRenderedPageBreak/>
        <w:t>ślenie wymiaru urlopu wypoczynkowego szkół nie spowoduje poprawy w obszarze</w:t>
      </w:r>
      <w:r w:rsidR="002458F0">
        <w:t xml:space="preserve"> </w:t>
      </w:r>
      <w:r>
        <w:t>zapewnienia opieki uczniom w okresie świątecznym. Generalnie praktykowana jest zasada, że</w:t>
      </w:r>
      <w:r w:rsidR="002458F0">
        <w:t xml:space="preserve"> </w:t>
      </w:r>
      <w:r>
        <w:t>okresy przerw świątecznych w szkołach (zimowej i wiosennej) to dni wolne od pracy dla</w:t>
      </w:r>
      <w:r w:rsidR="002458F0">
        <w:t xml:space="preserve"> </w:t>
      </w:r>
      <w:r>
        <w:t>nauczyciela.</w:t>
      </w:r>
    </w:p>
    <w:p w14:paraId="167839A1" w14:textId="77777777" w:rsidR="00654447" w:rsidRDefault="00654447" w:rsidP="002458F0">
      <w:pPr>
        <w:spacing w:after="0"/>
        <w:ind w:firstLine="708"/>
      </w:pPr>
    </w:p>
    <w:p w14:paraId="3E949B4D" w14:textId="152B6697" w:rsidR="00DC3E5D" w:rsidRPr="002458F0" w:rsidRDefault="00DC3E5D" w:rsidP="002458F0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2458F0">
        <w:rPr>
          <w:b/>
          <w:bCs/>
        </w:rPr>
        <w:t>Awans zawodowy nauczycieli.</w:t>
      </w:r>
    </w:p>
    <w:p w14:paraId="580F28F6" w14:textId="77777777" w:rsidR="00654447" w:rsidRDefault="00654447" w:rsidP="00B15B0B">
      <w:pPr>
        <w:spacing w:after="0"/>
      </w:pPr>
    </w:p>
    <w:p w14:paraId="130304DD" w14:textId="3763E007" w:rsidR="002458F0" w:rsidRDefault="00DC3E5D" w:rsidP="00654447">
      <w:pPr>
        <w:spacing w:after="0"/>
        <w:ind w:firstLine="708"/>
      </w:pPr>
      <w:r>
        <w:t>W nowej formule awansu zawodowego swoich dotychczasowych zadań i kompetencji zostaje</w:t>
      </w:r>
      <w:r w:rsidR="00654447">
        <w:t xml:space="preserve"> </w:t>
      </w:r>
      <w:r w:rsidR="00E14A99">
        <w:t>pozbawiona jednostka samorządu co budzi sprzeciw Komisji Edukacji Związku Miast Polskich.</w:t>
      </w:r>
      <w:r>
        <w:t xml:space="preserve"> Z jednej strony zmiana ta ma charakter pozytywny, gdyż</w:t>
      </w:r>
      <w:r w:rsidR="002458F0">
        <w:t xml:space="preserve"> </w:t>
      </w:r>
      <w:r>
        <w:t>prowadzi do zmniejszenia obowiązków, z drugiej zaś negatywny, gdyż pozbawia go wpływu na</w:t>
      </w:r>
      <w:r w:rsidR="002458F0">
        <w:t xml:space="preserve"> </w:t>
      </w:r>
      <w:r>
        <w:t xml:space="preserve">funkcjonowanie szkół i placówek. </w:t>
      </w:r>
      <w:r w:rsidRPr="009E56B6">
        <w:rPr>
          <w:u w:val="single"/>
        </w:rPr>
        <w:t>Jest to kolejny przykład ograniczenia roli samorządu jako organu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prowadzącego i może prowadzić do centralizacji</w:t>
      </w:r>
      <w:r>
        <w:t>.</w:t>
      </w:r>
      <w:r w:rsidR="002458F0">
        <w:t xml:space="preserve"> </w:t>
      </w:r>
      <w:r>
        <w:t xml:space="preserve">Przypisanie </w:t>
      </w:r>
      <w:r w:rsidR="002458F0">
        <w:t xml:space="preserve">jednostce samorządu terytorialnego </w:t>
      </w:r>
      <w:r w:rsidR="00C00501">
        <w:t xml:space="preserve">jedynie </w:t>
      </w:r>
      <w:r>
        <w:t>roli organu odwoławczego w przypadku nadawania przez dyrektora szkoły stopnia</w:t>
      </w:r>
      <w:r w:rsidR="00C00501">
        <w:t xml:space="preserve"> </w:t>
      </w:r>
      <w:r>
        <w:t>awansu zawodowego nauczyciela mianowanego sytuacji w tym zakresie nie poprawi</w:t>
      </w:r>
      <w:r w:rsidR="00C00501">
        <w:t xml:space="preserve"> gdyż można domniemać, iż będą to sytuacje incydentalne</w:t>
      </w:r>
      <w:r>
        <w:t>. Należałoby</w:t>
      </w:r>
      <w:r w:rsidR="002458F0">
        <w:t xml:space="preserve"> </w:t>
      </w:r>
      <w:r>
        <w:t>utrzymać dotychczasową zasadę, według której organem odwoławczym dla nauczycieli</w:t>
      </w:r>
      <w:r w:rsidR="002458F0">
        <w:t xml:space="preserve"> </w:t>
      </w:r>
      <w:r>
        <w:t>mianowanych jest organ sprawujący nadzór pedagogiczny.</w:t>
      </w:r>
      <w:r w:rsidR="002458F0">
        <w:t xml:space="preserve"> </w:t>
      </w:r>
      <w:r w:rsidRPr="009E56B6">
        <w:rPr>
          <w:u w:val="single"/>
        </w:rPr>
        <w:t>Pozytywnie ocenia się odejście od staży, planów rozwoju zawodowego, sprawozdań z ich realizacji,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co prowadzi do odbiurokratyzowania procedur</w:t>
      </w:r>
      <w:r>
        <w:t>. Skraca się okres do uzyskania stopnia nauczyciela</w:t>
      </w:r>
      <w:r w:rsidR="002458F0">
        <w:t xml:space="preserve"> </w:t>
      </w:r>
      <w:r>
        <w:t>mianowanego z 6 do 4 lat, co jest korzystne dla nauczyciela.</w:t>
      </w:r>
      <w:r w:rsidR="002458F0">
        <w:t xml:space="preserve"> </w:t>
      </w:r>
      <w:r w:rsidRPr="009E56B6">
        <w:rPr>
          <w:u w:val="single"/>
        </w:rPr>
        <w:t>Pożądaną zmianą jest położenie akcentu na umiejętności praktyczne nauczyciela i ich ocena przez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instytucje zewnętrzne wobec szkoły (egzamin zewnętrzny przy ubieganiu się na stopień nauczyciela</w:t>
      </w:r>
      <w:r w:rsidR="002458F0" w:rsidRPr="009E56B6">
        <w:rPr>
          <w:u w:val="single"/>
        </w:rPr>
        <w:t xml:space="preserve"> </w:t>
      </w:r>
      <w:r w:rsidRPr="009E56B6">
        <w:rPr>
          <w:u w:val="single"/>
        </w:rPr>
        <w:t>mianowanego</w:t>
      </w:r>
      <w:r>
        <w:t>).</w:t>
      </w:r>
    </w:p>
    <w:p w14:paraId="75F832E4" w14:textId="1B0CAE3D" w:rsidR="002458F0" w:rsidRDefault="00DC3E5D" w:rsidP="002458F0">
      <w:pPr>
        <w:spacing w:after="0"/>
        <w:ind w:firstLine="708"/>
      </w:pPr>
      <w:r>
        <w:t xml:space="preserve">Rodzą </w:t>
      </w:r>
      <w:r w:rsidR="002458F0">
        <w:t>się</w:t>
      </w:r>
      <w:r>
        <w:t xml:space="preserve"> natomiast pytania o mentora, jego rolę i uprawnienia oraz sposób wynagradzania.</w:t>
      </w:r>
      <w:r w:rsidR="002458F0">
        <w:t xml:space="preserve"> </w:t>
      </w:r>
      <w:r>
        <w:t>Dotychczasowa funkcja opiekuna stażu, jak pokazuje doświadczenie, nie zawsze przynosiła</w:t>
      </w:r>
      <w:r w:rsidR="002458F0">
        <w:t xml:space="preserve"> </w:t>
      </w:r>
      <w:r>
        <w:t>pozytywne</w:t>
      </w:r>
      <w:r w:rsidR="002458F0">
        <w:t xml:space="preserve"> efekty, </w:t>
      </w:r>
      <w:r>
        <w:t xml:space="preserve">poza </w:t>
      </w:r>
      <w:r w:rsidR="002458F0">
        <w:t xml:space="preserve">często symbolicznym, </w:t>
      </w:r>
      <w:r>
        <w:t>dodatkowym wynagrodzeniem dla sprawującego tę funkcję.</w:t>
      </w:r>
      <w:r w:rsidR="009034DA">
        <w:t xml:space="preserve"> Niejasne są zapisy dotyczące wystandaryzowanych egzaminów zewnętrznych po okresie wprowadzenia do zawodu – Kto przeprowadzi ten egzamin ? Jakie będą wymagania i procedury ? Kim będą członkowie Komisji ?</w:t>
      </w:r>
    </w:p>
    <w:p w14:paraId="50851FD8" w14:textId="77777777" w:rsidR="009034DA" w:rsidRDefault="009034DA" w:rsidP="002458F0">
      <w:pPr>
        <w:spacing w:after="0"/>
        <w:ind w:firstLine="708"/>
      </w:pPr>
    </w:p>
    <w:p w14:paraId="2E27C663" w14:textId="7BB2C762" w:rsidR="00DC3E5D" w:rsidRPr="002458F0" w:rsidRDefault="00DC3E5D" w:rsidP="002458F0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2458F0">
        <w:rPr>
          <w:b/>
          <w:bCs/>
        </w:rPr>
        <w:t>Wynagradzanie nauczycieli.</w:t>
      </w:r>
    </w:p>
    <w:p w14:paraId="63CC66FA" w14:textId="77777777" w:rsidR="00654447" w:rsidRDefault="00654447" w:rsidP="009034DA">
      <w:pPr>
        <w:spacing w:after="0"/>
        <w:ind w:firstLine="708"/>
      </w:pPr>
    </w:p>
    <w:p w14:paraId="49E47442" w14:textId="75B60AE2" w:rsidR="00590C8C" w:rsidRDefault="00DC3E5D" w:rsidP="009034DA">
      <w:pPr>
        <w:spacing w:after="0"/>
        <w:ind w:firstLine="708"/>
      </w:pPr>
      <w:r>
        <w:t>Zmiany w systemie wynagradzania nauczycieli są konieczne. Niezrozumiałe jest jednak ustalanie</w:t>
      </w:r>
      <w:r w:rsidR="002458F0">
        <w:t xml:space="preserve"> </w:t>
      </w:r>
      <w:r>
        <w:t>wysokości przeciętnego wynagrodzenia nauczycieli nieposiadających stopnia awansu zawodowego</w:t>
      </w:r>
      <w:r w:rsidR="002458F0">
        <w:t xml:space="preserve"> </w:t>
      </w:r>
      <w:r>
        <w:t xml:space="preserve">na poziomie 140% kwoty bazowej. Obiektywnym rozwiązaniem byłoby ustalenie </w:t>
      </w:r>
      <w:r>
        <w:lastRenderedPageBreak/>
        <w:t>wysokości tego</w:t>
      </w:r>
      <w:r w:rsidR="002458F0">
        <w:t xml:space="preserve"> </w:t>
      </w:r>
      <w:r>
        <w:t>wynagrodzenia na poziomie 100% kwoty bazowej.</w:t>
      </w:r>
      <w:r w:rsidR="002458F0">
        <w:t xml:space="preserve"> </w:t>
      </w:r>
      <w:r>
        <w:t>W propozycji nie odniesiono się do wysokości przeciętnego wynagrodzenia nauczycieli</w:t>
      </w:r>
      <w:r w:rsidR="002458F0">
        <w:t xml:space="preserve"> </w:t>
      </w:r>
      <w:r>
        <w:t>kontraktowych. Nauczyciele posiadający ten stopień nie zawsze wybierają ścieżkę dalszej kariery,</w:t>
      </w:r>
      <w:r w:rsidR="002458F0">
        <w:t xml:space="preserve"> </w:t>
      </w:r>
      <w:r>
        <w:t>pozostaną w systemie po wprowadzeniu ewentualnych zmian.</w:t>
      </w:r>
    </w:p>
    <w:p w14:paraId="16707BCA" w14:textId="77777777" w:rsidR="00590C8C" w:rsidRDefault="00DC3E5D" w:rsidP="00590C8C">
      <w:pPr>
        <w:spacing w:after="0"/>
        <w:ind w:firstLine="708"/>
      </w:pPr>
      <w:r w:rsidRPr="009E56B6">
        <w:rPr>
          <w:u w:val="single"/>
        </w:rPr>
        <w:t>Zasadne jest pozostawienie w tabeli wynagrodzeń 2 grup nauczycieli w zależności od poziomu</w:t>
      </w:r>
      <w:r w:rsidR="00590C8C" w:rsidRPr="009E56B6">
        <w:rPr>
          <w:u w:val="single"/>
        </w:rPr>
        <w:t xml:space="preserve"> </w:t>
      </w:r>
      <w:r w:rsidRPr="009E56B6">
        <w:rPr>
          <w:u w:val="single"/>
        </w:rPr>
        <w:t>wykształcenia</w:t>
      </w:r>
      <w:r>
        <w:t>.</w:t>
      </w:r>
    </w:p>
    <w:p w14:paraId="42E0ED1C" w14:textId="0BA0A808" w:rsidR="00590C8C" w:rsidRDefault="00DC3E5D" w:rsidP="00590C8C">
      <w:pPr>
        <w:spacing w:after="0"/>
        <w:ind w:firstLine="708"/>
      </w:pPr>
      <w:r>
        <w:t xml:space="preserve">Pozytywną i długo oczekiwaną przez </w:t>
      </w:r>
      <w:r w:rsidR="00590C8C">
        <w:t>jednostki samorządu terytorialnego</w:t>
      </w:r>
      <w:r>
        <w:t xml:space="preserve"> zmianą jest odejście od rozliczenia średnich wynagrodzeń</w:t>
      </w:r>
      <w:r w:rsidR="00590C8C">
        <w:t xml:space="preserve"> </w:t>
      </w:r>
      <w:r>
        <w:t>w roku, opracowywania sprawozdań i likwidacja dodatku uzupełniającego.</w:t>
      </w:r>
      <w:r w:rsidR="00590C8C">
        <w:t xml:space="preserve"> </w:t>
      </w:r>
      <w:r w:rsidRPr="00590C8C">
        <w:rPr>
          <w:u w:val="single"/>
        </w:rPr>
        <w:t>Zobowiązanie organów prowadzących do ustalania nowych regulaminów wynagradzania co 3 lata</w:t>
      </w:r>
      <w:r w:rsidR="00590C8C" w:rsidRPr="00590C8C">
        <w:rPr>
          <w:u w:val="single"/>
        </w:rPr>
        <w:t xml:space="preserve"> </w:t>
      </w:r>
      <w:r w:rsidRPr="00590C8C">
        <w:rPr>
          <w:u w:val="single"/>
        </w:rPr>
        <w:t>jest niezasadne</w:t>
      </w:r>
      <w:r>
        <w:t>. Planuje się, aby minimalne stawki dodatków zostały ustalone w ustawie, w związku</w:t>
      </w:r>
      <w:r w:rsidR="00590C8C">
        <w:t xml:space="preserve"> </w:t>
      </w:r>
      <w:r>
        <w:t>z tym najlepszym rozwiązaniem byłoby opracowanie regulaminów wynagradzania w miarę potrzeb.</w:t>
      </w:r>
      <w:r w:rsidR="007A4D6F">
        <w:t xml:space="preserve"> Jednakże przy ustaleniu minimalnych kwot dodatków w rozporządzeniu - j.s.t. ze względu na braki finansowe i tak nie będą mogły ich podnieść co będzie źródłem konfliktu przy negocjacji regulaminów wynagradzania ze związkami zawodowymi.</w:t>
      </w:r>
    </w:p>
    <w:p w14:paraId="6A69A539" w14:textId="7B80688F" w:rsidR="009E56B6" w:rsidRDefault="00DC3E5D" w:rsidP="009E56B6">
      <w:pPr>
        <w:spacing w:after="0"/>
        <w:ind w:firstLine="708"/>
      </w:pPr>
      <w:r w:rsidRPr="00590C8C">
        <w:rPr>
          <w:u w:val="single"/>
        </w:rPr>
        <w:t>Zastosowanie powszechnego sposobu naliczania wysokości odpisu na ZFŚS spowoduje równe</w:t>
      </w:r>
      <w:r w:rsidR="00590C8C" w:rsidRPr="00590C8C">
        <w:rPr>
          <w:u w:val="single"/>
        </w:rPr>
        <w:t xml:space="preserve"> </w:t>
      </w:r>
      <w:r w:rsidRPr="00590C8C">
        <w:rPr>
          <w:u w:val="single"/>
        </w:rPr>
        <w:t>traktowanie wszystkich pracowników zatrudnionych w oświacie</w:t>
      </w:r>
      <w:r>
        <w:t>. Należałoby przypomnieć, że</w:t>
      </w:r>
      <w:r w:rsidR="00590C8C">
        <w:t xml:space="preserve"> </w:t>
      </w:r>
      <w:r>
        <w:t>nauczyciele korzystają dodatkowo z pomocy zdrowotnej (art.72 ustawy Karta nauczyciela).</w:t>
      </w:r>
      <w:r w:rsidR="00590C8C">
        <w:t xml:space="preserve"> </w:t>
      </w:r>
      <w:r>
        <w:t xml:space="preserve">Przy okazji proponowanych licznych zmian </w:t>
      </w:r>
      <w:r w:rsidR="00590C8C">
        <w:t>proponujemy</w:t>
      </w:r>
      <w:r>
        <w:t xml:space="preserve"> </w:t>
      </w:r>
      <w:r w:rsidR="00C00501">
        <w:t xml:space="preserve">ponownie rozważenie konieczności </w:t>
      </w:r>
      <w:r>
        <w:t>wypracowani</w:t>
      </w:r>
      <w:r w:rsidR="00C00501">
        <w:t>a</w:t>
      </w:r>
      <w:r>
        <w:t xml:space="preserve"> jasnych i</w:t>
      </w:r>
      <w:r w:rsidR="00590C8C">
        <w:t xml:space="preserve"> </w:t>
      </w:r>
      <w:r>
        <w:t>przejrzystych zasad wynagradzania nauczycieli za godziny ponadwymiarowe</w:t>
      </w:r>
      <w:r w:rsidR="00C00501">
        <w:t xml:space="preserve"> oraz za sprawowanie opieki na wycieczkach, w tym wielodniowych</w:t>
      </w:r>
      <w:r>
        <w:t>. W obecnym stanie</w:t>
      </w:r>
      <w:r w:rsidR="00590C8C">
        <w:t xml:space="preserve"> </w:t>
      </w:r>
      <w:r>
        <w:t>prawnym brak jest jednoznacznych przepisów określających w jakich przypadkach przysługuje</w:t>
      </w:r>
      <w:r w:rsidR="00590C8C">
        <w:t xml:space="preserve"> </w:t>
      </w:r>
      <w:r>
        <w:t>wynagrodzenie za godziny ponadwymiarowe</w:t>
      </w:r>
      <w:r w:rsidR="00C00501">
        <w:t xml:space="preserve"> i jak wynagradzać nauczycieli za sprawowanie opieki na wycieczkach.</w:t>
      </w:r>
      <w:r>
        <w:t xml:space="preserve"> Dyrektorzy jednostek oświatowych od kilku lat mają</w:t>
      </w:r>
      <w:r w:rsidR="00590C8C">
        <w:t xml:space="preserve"> </w:t>
      </w:r>
      <w:r>
        <w:t>trudności z interpretacją aktualnych przepisów. Eksperci prawni, którzy wypowiadają się na łamach</w:t>
      </w:r>
      <w:r w:rsidR="00590C8C">
        <w:t xml:space="preserve"> </w:t>
      </w:r>
      <w:r>
        <w:t>branżowych czasopism oraz portalach internetowych również mają rozbieżne opinie w tym</w:t>
      </w:r>
      <w:r w:rsidR="00590C8C">
        <w:t xml:space="preserve"> </w:t>
      </w:r>
      <w:r>
        <w:t>zakresie.</w:t>
      </w:r>
    </w:p>
    <w:p w14:paraId="5D0BC959" w14:textId="08240F3F" w:rsidR="006A32CA" w:rsidRDefault="009E56B6" w:rsidP="009E56B6">
      <w:pPr>
        <w:spacing w:after="0"/>
        <w:ind w:firstLine="708"/>
      </w:pPr>
      <w:r>
        <w:t xml:space="preserve">Ponadto, Komisja Edukacji Związku Miast Polskich zauważa, iż materiał ukazuje skutki finansowe wprowadzanych zmian, </w:t>
      </w:r>
      <w:r w:rsidRPr="009E56B6">
        <w:rPr>
          <w:b/>
          <w:bCs/>
        </w:rPr>
        <w:t>nie wskazuje natomiast źródeł finansowania tych zmian</w:t>
      </w:r>
      <w:r>
        <w:t>, co może w konsekwencji doprowadzić do kolejnych obciążeń budżetów samorządów terytorialnych.</w:t>
      </w:r>
    </w:p>
    <w:p w14:paraId="34C73B81" w14:textId="1DF2F25E" w:rsidR="00845FAE" w:rsidRDefault="00845FAE" w:rsidP="00845FAE">
      <w:pPr>
        <w:spacing w:after="0"/>
      </w:pPr>
    </w:p>
    <w:p w14:paraId="5A429E4D" w14:textId="77777777" w:rsidR="00845FAE" w:rsidRDefault="00845FAE" w:rsidP="00845FAE">
      <w:pPr>
        <w:spacing w:after="0"/>
        <w:ind w:left="360"/>
      </w:pPr>
      <w:bookmarkStart w:id="0" w:name="_GoBack"/>
      <w:bookmarkEnd w:id="0"/>
      <w:r>
        <w:t>Sekretarz Komisji Edukacji ZMP</w:t>
      </w:r>
      <w:r>
        <w:tab/>
      </w:r>
      <w:r>
        <w:tab/>
        <w:t>Przewodniczący Komisji Edukacji ZMP</w:t>
      </w:r>
    </w:p>
    <w:p w14:paraId="48BFD307" w14:textId="77777777" w:rsidR="00845FAE" w:rsidRDefault="00845FAE" w:rsidP="00845FAE">
      <w:pPr>
        <w:spacing w:after="0"/>
        <w:ind w:left="1068"/>
      </w:pPr>
      <w:r>
        <w:t>Jarosław Kotliński</w:t>
      </w:r>
      <w:r>
        <w:tab/>
      </w:r>
      <w:r>
        <w:tab/>
      </w:r>
      <w:r>
        <w:tab/>
      </w:r>
      <w:r>
        <w:tab/>
        <w:t>Przemysław Krzyżanowski</w:t>
      </w:r>
    </w:p>
    <w:sectPr w:rsidR="00845FAE" w:rsidSect="00B03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111E" w14:textId="77777777" w:rsidR="009F18C6" w:rsidRDefault="009F18C6" w:rsidP="00B15B0B">
      <w:pPr>
        <w:spacing w:after="0" w:line="240" w:lineRule="auto"/>
      </w:pPr>
      <w:r>
        <w:separator/>
      </w:r>
    </w:p>
  </w:endnote>
  <w:endnote w:type="continuationSeparator" w:id="0">
    <w:p w14:paraId="13BA1933" w14:textId="77777777" w:rsidR="009F18C6" w:rsidRDefault="009F18C6" w:rsidP="00B1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496782"/>
      <w:docPartObj>
        <w:docPartGallery w:val="Page Numbers (Bottom of Page)"/>
        <w:docPartUnique/>
      </w:docPartObj>
    </w:sdtPr>
    <w:sdtEndPr/>
    <w:sdtContent>
      <w:p w14:paraId="4F29C1D3" w14:textId="133E5528" w:rsidR="00B15B0B" w:rsidRDefault="00B15B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5E">
          <w:rPr>
            <w:noProof/>
          </w:rPr>
          <w:t>3</w:t>
        </w:r>
        <w:r>
          <w:fldChar w:fldCharType="end"/>
        </w:r>
      </w:p>
    </w:sdtContent>
  </w:sdt>
  <w:p w14:paraId="33A6C627" w14:textId="77777777" w:rsidR="00B15B0B" w:rsidRDefault="00B15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478F" w14:textId="77777777" w:rsidR="009F18C6" w:rsidRDefault="009F18C6" w:rsidP="00B15B0B">
      <w:pPr>
        <w:spacing w:after="0" w:line="240" w:lineRule="auto"/>
      </w:pPr>
      <w:r>
        <w:separator/>
      </w:r>
    </w:p>
  </w:footnote>
  <w:footnote w:type="continuationSeparator" w:id="0">
    <w:p w14:paraId="207243A9" w14:textId="77777777" w:rsidR="009F18C6" w:rsidRDefault="009F18C6" w:rsidP="00B1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40D"/>
    <w:multiLevelType w:val="hybridMultilevel"/>
    <w:tmpl w:val="292E449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A6716"/>
    <w:multiLevelType w:val="hybridMultilevel"/>
    <w:tmpl w:val="229AF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A"/>
    <w:rsid w:val="000A3E88"/>
    <w:rsid w:val="00106C55"/>
    <w:rsid w:val="0019715E"/>
    <w:rsid w:val="002458F0"/>
    <w:rsid w:val="0026554D"/>
    <w:rsid w:val="0026692C"/>
    <w:rsid w:val="002A4618"/>
    <w:rsid w:val="002B71F8"/>
    <w:rsid w:val="002E4BC6"/>
    <w:rsid w:val="003629B0"/>
    <w:rsid w:val="003734D6"/>
    <w:rsid w:val="00375517"/>
    <w:rsid w:val="003A38CE"/>
    <w:rsid w:val="00540307"/>
    <w:rsid w:val="00590C8C"/>
    <w:rsid w:val="00654447"/>
    <w:rsid w:val="006A32CA"/>
    <w:rsid w:val="007465A2"/>
    <w:rsid w:val="007A4D6F"/>
    <w:rsid w:val="0080795C"/>
    <w:rsid w:val="00826DCC"/>
    <w:rsid w:val="00845FAE"/>
    <w:rsid w:val="0088359C"/>
    <w:rsid w:val="00896F90"/>
    <w:rsid w:val="00901483"/>
    <w:rsid w:val="009034DA"/>
    <w:rsid w:val="009E56B6"/>
    <w:rsid w:val="009F18C6"/>
    <w:rsid w:val="009F76E0"/>
    <w:rsid w:val="00A576AA"/>
    <w:rsid w:val="00B033BF"/>
    <w:rsid w:val="00B15B0B"/>
    <w:rsid w:val="00B93CB1"/>
    <w:rsid w:val="00C00501"/>
    <w:rsid w:val="00C5660C"/>
    <w:rsid w:val="00C76B2E"/>
    <w:rsid w:val="00DC3E5D"/>
    <w:rsid w:val="00E14A99"/>
    <w:rsid w:val="00EF4A95"/>
    <w:rsid w:val="00F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71BD"/>
  <w15:docId w15:val="{26524628-9FC5-4C88-BD32-97B0F98C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2A4618"/>
    <w:pPr>
      <w:spacing w:line="360" w:lineRule="auto"/>
      <w:jc w:val="both"/>
    </w:pPr>
    <w:rPr>
      <w:rFonts w:ascii="Times New Roman" w:hAnsi="Times New Roman" w:cs="Calibri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4618"/>
    <w:pPr>
      <w:keepNext/>
      <w:spacing w:after="0" w:line="240" w:lineRule="auto"/>
      <w:jc w:val="left"/>
      <w:outlineLvl w:val="3"/>
    </w:pPr>
    <w:rPr>
      <w:rFonts w:eastAsia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A461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Bezodstpw">
    <w:name w:val="No Spacing"/>
    <w:uiPriority w:val="1"/>
    <w:qFormat/>
    <w:rsid w:val="002A4618"/>
    <w:pPr>
      <w:spacing w:after="0" w:line="240" w:lineRule="auto"/>
      <w:jc w:val="both"/>
    </w:pPr>
    <w:rPr>
      <w:rFonts w:ascii="Times New Roman" w:hAnsi="Times New Roman" w:cs="Calibri"/>
      <w:sz w:val="24"/>
    </w:rPr>
  </w:style>
  <w:style w:type="paragraph" w:styleId="Akapitzlist">
    <w:name w:val="List Paragraph"/>
    <w:basedOn w:val="Normalny"/>
    <w:uiPriority w:val="34"/>
    <w:qFormat/>
    <w:rsid w:val="002A461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1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0B"/>
    <w:rPr>
      <w:rFonts w:ascii="Times New Roman" w:hAnsi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B1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0B"/>
    <w:rPr>
      <w:rFonts w:ascii="Times New Roman" w:hAnsi="Times New Roman" w:cs="Calibri"/>
      <w:sz w:val="24"/>
    </w:rPr>
  </w:style>
  <w:style w:type="character" w:styleId="Wyrnieniedelikatne">
    <w:name w:val="Subtle Emphasis"/>
    <w:basedOn w:val="Domylnaczcionkaakapitu"/>
    <w:uiPriority w:val="19"/>
    <w:qFormat/>
    <w:rsid w:val="00C566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Przemysław Krzyżanowski</cp:lastModifiedBy>
  <cp:revision>9</cp:revision>
  <dcterms:created xsi:type="dcterms:W3CDTF">2021-10-22T06:29:00Z</dcterms:created>
  <dcterms:modified xsi:type="dcterms:W3CDTF">2021-10-22T08:11:00Z</dcterms:modified>
</cp:coreProperties>
</file>