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F5" w:rsidRPr="001059B7" w:rsidRDefault="00D8568D">
      <w:pPr>
        <w:pStyle w:val="Heading10"/>
        <w:keepNext/>
        <w:keepLines/>
        <w:shd w:val="clear" w:color="auto" w:fill="auto"/>
        <w:spacing w:after="392" w:line="230" w:lineRule="exact"/>
        <w:rPr>
          <w:sz w:val="24"/>
          <w:szCs w:val="24"/>
        </w:rPr>
      </w:pPr>
      <w:bookmarkStart w:id="0" w:name="bookmark0"/>
      <w:r w:rsidRPr="001059B7">
        <w:rPr>
          <w:sz w:val="24"/>
          <w:szCs w:val="24"/>
        </w:rPr>
        <w:t>UZASADNIENIE</w:t>
      </w:r>
      <w:bookmarkEnd w:id="0"/>
    </w:p>
    <w:p w:rsidR="00EE3047" w:rsidRPr="001059B7" w:rsidRDefault="00D8568D" w:rsidP="00B75264">
      <w:pPr>
        <w:pStyle w:val="Tekstpodstawowy3"/>
        <w:shd w:val="clear" w:color="auto" w:fill="auto"/>
        <w:tabs>
          <w:tab w:val="left" w:pos="231"/>
          <w:tab w:val="left" w:pos="567"/>
        </w:tabs>
        <w:spacing w:after="0" w:line="360" w:lineRule="auto"/>
        <w:ind w:firstLine="567"/>
        <w:jc w:val="both"/>
        <w:rPr>
          <w:szCs w:val="24"/>
        </w:rPr>
      </w:pPr>
      <w:r w:rsidRPr="001059B7">
        <w:rPr>
          <w:sz w:val="24"/>
          <w:szCs w:val="24"/>
        </w:rPr>
        <w:t xml:space="preserve">Niniejszy projekt rozporządzenia opracowany został w związku z wejściem w życie ustawy z dnia </w:t>
      </w:r>
      <w:r w:rsidR="009F6C9B" w:rsidRPr="001059B7">
        <w:rPr>
          <w:sz w:val="24"/>
          <w:szCs w:val="24"/>
        </w:rPr>
        <w:t>…</w:t>
      </w:r>
      <w:r w:rsidRPr="001059B7">
        <w:rPr>
          <w:sz w:val="24"/>
          <w:szCs w:val="24"/>
        </w:rPr>
        <w:t xml:space="preserve"> </w:t>
      </w:r>
      <w:r w:rsidR="00CB5802" w:rsidRPr="001059B7">
        <w:rPr>
          <w:sz w:val="24"/>
          <w:szCs w:val="24"/>
        </w:rPr>
        <w:t>20</w:t>
      </w:r>
      <w:r w:rsidR="00CB5802">
        <w:rPr>
          <w:sz w:val="24"/>
          <w:szCs w:val="24"/>
        </w:rPr>
        <w:t>2</w:t>
      </w:r>
      <w:r w:rsidR="00B75264">
        <w:rPr>
          <w:sz w:val="24"/>
          <w:szCs w:val="24"/>
        </w:rPr>
        <w:t>1</w:t>
      </w:r>
      <w:r w:rsidR="00CB5802" w:rsidRPr="001059B7">
        <w:rPr>
          <w:sz w:val="24"/>
          <w:szCs w:val="24"/>
        </w:rPr>
        <w:t xml:space="preserve"> </w:t>
      </w:r>
      <w:r w:rsidRPr="001059B7">
        <w:rPr>
          <w:sz w:val="24"/>
          <w:szCs w:val="24"/>
        </w:rPr>
        <w:t xml:space="preserve">r. o </w:t>
      </w:r>
      <w:r w:rsidR="00B75264">
        <w:rPr>
          <w:sz w:val="24"/>
          <w:szCs w:val="24"/>
        </w:rPr>
        <w:t>zasadach realizacji zadań finansowanych ze środków europejskich w perspektywie finansowej 2021-2027</w:t>
      </w:r>
      <w:r w:rsidRPr="001059B7">
        <w:rPr>
          <w:sz w:val="24"/>
          <w:szCs w:val="24"/>
        </w:rPr>
        <w:t xml:space="preserve"> (Dz. U. poz. ...), zwan</w:t>
      </w:r>
      <w:r w:rsidR="000350B7" w:rsidRPr="001059B7">
        <w:rPr>
          <w:sz w:val="24"/>
          <w:szCs w:val="24"/>
        </w:rPr>
        <w:t>ej</w:t>
      </w:r>
      <w:r w:rsidRPr="001059B7">
        <w:rPr>
          <w:sz w:val="24"/>
          <w:szCs w:val="24"/>
        </w:rPr>
        <w:t xml:space="preserve"> dalej „ustawą </w:t>
      </w:r>
      <w:r w:rsidR="00B75264">
        <w:rPr>
          <w:sz w:val="24"/>
          <w:szCs w:val="24"/>
        </w:rPr>
        <w:t>wdrożeniową</w:t>
      </w:r>
      <w:r w:rsidRPr="001059B7">
        <w:rPr>
          <w:sz w:val="24"/>
          <w:szCs w:val="24"/>
        </w:rPr>
        <w:t>”</w:t>
      </w:r>
      <w:r w:rsidR="003A389D" w:rsidRPr="001059B7">
        <w:rPr>
          <w:sz w:val="24"/>
          <w:szCs w:val="24"/>
        </w:rPr>
        <w:t xml:space="preserve"> i realizuje delegację ustawową zawartą w</w:t>
      </w:r>
      <w:r w:rsidR="00B75264">
        <w:rPr>
          <w:sz w:val="24"/>
          <w:szCs w:val="24"/>
        </w:rPr>
        <w:t>e wprowadzonym ustawą wdrożeniową</w:t>
      </w:r>
      <w:r w:rsidR="003A389D" w:rsidRPr="001059B7">
        <w:rPr>
          <w:sz w:val="24"/>
          <w:szCs w:val="24"/>
        </w:rPr>
        <w:t xml:space="preserve"> art. </w:t>
      </w:r>
      <w:r w:rsidR="00B75264">
        <w:rPr>
          <w:sz w:val="24"/>
          <w:szCs w:val="24"/>
        </w:rPr>
        <w:t>14ll</w:t>
      </w:r>
      <w:r w:rsidR="00B75264" w:rsidRPr="001059B7">
        <w:rPr>
          <w:sz w:val="24"/>
          <w:szCs w:val="24"/>
        </w:rPr>
        <w:t xml:space="preserve"> </w:t>
      </w:r>
      <w:r w:rsidR="003A389D" w:rsidRPr="001059B7">
        <w:rPr>
          <w:sz w:val="24"/>
          <w:szCs w:val="24"/>
        </w:rPr>
        <w:t xml:space="preserve">ust. </w:t>
      </w:r>
      <w:r w:rsidR="00B75264">
        <w:rPr>
          <w:sz w:val="24"/>
          <w:szCs w:val="24"/>
        </w:rPr>
        <w:t>6 ustawy z dnia 6 grudnia 2006 r. o zasadach prowadzenia polityki rozwoju (Dz. U. z 2021 r. poz. 1057 i …, zwanej dalej „</w:t>
      </w:r>
      <w:proofErr w:type="spellStart"/>
      <w:r w:rsidR="00B75264">
        <w:rPr>
          <w:sz w:val="24"/>
          <w:szCs w:val="24"/>
        </w:rPr>
        <w:t>uzppr</w:t>
      </w:r>
      <w:proofErr w:type="spellEnd"/>
      <w:r w:rsidR="00B75264">
        <w:rPr>
          <w:sz w:val="24"/>
          <w:szCs w:val="24"/>
        </w:rPr>
        <w:t>”),</w:t>
      </w:r>
      <w:r w:rsidR="00B75264" w:rsidRPr="001059B7">
        <w:rPr>
          <w:sz w:val="24"/>
          <w:szCs w:val="24"/>
        </w:rPr>
        <w:t xml:space="preserve"> </w:t>
      </w:r>
      <w:r w:rsidR="003A389D" w:rsidRPr="001059B7">
        <w:rPr>
          <w:sz w:val="24"/>
          <w:szCs w:val="24"/>
        </w:rPr>
        <w:t xml:space="preserve">zobowiązującą ministra właściwego do spraw </w:t>
      </w:r>
      <w:r w:rsidR="00B75264">
        <w:rPr>
          <w:rFonts w:eastAsia="Courier New"/>
          <w:sz w:val="24"/>
          <w:szCs w:val="24"/>
        </w:rPr>
        <w:t xml:space="preserve">rozwoju regionalnego w porozumieniu z ministrem właściwym do spraw finansów publicznych do określenia </w:t>
      </w:r>
      <w:bookmarkStart w:id="1" w:name="_GoBack"/>
      <w:bookmarkEnd w:id="1"/>
      <w:r w:rsidR="00B75264" w:rsidRPr="00B75264">
        <w:rPr>
          <w:rFonts w:eastAsia="Courier New"/>
          <w:iCs/>
          <w:sz w:val="24"/>
          <w:szCs w:val="24"/>
        </w:rPr>
        <w:t>wykaz</w:t>
      </w:r>
      <w:r w:rsidR="00B75264">
        <w:rPr>
          <w:rFonts w:eastAsia="Courier New"/>
          <w:iCs/>
          <w:sz w:val="24"/>
          <w:szCs w:val="24"/>
        </w:rPr>
        <w:t>u</w:t>
      </w:r>
      <w:r w:rsidR="00B75264" w:rsidRPr="00B75264">
        <w:rPr>
          <w:rFonts w:eastAsia="Courier New"/>
          <w:iCs/>
          <w:sz w:val="24"/>
          <w:szCs w:val="24"/>
        </w:rPr>
        <w:t xml:space="preserve"> inwestycji w ramach planu rozwojowego, kwalifikujących się do objęcia wsparciem w trybie, o którym mowa w </w:t>
      </w:r>
      <w:r w:rsidR="00B75264">
        <w:rPr>
          <w:rFonts w:eastAsia="Courier New"/>
          <w:iCs/>
          <w:sz w:val="24"/>
          <w:szCs w:val="24"/>
        </w:rPr>
        <w:t xml:space="preserve">art. 14ll </w:t>
      </w:r>
      <w:r w:rsidR="00B75264" w:rsidRPr="00B75264">
        <w:rPr>
          <w:rFonts w:eastAsia="Courier New"/>
          <w:iCs/>
          <w:sz w:val="24"/>
          <w:szCs w:val="24"/>
        </w:rPr>
        <w:t>ust. 2 pkt 2</w:t>
      </w:r>
      <w:r w:rsidR="00B75264">
        <w:rPr>
          <w:rFonts w:eastAsia="Courier New"/>
          <w:iCs/>
          <w:sz w:val="24"/>
          <w:szCs w:val="24"/>
        </w:rPr>
        <w:t xml:space="preserve"> </w:t>
      </w:r>
      <w:proofErr w:type="spellStart"/>
      <w:r w:rsidR="00B75264">
        <w:rPr>
          <w:rFonts w:eastAsia="Courier New"/>
          <w:iCs/>
          <w:sz w:val="24"/>
          <w:szCs w:val="24"/>
        </w:rPr>
        <w:t>uzppr</w:t>
      </w:r>
      <w:proofErr w:type="spellEnd"/>
      <w:r w:rsidR="00B75264">
        <w:rPr>
          <w:rFonts w:eastAsia="Courier New"/>
          <w:iCs/>
          <w:sz w:val="24"/>
          <w:szCs w:val="24"/>
        </w:rPr>
        <w:t>, tj. poprzez finansowanie z budżetu państwa w formie wsparcia o charakterze bezzwrotnym, z uwzględnieniem wartości inwestycji, charakteru przyznawanego wsparcia i rodzaju podmiotów będących ostatecznymi odbiorcami wsparcia.</w:t>
      </w:r>
      <w:r w:rsidR="00247866" w:rsidRPr="001059B7">
        <w:rPr>
          <w:rFonts w:eastAsia="Courier New"/>
          <w:sz w:val="24"/>
          <w:szCs w:val="24"/>
        </w:rPr>
        <w:t xml:space="preserve"> </w:t>
      </w:r>
    </w:p>
    <w:p w:rsidR="00B75264" w:rsidRDefault="00B75264" w:rsidP="00FC0B92">
      <w:pPr>
        <w:pStyle w:val="Tekstpodstawowy3"/>
        <w:shd w:val="clear" w:color="auto" w:fill="auto"/>
        <w:spacing w:before="120" w:after="0" w:line="360" w:lineRule="auto"/>
        <w:ind w:left="23" w:right="23" w:firstLine="442"/>
        <w:jc w:val="both"/>
        <w:rPr>
          <w:sz w:val="24"/>
          <w:szCs w:val="24"/>
        </w:rPr>
      </w:pPr>
      <w:r>
        <w:rPr>
          <w:sz w:val="24"/>
          <w:szCs w:val="24"/>
        </w:rPr>
        <w:t>Szczegółowy wykaz inwestycji został określony w załączniku do rozporządzenia.</w:t>
      </w:r>
    </w:p>
    <w:p w:rsidR="009F6D8A" w:rsidRDefault="00B75264" w:rsidP="00B75264">
      <w:pPr>
        <w:spacing w:before="120" w:line="360" w:lineRule="auto"/>
        <w:ind w:firstLine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Projektodawca proponuje, aby przedmiotowe r</w:t>
      </w:r>
      <w:r w:rsidR="00D8568D" w:rsidRPr="001059B7">
        <w:rPr>
          <w:rFonts w:ascii="Times New Roman" w:hAnsi="Times New Roman" w:cs="Times New Roman"/>
        </w:rPr>
        <w:t xml:space="preserve">ozporządzenie </w:t>
      </w:r>
      <w:r>
        <w:rPr>
          <w:rFonts w:ascii="Times New Roman" w:hAnsi="Times New Roman" w:cs="Times New Roman"/>
        </w:rPr>
        <w:t>weszło</w:t>
      </w:r>
      <w:r w:rsidRPr="001059B7">
        <w:rPr>
          <w:rFonts w:ascii="Times New Roman" w:hAnsi="Times New Roman" w:cs="Times New Roman"/>
        </w:rPr>
        <w:t xml:space="preserve"> </w:t>
      </w:r>
      <w:r w:rsidR="00D8568D" w:rsidRPr="001059B7">
        <w:rPr>
          <w:rFonts w:ascii="Times New Roman" w:hAnsi="Times New Roman" w:cs="Times New Roman"/>
        </w:rPr>
        <w:t xml:space="preserve">w życie z dniem </w:t>
      </w:r>
      <w:r w:rsidR="007168D6" w:rsidRPr="001059B7">
        <w:rPr>
          <w:rFonts w:ascii="Times New Roman" w:hAnsi="Times New Roman" w:cs="Times New Roman"/>
        </w:rPr>
        <w:t>następującym po dniu ogłoszenia</w:t>
      </w:r>
      <w:r w:rsidR="00D8568D" w:rsidRPr="001059B7">
        <w:rPr>
          <w:rFonts w:ascii="Times New Roman" w:hAnsi="Times New Roman" w:cs="Times New Roman"/>
        </w:rPr>
        <w:t>.</w:t>
      </w:r>
    </w:p>
    <w:p w:rsidR="00587F62" w:rsidRPr="001059B7" w:rsidRDefault="007168D6" w:rsidP="009F6D8A">
      <w:pPr>
        <w:spacing w:before="120" w:line="36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059B7">
        <w:rPr>
          <w:rFonts w:ascii="Times New Roman" w:eastAsia="Calibri" w:hAnsi="Times New Roman" w:cs="Times New Roman"/>
          <w:lang w:eastAsia="en-US"/>
        </w:rPr>
        <w:t xml:space="preserve">Wejście w życie rozporządzenia z dniem następującym po dniu ogłoszenia jest uzasadnione potrzebą jak najszybszego </w:t>
      </w:r>
      <w:r w:rsidR="00B75264">
        <w:rPr>
          <w:rFonts w:ascii="Times New Roman" w:eastAsia="Calibri" w:hAnsi="Times New Roman" w:cs="Times New Roman"/>
          <w:lang w:eastAsia="en-US"/>
        </w:rPr>
        <w:t>określenia wykazu inwestycji, co pozwoli na niezwłoczne rozpoczęcie ich realizacji ze środków dystrybuowanych w ramach planu rozwojowego</w:t>
      </w:r>
      <w:r w:rsidRPr="001059B7">
        <w:rPr>
          <w:rFonts w:ascii="Times New Roman" w:eastAsia="Calibri" w:hAnsi="Times New Roman" w:cs="Times New Roman"/>
          <w:lang w:eastAsia="en-US"/>
        </w:rPr>
        <w:t xml:space="preserve">. </w:t>
      </w:r>
      <w:r w:rsidR="00D8568D" w:rsidRPr="001059B7">
        <w:rPr>
          <w:rFonts w:ascii="Times New Roman" w:hAnsi="Times New Roman" w:cs="Times New Roman"/>
        </w:rPr>
        <w:t xml:space="preserve">Zgodnie z art. 5 ustawy z dnia 7 lipca 2005 r. </w:t>
      </w:r>
      <w:r w:rsidR="00D8568D" w:rsidRPr="00FC0B92">
        <w:rPr>
          <w:rFonts w:ascii="Times New Roman" w:hAnsi="Times New Roman" w:cs="Times New Roman"/>
          <w:i/>
        </w:rPr>
        <w:t>o działalności lobbingowej w procesie stanowienia prawa</w:t>
      </w:r>
      <w:r w:rsidR="00D8568D" w:rsidRPr="001059B7">
        <w:rPr>
          <w:rFonts w:ascii="Times New Roman" w:hAnsi="Times New Roman" w:cs="Times New Roman"/>
        </w:rPr>
        <w:t xml:space="preserve"> (Dz. U.</w:t>
      </w:r>
      <w:r w:rsidR="00587F62" w:rsidRPr="001059B7">
        <w:rPr>
          <w:rFonts w:ascii="Times New Roman" w:eastAsia="Calibri" w:hAnsi="Times New Roman" w:cs="Times New Roman"/>
          <w:lang w:eastAsia="en-US"/>
        </w:rPr>
        <w:t xml:space="preserve"> z 2017 r. poz. 248</w:t>
      </w:r>
      <w:r w:rsidR="00D8568D" w:rsidRPr="001059B7">
        <w:rPr>
          <w:rFonts w:ascii="Times New Roman" w:hAnsi="Times New Roman" w:cs="Times New Roman"/>
        </w:rPr>
        <w:t>) projekt rozporządzenia zosta</w:t>
      </w:r>
      <w:r w:rsidR="00C0540B" w:rsidRPr="001059B7">
        <w:rPr>
          <w:rFonts w:ascii="Times New Roman" w:hAnsi="Times New Roman" w:cs="Times New Roman"/>
        </w:rPr>
        <w:t>nie</w:t>
      </w:r>
      <w:r w:rsidR="00587F62" w:rsidRPr="001059B7">
        <w:rPr>
          <w:rFonts w:ascii="Times New Roman" w:eastAsia="Calibri" w:hAnsi="Times New Roman" w:cs="Times New Roman"/>
          <w:lang w:eastAsia="en-US"/>
        </w:rPr>
        <w:t xml:space="preserve"> udostępniony w</w:t>
      </w:r>
      <w:r w:rsidR="009F6D8A">
        <w:rPr>
          <w:rFonts w:ascii="Times New Roman" w:eastAsia="Calibri" w:hAnsi="Times New Roman" w:cs="Times New Roman"/>
          <w:lang w:eastAsia="en-US"/>
        </w:rPr>
        <w:t> </w:t>
      </w:r>
      <w:r w:rsidR="00587F62" w:rsidRPr="001059B7">
        <w:rPr>
          <w:rFonts w:ascii="Times New Roman" w:eastAsia="Calibri" w:hAnsi="Times New Roman" w:cs="Times New Roman"/>
          <w:lang w:eastAsia="en-US"/>
        </w:rPr>
        <w:t>Biuletynie Informacji Publicznej na stronie podmiotowej Rządowego Centrum Legislacji, w</w:t>
      </w:r>
      <w:r w:rsidR="009F6D8A">
        <w:rPr>
          <w:rFonts w:ascii="Times New Roman" w:eastAsia="Calibri" w:hAnsi="Times New Roman" w:cs="Times New Roman"/>
          <w:lang w:eastAsia="en-US"/>
        </w:rPr>
        <w:t> </w:t>
      </w:r>
      <w:r w:rsidR="00587F62" w:rsidRPr="001059B7">
        <w:rPr>
          <w:rFonts w:ascii="Times New Roman" w:eastAsia="Calibri" w:hAnsi="Times New Roman" w:cs="Times New Roman"/>
          <w:lang w:eastAsia="en-US"/>
        </w:rPr>
        <w:t>serwisie Rządowego Procesu Legislacyjnego.</w:t>
      </w:r>
    </w:p>
    <w:p w:rsidR="00933DF5" w:rsidRPr="001059B7" w:rsidRDefault="00D8568D" w:rsidP="009F6D8A">
      <w:pPr>
        <w:pStyle w:val="Tekstpodstawowy3"/>
        <w:shd w:val="clear" w:color="auto" w:fill="auto"/>
        <w:spacing w:before="120" w:after="0" w:line="360" w:lineRule="auto"/>
        <w:ind w:firstLine="567"/>
        <w:jc w:val="both"/>
        <w:rPr>
          <w:sz w:val="24"/>
          <w:szCs w:val="24"/>
        </w:rPr>
      </w:pPr>
      <w:r w:rsidRPr="001059B7">
        <w:rPr>
          <w:sz w:val="24"/>
          <w:szCs w:val="24"/>
        </w:rPr>
        <w:t>Projekt rozporządzenia nie jest objęty prawem Unii Europejskiej i nie podlega procedurze notyfikacji w rozumieniu przepisów dotyczących notyfikacji norm i aktów prawnych.</w:t>
      </w:r>
    </w:p>
    <w:p w:rsidR="00727E24" w:rsidRPr="001059B7" w:rsidRDefault="00727E24" w:rsidP="009F6D8A">
      <w:pPr>
        <w:pStyle w:val="NIEARTTEKSTtekstnieartykuowanynppodstprawnarozplubpreambua"/>
        <w:ind w:firstLine="567"/>
        <w:rPr>
          <w:rFonts w:ascii="Times New Roman" w:hAnsi="Times New Roman" w:cs="Times New Roman"/>
          <w:szCs w:val="24"/>
        </w:rPr>
      </w:pPr>
      <w:r w:rsidRPr="001059B7">
        <w:rPr>
          <w:rFonts w:ascii="Times New Roman" w:hAnsi="Times New Roman" w:cs="Times New Roman"/>
          <w:szCs w:val="24"/>
        </w:rPr>
        <w:t>Projekt rozporządzenia nie jest sprzeczny z prawem Unii Europejskiej.</w:t>
      </w:r>
    </w:p>
    <w:p w:rsidR="00727E24" w:rsidRPr="001059B7" w:rsidRDefault="00727E24" w:rsidP="009F6D8A">
      <w:pPr>
        <w:pStyle w:val="NIEARTTEKSTtekstnieartykuowanynppodstprawnarozplubpreambua"/>
        <w:ind w:firstLine="567"/>
        <w:rPr>
          <w:rFonts w:ascii="Times New Roman" w:hAnsi="Times New Roman" w:cs="Times New Roman"/>
          <w:szCs w:val="24"/>
        </w:rPr>
      </w:pPr>
      <w:r w:rsidRPr="001059B7">
        <w:rPr>
          <w:rFonts w:ascii="Times New Roman" w:hAnsi="Times New Roman" w:cs="Times New Roman"/>
          <w:szCs w:val="24"/>
        </w:rPr>
        <w:t xml:space="preserve">Projektowana regulacja nie zawiera przepisów technicznych w rozumieniu rozporządzenia Rady Ministrów z dnia 23 grudnia 2002 r. </w:t>
      </w:r>
      <w:r w:rsidRPr="00FC0B92">
        <w:rPr>
          <w:rFonts w:ascii="Times New Roman" w:hAnsi="Times New Roman" w:cs="Times New Roman"/>
          <w:i/>
          <w:szCs w:val="24"/>
        </w:rPr>
        <w:t>w sprawie sposobu funkcjonowania krajowego systemu notyfikacji norm i aktów prawnych</w:t>
      </w:r>
      <w:r w:rsidRPr="001059B7">
        <w:rPr>
          <w:rFonts w:ascii="Times New Roman" w:hAnsi="Times New Roman" w:cs="Times New Roman"/>
          <w:szCs w:val="24"/>
        </w:rPr>
        <w:t xml:space="preserve"> (Dz. U. poz. 20</w:t>
      </w:r>
      <w:r w:rsidR="00587F62" w:rsidRPr="001059B7">
        <w:rPr>
          <w:rFonts w:ascii="Times New Roman" w:hAnsi="Times New Roman" w:cs="Times New Roman"/>
          <w:szCs w:val="24"/>
        </w:rPr>
        <w:t>3</w:t>
      </w:r>
      <w:r w:rsidRPr="001059B7">
        <w:rPr>
          <w:rFonts w:ascii="Times New Roman" w:hAnsi="Times New Roman" w:cs="Times New Roman"/>
          <w:szCs w:val="24"/>
        </w:rPr>
        <w:t>9 oraz z 2004 r. poz. 597) i nie podlega notyfikacji Komisji Europejskiej.</w:t>
      </w:r>
    </w:p>
    <w:p w:rsidR="00727E24" w:rsidRPr="001059B7" w:rsidRDefault="00727E24" w:rsidP="009F6D8A">
      <w:pPr>
        <w:pStyle w:val="NIEARTTEKSTtekstnieartykuowanynppodstprawnarozplubpreambua"/>
        <w:ind w:firstLine="567"/>
        <w:rPr>
          <w:rFonts w:ascii="Times New Roman" w:hAnsi="Times New Roman" w:cs="Times New Roman"/>
          <w:szCs w:val="24"/>
        </w:rPr>
      </w:pPr>
      <w:r w:rsidRPr="001059B7">
        <w:rPr>
          <w:rFonts w:ascii="Times New Roman" w:hAnsi="Times New Roman" w:cs="Times New Roman"/>
          <w:szCs w:val="24"/>
        </w:rPr>
        <w:lastRenderedPageBreak/>
        <w:t xml:space="preserve">Projektowana regulacja nie będzie wymagała notyfikacji Komisji Europejskiej w trybie ustawy z dnia 30 kwietnia 2004 r. </w:t>
      </w:r>
      <w:r w:rsidRPr="00FC0B92">
        <w:rPr>
          <w:rFonts w:ascii="Times New Roman" w:hAnsi="Times New Roman" w:cs="Times New Roman"/>
          <w:i/>
          <w:szCs w:val="24"/>
        </w:rPr>
        <w:t>o postępowaniu w sprawach dotyczących pomocy publicznej</w:t>
      </w:r>
      <w:r w:rsidRPr="001059B7">
        <w:rPr>
          <w:rFonts w:ascii="Times New Roman" w:hAnsi="Times New Roman" w:cs="Times New Roman"/>
          <w:szCs w:val="24"/>
        </w:rPr>
        <w:t xml:space="preserve"> (Dz. U. z 2018 r. poz. 362 oraz z 2019 r. poz. 730 i 1063).</w:t>
      </w:r>
    </w:p>
    <w:p w:rsidR="00727E24" w:rsidRPr="001059B7" w:rsidRDefault="00727E24" w:rsidP="00F535B9">
      <w:pPr>
        <w:pStyle w:val="NIEARTTEKSTtekstnieartykuowanynppodstprawnarozplubpreambua"/>
        <w:ind w:firstLine="567"/>
        <w:rPr>
          <w:rFonts w:ascii="Times New Roman" w:hAnsi="Times New Roman" w:cs="Times New Roman"/>
          <w:szCs w:val="24"/>
        </w:rPr>
      </w:pPr>
      <w:r w:rsidRPr="001059B7">
        <w:rPr>
          <w:rFonts w:ascii="Times New Roman" w:hAnsi="Times New Roman" w:cs="Times New Roman"/>
          <w:szCs w:val="24"/>
        </w:rPr>
        <w:t>Projekt nie wymaga przedłożenia instytucjom i organom Unii Europejskiej, w tym Europejskiemu Bankowi Centralnemu w celu uzyskania opinii, dokonania powiadomienia, konsultacji albo uzgodnienia.</w:t>
      </w:r>
    </w:p>
    <w:p w:rsidR="00587F62" w:rsidRPr="001059B7" w:rsidRDefault="00587F62" w:rsidP="00F535B9">
      <w:pPr>
        <w:widowControl/>
        <w:suppressAutoHyphens/>
        <w:spacing w:before="12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1059B7">
        <w:rPr>
          <w:rFonts w:ascii="Times New Roman" w:hAnsi="Times New Roman" w:cs="Times New Roman"/>
          <w:bCs/>
        </w:rPr>
        <w:t xml:space="preserve">Projektowane rozporządzenie nie wpływa na działalność </w:t>
      </w:r>
      <w:proofErr w:type="spellStart"/>
      <w:r w:rsidRPr="001059B7">
        <w:rPr>
          <w:rFonts w:ascii="Times New Roman" w:hAnsi="Times New Roman" w:cs="Times New Roman"/>
          <w:bCs/>
        </w:rPr>
        <w:t>mikroprzedsiębiorców</w:t>
      </w:r>
      <w:proofErr w:type="spellEnd"/>
      <w:r w:rsidRPr="001059B7">
        <w:rPr>
          <w:rFonts w:ascii="Times New Roman" w:hAnsi="Times New Roman" w:cs="Times New Roman"/>
          <w:bCs/>
        </w:rPr>
        <w:t>, małych i</w:t>
      </w:r>
      <w:r w:rsidR="00F535B9">
        <w:rPr>
          <w:rFonts w:ascii="Times New Roman" w:hAnsi="Times New Roman" w:cs="Times New Roman"/>
          <w:bCs/>
        </w:rPr>
        <w:t> </w:t>
      </w:r>
      <w:r w:rsidRPr="001059B7">
        <w:rPr>
          <w:rFonts w:ascii="Times New Roman" w:hAnsi="Times New Roman" w:cs="Times New Roman"/>
          <w:bCs/>
        </w:rPr>
        <w:t>średnich przedsiębiorców.</w:t>
      </w:r>
    </w:p>
    <w:p w:rsidR="00304F29" w:rsidRPr="001059B7" w:rsidRDefault="00304F29" w:rsidP="00F535B9">
      <w:pPr>
        <w:widowControl/>
        <w:autoSpaceDE w:val="0"/>
        <w:autoSpaceDN w:val="0"/>
        <w:adjustRightInd w:val="0"/>
        <w:spacing w:before="120"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059B7">
        <w:rPr>
          <w:rFonts w:ascii="Times New Roman" w:eastAsiaTheme="minorHAnsi" w:hAnsi="Times New Roman" w:cs="Times New Roman"/>
          <w:color w:val="auto"/>
          <w:lang w:eastAsia="en-US"/>
        </w:rPr>
        <w:t>Rozporządzenie nie wpływa na sytuację ekonomiczną i społeczną rodziny, a także osób niepełnosprawnych oraz osób starszych.</w:t>
      </w:r>
    </w:p>
    <w:p w:rsidR="00304F29" w:rsidRPr="001059B7" w:rsidRDefault="00304F29" w:rsidP="00F535B9">
      <w:pPr>
        <w:widowControl/>
        <w:autoSpaceDE w:val="0"/>
        <w:autoSpaceDN w:val="0"/>
        <w:adjustRightInd w:val="0"/>
        <w:spacing w:before="120"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059B7">
        <w:rPr>
          <w:rFonts w:ascii="Times New Roman" w:eastAsiaTheme="minorHAnsi" w:hAnsi="Times New Roman" w:cs="Times New Roman"/>
          <w:color w:val="auto"/>
          <w:lang w:eastAsia="en-US"/>
        </w:rPr>
        <w:t xml:space="preserve">Jednocześnie należy wskazać, że nie ma możliwości podjęcia alternatywnych w stosunku do projektowanego rozporządzenia rozwiązań umożliwiających </w:t>
      </w:r>
      <w:r w:rsidR="00F535B9">
        <w:rPr>
          <w:rFonts w:ascii="Times New Roman" w:eastAsiaTheme="minorHAnsi" w:hAnsi="Times New Roman" w:cs="Times New Roman"/>
          <w:color w:val="auto"/>
          <w:lang w:eastAsia="en-US"/>
        </w:rPr>
        <w:t>osiągnięcie zamierzonego celu.</w:t>
      </w:r>
    </w:p>
    <w:p w:rsidR="00304F29" w:rsidRPr="001059B7" w:rsidRDefault="00304F29" w:rsidP="00304F29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sectPr w:rsidR="00304F29" w:rsidRPr="001059B7">
      <w:footnotePr>
        <w:numRestart w:val="eachPage"/>
      </w:footnotePr>
      <w:type w:val="continuous"/>
      <w:pgSz w:w="11909" w:h="16838"/>
      <w:pgMar w:top="1297" w:right="1325" w:bottom="1326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B3" w:rsidRDefault="00753EB3">
      <w:r>
        <w:separator/>
      </w:r>
    </w:p>
  </w:endnote>
  <w:endnote w:type="continuationSeparator" w:id="0">
    <w:p w:rsidR="00753EB3" w:rsidRDefault="0075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B3" w:rsidRDefault="00753EB3">
      <w:r>
        <w:separator/>
      </w:r>
    </w:p>
  </w:footnote>
  <w:footnote w:type="continuationSeparator" w:id="0">
    <w:p w:rsidR="00753EB3" w:rsidRDefault="00753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2D9"/>
    <w:multiLevelType w:val="multilevel"/>
    <w:tmpl w:val="FCF86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603EA"/>
    <w:multiLevelType w:val="multilevel"/>
    <w:tmpl w:val="9892B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2614CC"/>
    <w:multiLevelType w:val="multilevel"/>
    <w:tmpl w:val="2D9035B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727207"/>
    <w:multiLevelType w:val="multilevel"/>
    <w:tmpl w:val="80769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B65F5"/>
    <w:multiLevelType w:val="multilevel"/>
    <w:tmpl w:val="4AA2B0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E376CF"/>
    <w:multiLevelType w:val="multilevel"/>
    <w:tmpl w:val="44E44E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2C704E"/>
    <w:multiLevelType w:val="multilevel"/>
    <w:tmpl w:val="7834F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F5"/>
    <w:rsid w:val="000254C7"/>
    <w:rsid w:val="000350B7"/>
    <w:rsid w:val="00086996"/>
    <w:rsid w:val="000D00DA"/>
    <w:rsid w:val="001059B7"/>
    <w:rsid w:val="001D3F92"/>
    <w:rsid w:val="00205345"/>
    <w:rsid w:val="00247866"/>
    <w:rsid w:val="002626D7"/>
    <w:rsid w:val="002A0D70"/>
    <w:rsid w:val="00304F29"/>
    <w:rsid w:val="003109E7"/>
    <w:rsid w:val="00390082"/>
    <w:rsid w:val="003945EE"/>
    <w:rsid w:val="003955C5"/>
    <w:rsid w:val="003A389D"/>
    <w:rsid w:val="00402405"/>
    <w:rsid w:val="004714A7"/>
    <w:rsid w:val="00523516"/>
    <w:rsid w:val="00577E8B"/>
    <w:rsid w:val="00587F62"/>
    <w:rsid w:val="005D4D52"/>
    <w:rsid w:val="00655050"/>
    <w:rsid w:val="007168D6"/>
    <w:rsid w:val="00727E24"/>
    <w:rsid w:val="00753EB3"/>
    <w:rsid w:val="007B34F4"/>
    <w:rsid w:val="0082161A"/>
    <w:rsid w:val="00844F1F"/>
    <w:rsid w:val="00873F16"/>
    <w:rsid w:val="009014E0"/>
    <w:rsid w:val="00933DF5"/>
    <w:rsid w:val="009A40F1"/>
    <w:rsid w:val="009F6C9B"/>
    <w:rsid w:val="009F6D8A"/>
    <w:rsid w:val="00AC291E"/>
    <w:rsid w:val="00B75264"/>
    <w:rsid w:val="00BE3973"/>
    <w:rsid w:val="00C0540B"/>
    <w:rsid w:val="00CB5802"/>
    <w:rsid w:val="00D224A9"/>
    <w:rsid w:val="00D8568D"/>
    <w:rsid w:val="00DB0D44"/>
    <w:rsid w:val="00DD28E1"/>
    <w:rsid w:val="00DF6D58"/>
    <w:rsid w:val="00E4253D"/>
    <w:rsid w:val="00E64B57"/>
    <w:rsid w:val="00EC485E"/>
    <w:rsid w:val="00ED5DF2"/>
    <w:rsid w:val="00EE3047"/>
    <w:rsid w:val="00EF706F"/>
    <w:rsid w:val="00F535B9"/>
    <w:rsid w:val="00F8037F"/>
    <w:rsid w:val="00F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ootnote2">
    <w:name w:val="Footnote (2)_"/>
    <w:basedOn w:val="Domylnaczcionkaakapitu"/>
    <w:link w:val="Footnot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Footnote21">
    <w:name w:val="Footnote (2)"/>
    <w:basedOn w:val="Footnot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Footnote3">
    <w:name w:val="Footnote (3)_"/>
    <w:basedOn w:val="Domylnaczcionkaakapitu"/>
    <w:link w:val="Footnote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Footnote4">
    <w:name w:val="Footnote (4)_"/>
    <w:basedOn w:val="Domylnaczcionkaakapitu"/>
    <w:link w:val="Footnote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">
    <w:name w:val="Body text_"/>
    <w:basedOn w:val="Domylnaczcionkaakapitu"/>
    <w:link w:val="Tekst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MSGothic4pt">
    <w:name w:val="Body text (4) + MS Gothic;4 pt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ekstpodstawowy2">
    <w:name w:val="Tekst podstawowy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4pt">
    <w:name w:val="Body text + 4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otnote20">
    <w:name w:val="Footnote (2)"/>
    <w:basedOn w:val="Normalny"/>
    <w:link w:val="Footnote2"/>
    <w:pPr>
      <w:shd w:val="clear" w:color="auto" w:fill="FFFFFF"/>
      <w:spacing w:line="55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otnote30">
    <w:name w:val="Footnote (3)"/>
    <w:basedOn w:val="Normalny"/>
    <w:link w:val="Footnote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Footnote40">
    <w:name w:val="Footnote (4)"/>
    <w:basedOn w:val="Normalny"/>
    <w:link w:val="Footnote4"/>
    <w:pPr>
      <w:shd w:val="clear" w:color="auto" w:fill="FFFFFF"/>
      <w:spacing w:before="360" w:line="0" w:lineRule="atLeast"/>
    </w:pPr>
    <w:rPr>
      <w:rFonts w:ascii="MS Gothic" w:eastAsia="MS Gothic" w:hAnsi="MS Gothic" w:cs="MS Gothic"/>
      <w:sz w:val="10"/>
      <w:szCs w:val="10"/>
    </w:rPr>
  </w:style>
  <w:style w:type="paragraph" w:customStyle="1" w:styleId="Tekstpodstawowy3">
    <w:name w:val="Tekst podstawowy3"/>
    <w:basedOn w:val="Normalny"/>
    <w:link w:val="Bodytext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0" w:after="6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540"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12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72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727E24"/>
    <w:pPr>
      <w:widowControl/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7B34F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EE3047"/>
    <w:pPr>
      <w:widowControl/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9B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ootnote2">
    <w:name w:val="Footnote (2)_"/>
    <w:basedOn w:val="Domylnaczcionkaakapitu"/>
    <w:link w:val="Footnot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Footnote21">
    <w:name w:val="Footnote (2)"/>
    <w:basedOn w:val="Footnot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Footnote3">
    <w:name w:val="Footnote (3)_"/>
    <w:basedOn w:val="Domylnaczcionkaakapitu"/>
    <w:link w:val="Footnote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Footnote4">
    <w:name w:val="Footnote (4)_"/>
    <w:basedOn w:val="Domylnaczcionkaakapitu"/>
    <w:link w:val="Footnote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">
    <w:name w:val="Body text_"/>
    <w:basedOn w:val="Domylnaczcionkaakapitu"/>
    <w:link w:val="Tekst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MSGothic4pt">
    <w:name w:val="Body text (4) + MS Gothic;4 pt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ekstpodstawowy2">
    <w:name w:val="Tekst podstawowy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4pt">
    <w:name w:val="Body text + 4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otnote20">
    <w:name w:val="Footnote (2)"/>
    <w:basedOn w:val="Normalny"/>
    <w:link w:val="Footnote2"/>
    <w:pPr>
      <w:shd w:val="clear" w:color="auto" w:fill="FFFFFF"/>
      <w:spacing w:line="55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otnote30">
    <w:name w:val="Footnote (3)"/>
    <w:basedOn w:val="Normalny"/>
    <w:link w:val="Footnote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Footnote40">
    <w:name w:val="Footnote (4)"/>
    <w:basedOn w:val="Normalny"/>
    <w:link w:val="Footnote4"/>
    <w:pPr>
      <w:shd w:val="clear" w:color="auto" w:fill="FFFFFF"/>
      <w:spacing w:before="360" w:line="0" w:lineRule="atLeast"/>
    </w:pPr>
    <w:rPr>
      <w:rFonts w:ascii="MS Gothic" w:eastAsia="MS Gothic" w:hAnsi="MS Gothic" w:cs="MS Gothic"/>
      <w:sz w:val="10"/>
      <w:szCs w:val="10"/>
    </w:rPr>
  </w:style>
  <w:style w:type="paragraph" w:customStyle="1" w:styleId="Tekstpodstawowy3">
    <w:name w:val="Tekst podstawowy3"/>
    <w:basedOn w:val="Normalny"/>
    <w:link w:val="Bodytext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0" w:after="6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540"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12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72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727E24"/>
    <w:pPr>
      <w:widowControl/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7B34F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EE3047"/>
    <w:pPr>
      <w:widowControl/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9B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4AE8-881B-40AB-90D8-F0E1254D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rozporządzeniedo art. 39sus</vt:lpstr>
    </vt:vector>
  </TitlesOfParts>
  <Company>MRR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rozporządzeniedo art. 39sus</dc:title>
  <dc:creator>Barbara Walczykiewicz</dc:creator>
  <cp:lastModifiedBy>Piotr Zychla</cp:lastModifiedBy>
  <cp:revision>3</cp:revision>
  <cp:lastPrinted>2019-10-14T06:53:00Z</cp:lastPrinted>
  <dcterms:created xsi:type="dcterms:W3CDTF">2020-09-18T09:32:00Z</dcterms:created>
  <dcterms:modified xsi:type="dcterms:W3CDTF">2021-09-07T13:17:00Z</dcterms:modified>
</cp:coreProperties>
</file>