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C" w:rsidRPr="003D2F6E" w:rsidRDefault="001017DC" w:rsidP="001017DC">
      <w:pPr>
        <w:pStyle w:val="Nagwek"/>
        <w:tabs>
          <w:tab w:val="clear" w:pos="4536"/>
          <w:tab w:val="clear" w:pos="9072"/>
          <w:tab w:val="left" w:pos="785"/>
          <w:tab w:val="left" w:pos="3828"/>
        </w:tabs>
        <w:rPr>
          <w:rFonts w:ascii="Tahoma" w:hAnsi="Tahoma" w:cs="Tahoma"/>
          <w:b/>
          <w:bCs/>
          <w:color w:val="808080"/>
          <w:sz w:val="28"/>
          <w:szCs w:val="28"/>
        </w:rPr>
      </w:pPr>
      <w:r w:rsidRPr="003D2F6E">
        <w:rPr>
          <w:rFonts w:ascii="Tahoma" w:hAnsi="Tahoma" w:cs="Tahoma"/>
          <w:b/>
          <w:bCs/>
          <w:color w:val="808080"/>
          <w:sz w:val="28"/>
          <w:szCs w:val="28"/>
        </w:rPr>
        <w:t>Informacja prasowa</w:t>
      </w:r>
    </w:p>
    <w:p w:rsidR="00252853" w:rsidRPr="003D2F6E" w:rsidRDefault="00252853" w:rsidP="0079029E">
      <w:pPr>
        <w:tabs>
          <w:tab w:val="left" w:pos="905"/>
          <w:tab w:val="right" w:pos="9298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808080"/>
          <w:sz w:val="20"/>
          <w:szCs w:val="20"/>
          <w:shd w:val="clear" w:color="auto" w:fill="FFFFFF"/>
        </w:rPr>
      </w:pPr>
      <w:r w:rsidRPr="003D2F6E">
        <w:rPr>
          <w:rFonts w:ascii="Tahoma" w:hAnsi="Tahoma" w:cs="Tahoma"/>
          <w:color w:val="808080"/>
          <w:sz w:val="20"/>
          <w:szCs w:val="20"/>
          <w:lang w:eastAsia="pl-PL"/>
        </w:rPr>
        <w:t xml:space="preserve">Warszawa, </w:t>
      </w:r>
      <w:r w:rsidR="00B86561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</w:t>
      </w:r>
      <w:r w:rsidR="009B0024">
        <w:rPr>
          <w:rFonts w:ascii="Tahoma" w:hAnsi="Tahoma" w:cs="Tahoma"/>
          <w:color w:val="808080"/>
          <w:sz w:val="20"/>
          <w:szCs w:val="20"/>
          <w:shd w:val="clear" w:color="auto" w:fill="FFFFFF"/>
        </w:rPr>
        <w:t>9</w:t>
      </w:r>
      <w:r w:rsidR="00527909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577DE8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sierpnia </w:t>
      </w:r>
      <w:r w:rsidR="003F5CE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2019</w:t>
      </w:r>
      <w:r w:rsidRPr="003D2F6E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r.</w:t>
      </w:r>
    </w:p>
    <w:p w:rsidR="00384406" w:rsidRDefault="008C05F6" w:rsidP="0079029E">
      <w:pPr>
        <w:spacing w:line="360" w:lineRule="auto"/>
        <w:jc w:val="center"/>
        <w:rPr>
          <w:rFonts w:ascii="Tahoma" w:hAnsi="Tahoma" w:cs="Tahoma"/>
          <w:b/>
          <w:color w:val="FFC000"/>
          <w:szCs w:val="18"/>
        </w:rPr>
      </w:pP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07096B43" wp14:editId="0F64A3F0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6" name="Obraz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2F1E350" wp14:editId="34AA459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3810" b="3810"/>
            <wp:wrapNone/>
            <wp:docPr id="4" name="Obraz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033C56F3" wp14:editId="3CE05862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5" name="Obraz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221"/>
        <w:tblW w:w="9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6776"/>
        <w:gridCol w:w="3118"/>
      </w:tblGrid>
      <w:tr w:rsidR="002D7AB3" w:rsidTr="003F79C1">
        <w:tc>
          <w:tcPr>
            <w:tcW w:w="6776" w:type="dxa"/>
          </w:tcPr>
          <w:p w:rsidR="00577DE8" w:rsidRPr="00E52CD8" w:rsidRDefault="009B0024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 w:val="2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FFC000"/>
                <w:sz w:val="24"/>
                <w:shd w:val="clear" w:color="auto" w:fill="FFFFFF"/>
              </w:rPr>
              <w:t>Budimex kończy w Markach budowę wyjątkowego obiektu</w:t>
            </w:r>
          </w:p>
          <w:p w:rsidR="00E52CD8" w:rsidRPr="00E52CD8" w:rsidRDefault="00E52CD8" w:rsidP="00E52CD8">
            <w:pPr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</w:p>
          <w:p w:rsidR="00E52CD8" w:rsidRPr="00E52CD8" w:rsidRDefault="00E52CD8" w:rsidP="00E52CD8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</w:rPr>
            </w:pPr>
            <w:r w:rsidRPr="00E52CD8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Mareckie Centrum </w:t>
            </w:r>
            <w:proofErr w:type="spellStart"/>
            <w:r w:rsidRPr="00E52CD8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Edukacyjno</w:t>
            </w:r>
            <w:proofErr w:type="spellEnd"/>
            <w:r w:rsidRPr="00E52CD8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 – </w:t>
            </w:r>
            <w:r w:rsidR="00527909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Rekreacyjne to </w:t>
            </w:r>
            <w:r w:rsidR="00CE7637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pierwszy </w:t>
            </w:r>
            <w:r w:rsidR="00701513">
              <w:rPr>
                <w:rFonts w:ascii="Tahoma" w:hAnsi="Tahoma" w:cs="Tahoma"/>
                <w:b/>
                <w:color w:val="7F7F7F" w:themeColor="text1" w:themeTint="80"/>
                <w:sz w:val="18"/>
              </w:rPr>
              <w:br/>
            </w:r>
            <w:r w:rsidR="00CE7637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w Polsce budynek z dachem bagiennym</w:t>
            </w:r>
            <w:r w:rsidR="00527909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.</w:t>
            </w:r>
            <w:r w:rsidR="00CE7637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 </w:t>
            </w:r>
          </w:p>
          <w:p w:rsidR="00E52CD8" w:rsidRDefault="00CE7637" w:rsidP="00E52CD8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Jeden z najbardziej zaawansowanych budynków</w:t>
            </w:r>
            <w:r w:rsidR="00E52CD8" w:rsidRPr="00E52CD8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pasywnych energetycznie  w kraju</w:t>
            </w:r>
            <w:r w:rsidR="00527909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.</w:t>
            </w:r>
          </w:p>
          <w:p w:rsidR="00701513" w:rsidRPr="00E52CD8" w:rsidRDefault="00701513" w:rsidP="0070151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Pierwszy budynek publiczny z certyfikatem BREEAM.</w:t>
            </w:r>
            <w:r w:rsidRPr="00E52CD8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 xml:space="preserve"> </w:t>
            </w:r>
          </w:p>
          <w:p w:rsidR="00E52CD8" w:rsidRPr="00B062AD" w:rsidRDefault="00E52CD8" w:rsidP="00B062AD">
            <w:p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</w:rPr>
            </w:pPr>
          </w:p>
          <w:p w:rsidR="00D45237" w:rsidRDefault="00D45237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Mareckie Centrum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Edukacyjno</w:t>
            </w:r>
            <w:proofErr w:type="spellEnd"/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Rekreacyjne to pierwszy, tak ekologiczny budynek użyteczności publicznej w Polsce wybudowany przez Budimex</w:t>
            </w:r>
            <w:r w:rsidR="00B14438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Dzięki zastosowaniu najbardziej innowacyjnych technologii</w:t>
            </w:r>
            <w:r w:rsidR="00085F4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inwestycja będzie</w:t>
            </w:r>
            <w:r w:rsidR="00527909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AB139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zamiast zużywać -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produkowa</w:t>
            </w:r>
            <w:r w:rsidR="00AB139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ć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własny prąd, pozyskiwa</w:t>
            </w:r>
            <w:r w:rsidR="00AB139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ć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wodę z deszczówki i na bieżąco optymalizow</w:t>
            </w:r>
            <w:r w:rsidR="00AB139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ać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zużycie energii w poszczególnych </w:t>
            </w:r>
            <w:r w:rsidR="00785F8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punktach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Centrum. Otwarcie pierwszej</w:t>
            </w:r>
            <w:r w:rsidR="00785F8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, edukacyjnej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części MCER</w:t>
            </w:r>
            <w:r w:rsidR="00785F8C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z nowoczesną szkołą podstawową</w:t>
            </w:r>
            <w:r w:rsidR="00CE7637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odbędzie się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już 2 września 2019 r. </w:t>
            </w:r>
          </w:p>
          <w:p w:rsidR="00D45237" w:rsidRDefault="00D45237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Od kilku lat Marki są wielkim placem budowy. Jak grzyby po deszczu powstają nowe inwestycje mieszkaniowe. Obecnie na terenie Marek działa ponad 100 deweloperów. Automatycznie z roku na rok rośnie liczba mieszkańców. Jest ich obecnie ponad 33 tys. W tej sytuacji niezbędne były inwestycje w rozbudowę bazy edukacyjnej. Jako samorząd wymyśliliśmy sposób finansowania i realizacji tych przedsięwzięć. Przygotowaliśmy dwa przedszkola w systemie modułowym, rozbudowaliśmy jedną szkołę, drugą właśnie powiększamy. Perłą w koronie jest jednak Mareckie Centrum Edukacyjno-Rekreacyjne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mówi Dariusz Pietrucha, wiceburmistrz Miasta Marki. </w:t>
            </w: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611FFA" w:rsidRDefault="0060787B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Budowa MCER rozpoczęła się w marcu 2018 r. </w:t>
            </w:r>
            <w:r w:rsidR="00192290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i trwała zaledwie </w:t>
            </w:r>
            <w:r w:rsid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rok oraz</w:t>
            </w:r>
            <w:r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7 miesięcy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. Temp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o pracy było wyjątkowo szybkie 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zwłaszcza, że powstały kompleks miał 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służyć </w:t>
            </w:r>
            <w:r w:rsidR="00302B3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jednocześnie 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jako</w:t>
            </w:r>
            <w:r w:rsidR="00711A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placówka</w:t>
            </w:r>
            <w:r w:rsidR="00711A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edukacyjn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a</w:t>
            </w:r>
            <w:r w:rsidR="00711A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, sportow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a</w:t>
            </w:r>
            <w:r w:rsidR="00711A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, rekreacyjn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a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oraz konferency</w:t>
            </w:r>
            <w:r w:rsidR="00711A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jn</w:t>
            </w:r>
            <w:r w:rsidR="008222A3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a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. </w:t>
            </w:r>
            <w:r w:rsidR="00D262B1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Blisko 15</w:t>
            </w:r>
            <w:r w:rsidR="00577DE8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tys. m</w:t>
            </w:r>
            <w:r w:rsidR="00577DE8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  <w:vertAlign w:val="superscript"/>
              </w:rPr>
              <w:t>2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powierzchni</w:t>
            </w:r>
            <w:r w:rsidR="00192290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inwestycji</w:t>
            </w:r>
            <w:r w:rsidR="004349AD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, </w:t>
            </w:r>
            <w:r w:rsidR="00577DE8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został</w:t>
            </w:r>
            <w:r w:rsidR="00823C6A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o podzielone</w:t>
            </w:r>
            <w:r w:rsidR="00577DE8" w:rsidRPr="00154339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 xml:space="preserve"> na dwa budynki. </w:t>
            </w:r>
            <w:r w:rsidR="00577DE8"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G</w:t>
            </w:r>
            <w:r w:rsidR="0021738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mach A pełni funkcję edukacyjną i</w:t>
            </w:r>
            <w:r w:rsidR="005522E7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wybudowano w nim szkołę podstawową</w:t>
            </w:r>
            <w:r w:rsidR="0021738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wraz z biblioteką oraz</w:t>
            </w:r>
            <w:r w:rsidR="00577DE8"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4F3D6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blokiem żywieniowym</w:t>
            </w:r>
            <w:r w:rsidR="00577DE8"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Budynek B </w:t>
            </w:r>
            <w:r w:rsidR="0021738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natomiast</w:t>
            </w:r>
            <w:r w:rsidR="00577DE8"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został poświęcony </w:t>
            </w:r>
            <w:r w:rsidR="00577DE8"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sportowi i rekreacji. Znajdują w się w nim basen</w:t>
            </w:r>
            <w:r w:rsidR="004F3D6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sportowy i rekreacyjny</w:t>
            </w:r>
            <w:r w:rsidR="00577DE8"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wraz z wydzieloną częścią SPA, a także pomieszczenia sportowe i sala </w:t>
            </w:r>
            <w:proofErr w:type="spellStart"/>
            <w:r w:rsidR="00577DE8"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teatralno</w:t>
            </w:r>
            <w:proofErr w:type="spellEnd"/>
            <w:r w:rsidR="00577DE8"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widowiskowa. Całość </w:t>
            </w:r>
          </w:p>
          <w:p w:rsidR="00611FFA" w:rsidRDefault="00611FFA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89305E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obiektu uzupełniają dwa boiska zewnętrzne wraz z przestrzenią do uprawiania lekkoatletyki oraz miasteczko ruchu</w:t>
            </w:r>
            <w:r w:rsidR="004F3D6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drogowego</w:t>
            </w:r>
            <w:r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CE7637" w:rsidRPr="0089305E" w:rsidRDefault="00CE7637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89305E" w:rsidRDefault="00577DE8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89305E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Ekologia w najnowocześniejszym wydaniu</w:t>
            </w:r>
          </w:p>
          <w:p w:rsid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89305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</w:t>
            </w:r>
            <w:r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Przy tej budowie</w:t>
            </w:r>
            <w:r w:rsidR="00217380"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już na samym początku realizacji</w:t>
            </w:r>
            <w:r w:rsidR="00217380"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wykorzyst</w:t>
            </w:r>
            <w:r w:rsidR="00217380"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ywaliśmy</w:t>
            </w:r>
            <w:r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innowacyjne rozwiązania. Cała inwestycja była bowiem tworzona w modelu BIM, czyli międzybranżowym projekcie 3D inwestycji. Dodatkowo wykorzystaliśmy t</w:t>
            </w:r>
            <w:r w:rsidR="00823C6A"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akże platform</w:t>
            </w:r>
            <w:r w:rsidR="00D91547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ę </w:t>
            </w:r>
            <w:r w:rsidR="00823C6A"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do zarządzania dokumen</w:t>
            </w:r>
            <w:r w:rsidR="00D91547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tacją i modelem BIM, pozwalającą</w:t>
            </w:r>
            <w:r w:rsidRPr="0089305E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na dostęp do projektów oraz modelu z urządzeń mobilnych. System pozwala również na elektroniczny obieg dokumentów pomiędzy nami, jako generalnym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wykonawcą, inwestorem, a projektantami oraz inspektorami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mówi Dariusz Blocher, prezes Budimex SA. </w:t>
            </w:r>
          </w:p>
          <w:p w:rsidR="00C169ED" w:rsidRPr="00577DE8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Cała inwestycja charakteryzuje się bardzo niskim zużyciem energii.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Jest to jedno z wymagań, jakie przed </w:t>
            </w:r>
            <w:r w:rsidR="00E04D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MCER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postawił certyfikat BREEAM.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W budynku B zastosowano agregat kogeneracyjny produkujący prąd. Ciepło ze spalania będzie wykorzystywane do podgrzewania ciepłej wody użytkowej. </w:t>
            </w:r>
            <w:r w:rsidR="00E04D3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Zastosowano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także mechanizm odzysku ciepła ze ścieków prysznicow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ych. Ważnym elementem jest również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fotowoltaika</w:t>
            </w:r>
            <w:proofErr w:type="spellEnd"/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Instalacja na dachu, o mocy 60kW, będzie miała za zadanie produkować zieloną energię, która na bieżąco będzie zużywana przez budynek. </w:t>
            </w: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Panele fotowoltaiczne, które zainstalowaliśmy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ograniczą pobór energii z sieci elektroenergetycznej. W czasie, gdy szkoła nie będzie funkcjonować np. podczas wakacji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nadmiar wyprodukowanej energii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zostanie oddany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do sieci elektroenergetycznej. Później</w:t>
            </w:r>
            <w:r w:rsidR="004349A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po okresie wakacyjnym</w:t>
            </w:r>
            <w:r w:rsidR="004349A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będziemy mogli ją częściowo odzyskać, co wpłynie na obniżenie rachunków za energię elektryczną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tłumaczy Dariusz </w:t>
            </w:r>
            <w:proofErr w:type="spellStart"/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Blocher</w:t>
            </w:r>
            <w:proofErr w:type="spellEnd"/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</w:p>
          <w:p w:rsid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174AF" w:rsidRPr="00EF5692" w:rsidRDefault="00F174AF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EF569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Inne rozwiązania ekologiczne zastosowane w MCER to:</w:t>
            </w:r>
          </w:p>
          <w:p w:rsidR="00F174AF" w:rsidRDefault="00F174AF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BB48B8" w:rsidRPr="00BB48B8" w:rsidRDefault="00D91547" w:rsidP="00BB48B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Autorski system </w:t>
            </w:r>
            <w:r w:rsidR="00EF5692" w:rsidRPr="00EF56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went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ylacji klas szkolnych opierający</w:t>
            </w:r>
            <w:r w:rsidR="00EF5692" w:rsidRPr="00EF56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się na indywidual</w:t>
            </w:r>
            <w:r w:rsidR="00EF56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nych centralach rekuperacyjnych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- </w:t>
            </w:r>
            <w:r w:rsidR="00EF5692" w:rsidRPr="00D91547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centrale wentylacyjne sprzężone są z pompami ciepła powietrze-powietrze zlokalizowanymi na dachu, które w zależności od pory roku grzeją lub schładzają powietrze</w:t>
            </w:r>
            <w:r w:rsidR="00BB48B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</w:p>
          <w:p w:rsidR="00BB48B8" w:rsidRPr="00BB48B8" w:rsidRDefault="00BB48B8" w:rsidP="00BB48B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k</w:t>
            </w: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o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ntrola BMS nad szczelnością rur,</w:t>
            </w:r>
          </w:p>
          <w:p w:rsidR="00BB48B8" w:rsidRPr="00BB48B8" w:rsidRDefault="00BB48B8" w:rsidP="00BB48B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system ogrzewania budynku A oparty o pompy ciepła,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baterie spełni</w:t>
            </w:r>
            <w:r w:rsidR="00BB48B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ające wymogi certyfikatu BREEAM.</w:t>
            </w:r>
          </w:p>
          <w:p w:rsidR="00CE7637" w:rsidRDefault="00CE7637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611FFA" w:rsidRDefault="00611FFA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Stała kontrola dzięki systemowi BMS</w:t>
            </w:r>
          </w:p>
          <w:p w:rsidR="00C169ED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Budynek został wyposażony w system BMS, który posłuży do kontroli pracy większości urządzeń oraz do łączenia wielu pracujących systemów w jedną całość. Umożliwi także zarządzanie źródłami energii cieplnej i elektrycznej, sterowanie systemem nawadniania zieleni</w:t>
            </w:r>
            <w:r w:rsidR="004349A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czy oświetleniem w pomieszczeniach. </w:t>
            </w:r>
          </w:p>
          <w:p w:rsidR="00C169ED" w:rsidRPr="00577DE8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System BMS ma bardzo wiele funkcji, ale tak naprawdę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służy </w:t>
            </w:r>
            <w:r w:rsidR="0024540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jednemu celowi,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oszczędzaniu energii. M.in. dzięki niemu roczne zapotrzebowanie na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nią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do ogrzewania i wentylacji będzie wynosiło zaledwie 2,5 KWh/m²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mówi Dariusz Blocher. </w:t>
            </w: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577DE8" w:rsidRPr="00577DE8" w:rsidRDefault="00577DE8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Dach bagienny i SPA</w:t>
            </w:r>
          </w:p>
          <w:p w:rsidR="00C169ED" w:rsidRDefault="00A322DC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Poza technologiami Mareckie Centrum </w:t>
            </w:r>
            <w:proofErr w:type="spellStart"/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Rekreacyjno</w:t>
            </w:r>
            <w:proofErr w:type="spellEnd"/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–Edukacyjne będzie wyróżniać się także pod względem wyposażenia. To pierwszy budynek w Polsce, na którym stworzono dach bagienny. Jego zadaniem będzie przede wszystkim retencjonowanie części wody opadowej oraz zmniejszanie niekorzystnego efektu wyspy ciepła.</w:t>
            </w:r>
          </w:p>
          <w:p w:rsidR="00C169ED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24A3E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="0029581A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Takiego obiektu edukacyjnego w Polsce jeszcze nie było. Nasz projekt zakładał od początku najwyższe standardy ekologiczności:</w:t>
            </w:r>
            <w:r w:rsidR="00D262B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29581A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cały kompleks MCER</w:t>
            </w:r>
            <w:r w:rsidR="00F24A3E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został wyposażony w urządzenia oszczędzające wodę, dachy bagienne i zbiorniki retencyjne. Zielony dach ma właściwości oczyszczające powietrze, tłumi hałas, magazynuje wodę opadową, odciąża sieć kanalizacyjną, jest doskonałym siedliskiem dla wielu gatunków fauny i flory, a odpowiednio zagospodarowany pełni funkcje rekreacyjne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</w:t>
            </w:r>
            <w:r w:rsidR="00F24A3E" w:rsidRPr="00F24A3E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komentuje Piotr Grubek, Prezes Mareckich Inwestycji Miejskich.</w:t>
            </w:r>
          </w:p>
          <w:p w:rsidR="00C169ED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8A4F55" w:rsidRDefault="00A322DC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Poziom wody w każdej z sekcji dachu będzie monitorowany przez system BMS. Ciągłej kontroli będą poddawane także parametry wody </w:t>
            </w:r>
            <w:r w:rsidR="00B960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w 25-metrowym basenie sportowym, zlokalizowanym w budynku B. Tam też</w:t>
            </w: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B960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znajdą</w:t>
            </w: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się</w:t>
            </w:r>
            <w:r w:rsidR="00B960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: </w:t>
            </w:r>
            <w:r w:rsidR="0029581A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strefa </w:t>
            </w:r>
            <w:r w:rsidR="00B960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SPA, </w:t>
            </w: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zespół saun</w:t>
            </w:r>
            <w:r w:rsidR="00C169E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r w:rsidR="0029581A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grota śnieżna oraz jaskinia solna</w:t>
            </w:r>
            <w:r w:rsidR="00817D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817D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W ramach inwestycji powstaje również </w:t>
            </w:r>
            <w:r w:rsidR="00B960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sala teatralno-widowiskowa z profesjonalną sceną i widownią</w:t>
            </w:r>
            <w:r w:rsidRPr="00A322DC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817D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dla </w:t>
            </w:r>
            <w:r w:rsidR="00817D92" w:rsidRPr="00817D92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347 widzów, w tym 2 osób niepełnosprawnych. </w:t>
            </w:r>
            <w:r w:rsidR="008A4F55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169ED" w:rsidRDefault="00C169ED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3F04EF" w:rsidRDefault="00577DE8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Chcieliśmy stworzyć miejsce, które będzie funkcjonować dłużej</w:t>
            </w:r>
            <w:r w:rsidR="00FE4CA9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niż tylko w godzinach pracy szkoły. Dlatego połączyliśmy tu funkcje edukacyjne, sportowe i kulturalne. Jest to obiekt na miarę XXI wieku i bardzo cieszymy się, że udało się go zrealizować w tak szybkim tempie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mówi Dariusz Pietrucha.</w:t>
            </w:r>
          </w:p>
          <w:p w:rsidR="001017DC" w:rsidRDefault="001017DC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611FFA" w:rsidRDefault="00C169ED" w:rsidP="00577DE8">
            <w:pPr>
              <w:spacing w:line="360" w:lineRule="auto"/>
              <w:jc w:val="both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="001017DC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W Markach stawiamy również na sport i aktywność fizyczną dzieci, młodzieży i dorosłych. Bardzo ważnym elementem projektu jest zewnętrzna infrastruktura </w:t>
            </w:r>
          </w:p>
          <w:p w:rsidR="00611FFA" w:rsidRDefault="00611FFA" w:rsidP="00577DE8">
            <w:pPr>
              <w:spacing w:line="360" w:lineRule="auto"/>
              <w:jc w:val="both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1017DC" w:rsidRDefault="001017DC" w:rsidP="00577DE8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sportowa</w:t>
            </w:r>
            <w:r w:rsidR="00C169ED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</w:t>
            </w:r>
            <w:r w:rsidR="00C169ED" w:rsidRPr="00C169E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dodaje Piotr Grubek</w:t>
            </w:r>
            <w:r w:rsidR="00C169ED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Pełnowymiarowe boisko piłkarskie ze sztuczną nawierzchnią i oświetleniem, z licencją na poziomie 3 ligi, stadion lekkoatletyczny dostosowany do wymagań IAAF dla kategorii V oraz boisko wielofunkcyjne znacząco uzupełniają miejską bazę sportową. Dlatego też nasza spółka poza pełnieniem roli inwestora będzie zarządzać całym kompleksem. Zastosowane innowacje i technologie sprawiły, że MCER jest z punktu widzenia mieszkańców atrakcyjnym i ciekawym miejscem pracy i wypoczynku</w:t>
            </w:r>
            <w:r w:rsidR="00C169ED" w:rsidRPr="00C169ED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B1354C" w:rsidRDefault="00577DE8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Ta inwestycja była dla nas dużym wyzwaniem, ale dziś jesteśmy bardzo dumni z jej realizacji. Mam nadzieję, że inne samorządy pójdą śladem Marek i już niedługo Polska zapełni się </w:t>
            </w:r>
            <w:proofErr w:type="spellStart"/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multifunkcyjnymi</w:t>
            </w:r>
            <w:proofErr w:type="spellEnd"/>
            <w:r w:rsidRPr="00577DE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budynkami o tak wysokich parametrach ekologicznych</w:t>
            </w:r>
            <w:r w:rsidRPr="00577DE8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– dodaje Dariusz Blocher.</w:t>
            </w:r>
            <w:r w:rsidRPr="00577DE8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E3D26" w:rsidRDefault="008E3D26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8E3D26" w:rsidRPr="00B062AD" w:rsidRDefault="00B062AD" w:rsidP="008E3D26">
            <w:pPr>
              <w:spacing w:line="360" w:lineRule="auto"/>
              <w:jc w:val="both"/>
              <w:rPr>
                <w:rFonts w:ascii="Tahoma" w:hAnsi="Tahoma" w:cs="Tahoma"/>
                <w:bCs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– </w:t>
            </w:r>
            <w:r w:rsidR="008E3D26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MCER to jedyny taki obiekt w całym powiecie. Jesteśmy pewni, że już od pierwszych dni otwarcia Centrum będzie tętniło życiem. Zamierzamy uruchomić szereg różnych zajęć pozalekcyjnych dla uczniów, zajęcia sportowe dla mieszkańców w każdym wieku. Sala widowiskowa pozwoli nam na realizację różnych wydarzeń kulturalnych, od widowisk dla najmłodszych, przez koncerty aż po spektakle teatralne </w:t>
            </w:r>
            <w:r w:rsidR="008E3D26" w:rsidRPr="00B062AD">
              <w:rPr>
                <w:rFonts w:ascii="Tahoma" w:hAnsi="Tahoma" w:cs="Tahoma"/>
                <w:bCs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– dodaje Katarzyna Bielska, Dyrektor Zarządzający MCER.</w:t>
            </w:r>
          </w:p>
          <w:p w:rsidR="00F174AF" w:rsidRDefault="00F174AF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Default="00F174AF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>Parametry budynków:</w:t>
            </w:r>
          </w:p>
          <w:p w:rsidR="00F174AF" w:rsidRDefault="00F174AF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Budynek A „edukacyjny”</w:t>
            </w: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Budynek 3-kondygnacyjny 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Kubatura - 31 624,27m</w:t>
            </w: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Powierzchnia netto - 6 845,16 m</w:t>
            </w: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Wysokość budynku – 11,87m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Długość budynku – 88,04 m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Szerokość budynku  - 48,74 m</w:t>
            </w: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Budynek B „sportowo-rekreacyjny”</w:t>
            </w:r>
          </w:p>
          <w:p w:rsidR="00F174AF" w:rsidRPr="00F174AF" w:rsidRDefault="00F174AF" w:rsidP="00F174AF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F174AF" w:rsidRPr="00F174AF" w:rsidRDefault="00F174AF" w:rsidP="00F174A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Budynek 2-kondygnacyjny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Kubatura – 54 793,74 m</w:t>
            </w: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Powierzchnia netto – 7 972,27 m</w:t>
            </w: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Wysokość budynku – 11,94 m</w:t>
            </w:r>
          </w:p>
          <w:p w:rsidR="00F174AF" w:rsidRPr="00F174AF" w:rsidRDefault="00F174AF" w:rsidP="00F174A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Długość budynku – 91,37 m</w:t>
            </w:r>
          </w:p>
          <w:p w:rsidR="00CE7637" w:rsidRPr="00D91547" w:rsidRDefault="00F174AF" w:rsidP="00577DE8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F174A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shd w:val="clear" w:color="auto" w:fill="FFFFFF"/>
              </w:rPr>
              <w:t>Szerokość budynku 64,51 m</w:t>
            </w:r>
          </w:p>
          <w:p w:rsidR="00CE7637" w:rsidRPr="00577DE8" w:rsidRDefault="00CE7637" w:rsidP="00577DE8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:rsidR="00611FFA" w:rsidRDefault="00611FFA" w:rsidP="00611FFA">
            <w:pPr>
              <w:spacing w:line="36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</w:pPr>
          </w:p>
          <w:p w:rsidR="00A768ED" w:rsidRPr="003E7DCD" w:rsidRDefault="003E7DCD" w:rsidP="00611FFA">
            <w:pPr>
              <w:spacing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</w:pPr>
            <w:r w:rsidRPr="003E7DCD"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  <w:t>***</w:t>
            </w:r>
          </w:p>
          <w:p w:rsidR="00384406" w:rsidRDefault="000D612C" w:rsidP="00384406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808080"/>
                <w:sz w:val="16"/>
                <w:szCs w:val="12"/>
              </w:rPr>
            </w:pPr>
            <w:r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BU</w:t>
            </w:r>
            <w:r w:rsidR="00384406" w:rsidRPr="00AF326F"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DIMEX SA</w:t>
            </w:r>
            <w:r w:rsidR="00E36267"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 spółką z pięćdziesięcioletnią tradycją, która ma znaczący udział w rozwoju gospodarczym Polski. Naszą pracą podnosimy jakość życia milionów Polaków. W okresie 5</w:t>
            </w:r>
            <w:r w:rsidR="000D27C2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1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facility</w:t>
            </w:r>
            <w:proofErr w:type="spellEnd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management (obsługa nieruchomości i obiektów infrastruktury) oraz gospodarki odpadami. Od 1995 roku nasza spółka notowana jest na warszawskiej GPW, a od roku 2011 wchodzi w skład indeksu RESPECT – najbardziej odpowiedzialnych spółek giełdowych. Jej inwestorem strategicznym jest hiszpańska firma o globalnym zasięgu – Ferrovial. W skład grupy wchodzą: Budimex Nieruchomości i Mostostal Kraków.</w:t>
            </w:r>
            <w:r w:rsidR="00E36267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:rsidR="003A7B7F" w:rsidRPr="003E7DCD" w:rsidRDefault="003A7B7F" w:rsidP="003A7B7F">
            <w:pPr>
              <w:spacing w:line="36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</w:pPr>
            <w:r w:rsidRPr="003E7DCD">
              <w:rPr>
                <w:rFonts w:ascii="Tahoma" w:hAnsi="Tahoma" w:cs="Tahoma"/>
                <w:b/>
                <w:color w:val="808080" w:themeColor="background1" w:themeShade="80"/>
                <w:sz w:val="20"/>
                <w:shd w:val="clear" w:color="auto" w:fill="FFFFFF"/>
              </w:rPr>
              <w:t>***</w:t>
            </w:r>
          </w:p>
          <w:p w:rsidR="001017DC" w:rsidRDefault="001017DC" w:rsidP="00384406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808080"/>
                <w:sz w:val="16"/>
                <w:szCs w:val="12"/>
              </w:rPr>
            </w:pPr>
            <w:r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Mareckie Inwestycje Miejskie Sp. z o.o. powstała w 2012 roku. To spółka komunalna, której jedynym udziałowcem jest Miasto Marki. Podstawowe zadania spółki to zaprojektowanie, wybudowanie, sfinansowanie i zarządzanie obiektem MCER.</w:t>
            </w:r>
          </w:p>
          <w:p w:rsidR="001017DC" w:rsidRDefault="001017DC" w:rsidP="00384406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808080"/>
                <w:sz w:val="16"/>
                <w:szCs w:val="12"/>
              </w:rPr>
            </w:pPr>
            <w:r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Spółka realizuje również inne zadania publiczne: przygotowuje projekty drogowe oraz zarządza Akademią Piłkarską </w:t>
            </w:r>
            <w:proofErr w:type="spellStart"/>
            <w:r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Marcovia</w:t>
            </w:r>
            <w:proofErr w:type="spellEnd"/>
            <w:r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Marki.</w:t>
            </w:r>
          </w:p>
          <w:p w:rsidR="003A7B7F" w:rsidRDefault="003A7B7F" w:rsidP="003A7B7F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>Kontakt</w:t>
            </w:r>
            <w:r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 dla mediów</w:t>
            </w: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: </w:t>
            </w:r>
          </w:p>
          <w:p w:rsidR="003A7B7F" w:rsidRPr="00AF326F" w:rsidRDefault="003A7B7F" w:rsidP="003A7B7F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>
              <w:rPr>
                <w:rFonts w:ascii="Verdana" w:hAnsi="Verdana" w:cs="Tahoma"/>
                <w:color w:val="808080"/>
                <w:sz w:val="18"/>
                <w:szCs w:val="18"/>
              </w:rPr>
              <w:t>Renata Sowińska</w:t>
            </w:r>
          </w:p>
          <w:p w:rsidR="003A7B7F" w:rsidRPr="00AF326F" w:rsidRDefault="003A7B7F" w:rsidP="003A7B7F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>tel.</w:t>
            </w:r>
            <w:r>
              <w:rPr>
                <w:rFonts w:ascii="Verdana" w:hAnsi="Verdana" w:cs="Tahoma"/>
                <w:color w:val="808080"/>
                <w:sz w:val="18"/>
                <w:szCs w:val="18"/>
              </w:rPr>
              <w:t>+48.602.387.407</w:t>
            </w: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, </w:t>
            </w:r>
          </w:p>
          <w:p w:rsidR="003A7B7F" w:rsidRDefault="00D918A5" w:rsidP="003A7B7F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5" w:history="1">
              <w:r w:rsidR="003A7B7F" w:rsidRPr="00B062AD">
                <w:rPr>
                  <w:rStyle w:val="Hipercze"/>
                  <w:rFonts w:ascii="Verdana" w:hAnsi="Verdana" w:cs="Tahoma"/>
                  <w:sz w:val="18"/>
                  <w:szCs w:val="18"/>
                </w:rPr>
                <w:t>r.sowinska@mareckieinwestycje.pl</w:t>
              </w:r>
            </w:hyperlink>
          </w:p>
          <w:p w:rsidR="003A7B7F" w:rsidRDefault="00D918A5" w:rsidP="003A7B7F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6" w:history="1">
              <w:r w:rsidR="003A7B7F" w:rsidRPr="00D629F3">
                <w:rPr>
                  <w:rStyle w:val="Hipercze"/>
                  <w:rFonts w:ascii="Verdana" w:hAnsi="Verdana" w:cs="Tahoma"/>
                  <w:sz w:val="18"/>
                  <w:szCs w:val="18"/>
                </w:rPr>
                <w:t>www.mareckieinwestycje.pl</w:t>
              </w:r>
            </w:hyperlink>
          </w:p>
          <w:p w:rsidR="003A7B7F" w:rsidRDefault="00D918A5" w:rsidP="003A7B7F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7" w:history="1">
              <w:r w:rsidR="003A7B7F" w:rsidRPr="00D629F3">
                <w:rPr>
                  <w:rStyle w:val="Hipercze"/>
                  <w:rFonts w:ascii="Verdana" w:hAnsi="Verdana" w:cs="Tahoma"/>
                  <w:sz w:val="18"/>
                  <w:szCs w:val="18"/>
                </w:rPr>
                <w:t>www.mcer.pl</w:t>
              </w:r>
            </w:hyperlink>
          </w:p>
          <w:p w:rsidR="003A7B7F" w:rsidRPr="00B062AD" w:rsidRDefault="003A7B7F" w:rsidP="00B062AD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</w:p>
          <w:p w:rsidR="00384406" w:rsidRDefault="00384406" w:rsidP="000D27C2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  <w:tc>
          <w:tcPr>
            <w:tcW w:w="3118" w:type="dxa"/>
          </w:tcPr>
          <w:p w:rsidR="00384406" w:rsidRDefault="00384406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</w:p>
          <w:p w:rsidR="002D7AB3" w:rsidRPr="00AF326F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Kontakt: </w:t>
            </w:r>
          </w:p>
          <w:p w:rsidR="002D7AB3" w:rsidRPr="00AF326F" w:rsidRDefault="00AF326F" w:rsidP="002D7AB3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Michał Wrzosek </w:t>
            </w:r>
            <w:r w:rsidR="002D7AB3" w:rsidRPr="00AF326F">
              <w:rPr>
                <w:rFonts w:ascii="Verdana" w:hAnsi="Verdana" w:cs="Tahoma"/>
                <w:color w:val="808080"/>
                <w:sz w:val="18"/>
                <w:szCs w:val="18"/>
              </w:rPr>
              <w:t>Rzecznik Prasowy</w:t>
            </w:r>
          </w:p>
          <w:p w:rsidR="002D7AB3" w:rsidRPr="00AF326F" w:rsidRDefault="002D7AB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tel. (22) 62 36 164, 512 478 522, </w:t>
            </w:r>
          </w:p>
          <w:p w:rsidR="002D7AB3" w:rsidRPr="00AF326F" w:rsidRDefault="00D918A5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8" w:history="1">
              <w:r w:rsidR="002D7AB3" w:rsidRPr="00AF326F">
                <w:rPr>
                  <w:rStyle w:val="Hipercze"/>
                  <w:rFonts w:ascii="Verdana" w:hAnsi="Verdana" w:cs="Tahoma"/>
                  <w:color w:val="808080"/>
                  <w:sz w:val="18"/>
                  <w:szCs w:val="18"/>
                </w:rPr>
                <w:t>michal.wrzosek@budimex.pl</w:t>
              </w:r>
            </w:hyperlink>
          </w:p>
          <w:p w:rsidR="00AF326F" w:rsidRPr="00AF326F" w:rsidRDefault="00D918A5" w:rsidP="00AF326F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7F7F7F" w:themeColor="text1" w:themeTint="80"/>
                <w:sz w:val="18"/>
                <w:szCs w:val="18"/>
              </w:rPr>
            </w:pPr>
            <w:hyperlink r:id="rId19" w:history="1">
              <w:r w:rsidR="00AF326F" w:rsidRPr="00AF326F">
                <w:rPr>
                  <w:rStyle w:val="Hipercze"/>
                  <w:rFonts w:ascii="Tahoma" w:hAnsi="Tahoma" w:cs="Tahoma"/>
                  <w:iCs/>
                  <w:color w:val="7F7F7F" w:themeColor="text1" w:themeTint="80"/>
                  <w:sz w:val="18"/>
                  <w:szCs w:val="18"/>
                </w:rPr>
                <w:t>www.media.budimex.pl</w:t>
              </w:r>
            </w:hyperlink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</w:tr>
    </w:tbl>
    <w:p w:rsidR="00D61446" w:rsidRDefault="00D61446" w:rsidP="0079029E">
      <w:pPr>
        <w:spacing w:line="360" w:lineRule="auto"/>
      </w:pPr>
    </w:p>
    <w:sectPr w:rsidR="00D61446" w:rsidSect="00611FFA">
      <w:headerReference w:type="default" r:id="rId20"/>
      <w:pgSz w:w="11906" w:h="16838"/>
      <w:pgMar w:top="1417" w:right="1416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A5" w:rsidRDefault="00D918A5">
      <w:pPr>
        <w:spacing w:after="0" w:line="240" w:lineRule="auto"/>
      </w:pPr>
      <w:r>
        <w:separator/>
      </w:r>
    </w:p>
  </w:endnote>
  <w:endnote w:type="continuationSeparator" w:id="0">
    <w:p w:rsidR="00D918A5" w:rsidRDefault="00D9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A5" w:rsidRDefault="00D918A5">
      <w:pPr>
        <w:spacing w:after="0" w:line="240" w:lineRule="auto"/>
      </w:pPr>
      <w:r>
        <w:separator/>
      </w:r>
    </w:p>
  </w:footnote>
  <w:footnote w:type="continuationSeparator" w:id="0">
    <w:p w:rsidR="00D918A5" w:rsidRDefault="00D9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A" w:rsidRPr="00763BDA" w:rsidRDefault="00063D5C" w:rsidP="00763BDA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744E3340" wp14:editId="771117B5">
          <wp:simplePos x="0" y="0"/>
          <wp:positionH relativeFrom="column">
            <wp:posOffset>1643380</wp:posOffset>
          </wp:positionH>
          <wp:positionV relativeFrom="paragraph">
            <wp:posOffset>7620</wp:posOffset>
          </wp:positionV>
          <wp:extent cx="752475" cy="515620"/>
          <wp:effectExtent l="0" t="0" r="9525" b="0"/>
          <wp:wrapTopAndBottom/>
          <wp:docPr id="3" name="Obraz 3" descr="Obraz zawierający zewnętr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5C76586" wp14:editId="2D8EBFBD">
          <wp:simplePos x="0" y="0"/>
          <wp:positionH relativeFrom="column">
            <wp:posOffset>5386705</wp:posOffset>
          </wp:positionH>
          <wp:positionV relativeFrom="paragraph">
            <wp:posOffset>-97155</wp:posOffset>
          </wp:positionV>
          <wp:extent cx="1062990" cy="6375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ybrane - MARECKIE CENTRUM EDUKACYJNO - REKREACYJ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406"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85E8B61" wp14:editId="3E15DA49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mex_PRINC_neg_CMYK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9.5pt;height:9.5pt" o:bullet="t">
        <v:imagedata r:id="rId1" o:title="j0115836"/>
      </v:shape>
    </w:pict>
  </w:numPicBullet>
  <w:abstractNum w:abstractNumId="0">
    <w:nsid w:val="20D834CC"/>
    <w:multiLevelType w:val="hybridMultilevel"/>
    <w:tmpl w:val="8904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57E6"/>
    <w:multiLevelType w:val="hybridMultilevel"/>
    <w:tmpl w:val="994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5087"/>
    <w:multiLevelType w:val="hybridMultilevel"/>
    <w:tmpl w:val="2E526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56139"/>
    <w:multiLevelType w:val="hybridMultilevel"/>
    <w:tmpl w:val="0798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0302"/>
    <w:multiLevelType w:val="hybridMultilevel"/>
    <w:tmpl w:val="440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23C1"/>
    <w:multiLevelType w:val="hybridMultilevel"/>
    <w:tmpl w:val="B352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63115"/>
    <w:multiLevelType w:val="hybridMultilevel"/>
    <w:tmpl w:val="4504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60C9"/>
    <w:multiLevelType w:val="hybridMultilevel"/>
    <w:tmpl w:val="B4469A24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53"/>
    <w:rsid w:val="00002990"/>
    <w:rsid w:val="00062882"/>
    <w:rsid w:val="00063D5C"/>
    <w:rsid w:val="00063ED2"/>
    <w:rsid w:val="00071746"/>
    <w:rsid w:val="00085F4F"/>
    <w:rsid w:val="00095427"/>
    <w:rsid w:val="000C2CA0"/>
    <w:rsid w:val="000C7831"/>
    <w:rsid w:val="000D27C2"/>
    <w:rsid w:val="000D612C"/>
    <w:rsid w:val="001017DC"/>
    <w:rsid w:val="001021FC"/>
    <w:rsid w:val="00110DF3"/>
    <w:rsid w:val="00126F36"/>
    <w:rsid w:val="00154339"/>
    <w:rsid w:val="00192290"/>
    <w:rsid w:val="001935C7"/>
    <w:rsid w:val="001E23CE"/>
    <w:rsid w:val="001E656C"/>
    <w:rsid w:val="001E6D4F"/>
    <w:rsid w:val="001E77E7"/>
    <w:rsid w:val="001F379D"/>
    <w:rsid w:val="001F546E"/>
    <w:rsid w:val="002008CB"/>
    <w:rsid w:val="00217380"/>
    <w:rsid w:val="00244E4C"/>
    <w:rsid w:val="0024540A"/>
    <w:rsid w:val="002519AE"/>
    <w:rsid w:val="00252853"/>
    <w:rsid w:val="00253948"/>
    <w:rsid w:val="00264CF2"/>
    <w:rsid w:val="002774E8"/>
    <w:rsid w:val="00281104"/>
    <w:rsid w:val="00286F84"/>
    <w:rsid w:val="0029581A"/>
    <w:rsid w:val="002A3599"/>
    <w:rsid w:val="002D7AB3"/>
    <w:rsid w:val="002E0188"/>
    <w:rsid w:val="00302B3D"/>
    <w:rsid w:val="00311B22"/>
    <w:rsid w:val="00325F39"/>
    <w:rsid w:val="00335AD8"/>
    <w:rsid w:val="0033634D"/>
    <w:rsid w:val="003401D6"/>
    <w:rsid w:val="00353D31"/>
    <w:rsid w:val="0037710B"/>
    <w:rsid w:val="00384406"/>
    <w:rsid w:val="003960B7"/>
    <w:rsid w:val="003A3F93"/>
    <w:rsid w:val="003A7B7F"/>
    <w:rsid w:val="003B2758"/>
    <w:rsid w:val="003B50F4"/>
    <w:rsid w:val="003D1EE1"/>
    <w:rsid w:val="003E67CC"/>
    <w:rsid w:val="003E7DCD"/>
    <w:rsid w:val="003F04EF"/>
    <w:rsid w:val="003F4DC6"/>
    <w:rsid w:val="003F5CE5"/>
    <w:rsid w:val="003F79C1"/>
    <w:rsid w:val="00403B75"/>
    <w:rsid w:val="00430A20"/>
    <w:rsid w:val="00431317"/>
    <w:rsid w:val="004349AD"/>
    <w:rsid w:val="004553F5"/>
    <w:rsid w:val="004622CB"/>
    <w:rsid w:val="00465F70"/>
    <w:rsid w:val="004752F1"/>
    <w:rsid w:val="004A676F"/>
    <w:rsid w:val="004B1F47"/>
    <w:rsid w:val="004C74B5"/>
    <w:rsid w:val="004D5E78"/>
    <w:rsid w:val="004E1746"/>
    <w:rsid w:val="004F174F"/>
    <w:rsid w:val="004F3D6F"/>
    <w:rsid w:val="00506265"/>
    <w:rsid w:val="005129E9"/>
    <w:rsid w:val="005130F0"/>
    <w:rsid w:val="00527909"/>
    <w:rsid w:val="005522E7"/>
    <w:rsid w:val="00561A93"/>
    <w:rsid w:val="005738F3"/>
    <w:rsid w:val="00577DE8"/>
    <w:rsid w:val="005F740F"/>
    <w:rsid w:val="006013E6"/>
    <w:rsid w:val="0060787B"/>
    <w:rsid w:val="00611FFA"/>
    <w:rsid w:val="006134F8"/>
    <w:rsid w:val="00616F9B"/>
    <w:rsid w:val="00621AE8"/>
    <w:rsid w:val="00623817"/>
    <w:rsid w:val="006245F3"/>
    <w:rsid w:val="00627E64"/>
    <w:rsid w:val="00666689"/>
    <w:rsid w:val="006729B0"/>
    <w:rsid w:val="006805CE"/>
    <w:rsid w:val="006849B5"/>
    <w:rsid w:val="00687227"/>
    <w:rsid w:val="006C4B34"/>
    <w:rsid w:val="006D0D59"/>
    <w:rsid w:val="006D6AFC"/>
    <w:rsid w:val="006E32AC"/>
    <w:rsid w:val="006E47C3"/>
    <w:rsid w:val="006F7178"/>
    <w:rsid w:val="00701513"/>
    <w:rsid w:val="00711A30"/>
    <w:rsid w:val="007213E9"/>
    <w:rsid w:val="007220FE"/>
    <w:rsid w:val="00753BF6"/>
    <w:rsid w:val="007718BC"/>
    <w:rsid w:val="0078515E"/>
    <w:rsid w:val="00785F8C"/>
    <w:rsid w:val="00786C2D"/>
    <w:rsid w:val="0079029E"/>
    <w:rsid w:val="007965D4"/>
    <w:rsid w:val="007978C8"/>
    <w:rsid w:val="007A43E5"/>
    <w:rsid w:val="007B0DF5"/>
    <w:rsid w:val="007B44E5"/>
    <w:rsid w:val="007C4EEE"/>
    <w:rsid w:val="007D08F7"/>
    <w:rsid w:val="007D611C"/>
    <w:rsid w:val="00804CFB"/>
    <w:rsid w:val="00810D6E"/>
    <w:rsid w:val="00817D92"/>
    <w:rsid w:val="008222A3"/>
    <w:rsid w:val="00823C6A"/>
    <w:rsid w:val="00830E84"/>
    <w:rsid w:val="008541D0"/>
    <w:rsid w:val="00871967"/>
    <w:rsid w:val="008823D1"/>
    <w:rsid w:val="0089305E"/>
    <w:rsid w:val="008A20D2"/>
    <w:rsid w:val="008A4076"/>
    <w:rsid w:val="008A4F55"/>
    <w:rsid w:val="008C05F6"/>
    <w:rsid w:val="008E3D26"/>
    <w:rsid w:val="008F011D"/>
    <w:rsid w:val="008F7BA4"/>
    <w:rsid w:val="0091489E"/>
    <w:rsid w:val="009163B3"/>
    <w:rsid w:val="00961BAB"/>
    <w:rsid w:val="00970F2E"/>
    <w:rsid w:val="00994FEB"/>
    <w:rsid w:val="009A20B7"/>
    <w:rsid w:val="009A58DC"/>
    <w:rsid w:val="009B0024"/>
    <w:rsid w:val="009B1C62"/>
    <w:rsid w:val="00A02642"/>
    <w:rsid w:val="00A06E11"/>
    <w:rsid w:val="00A16A1F"/>
    <w:rsid w:val="00A322DC"/>
    <w:rsid w:val="00A362F7"/>
    <w:rsid w:val="00A768ED"/>
    <w:rsid w:val="00AB139E"/>
    <w:rsid w:val="00AF326F"/>
    <w:rsid w:val="00B062AD"/>
    <w:rsid w:val="00B1354C"/>
    <w:rsid w:val="00B14438"/>
    <w:rsid w:val="00B86561"/>
    <w:rsid w:val="00B960DC"/>
    <w:rsid w:val="00BB48B8"/>
    <w:rsid w:val="00BC4A5F"/>
    <w:rsid w:val="00BD317D"/>
    <w:rsid w:val="00C00AAD"/>
    <w:rsid w:val="00C169ED"/>
    <w:rsid w:val="00C65557"/>
    <w:rsid w:val="00C76E12"/>
    <w:rsid w:val="00C80B3E"/>
    <w:rsid w:val="00C857FB"/>
    <w:rsid w:val="00CA2632"/>
    <w:rsid w:val="00CC5C6C"/>
    <w:rsid w:val="00CD2C75"/>
    <w:rsid w:val="00CE7637"/>
    <w:rsid w:val="00CF50C8"/>
    <w:rsid w:val="00D23166"/>
    <w:rsid w:val="00D262B1"/>
    <w:rsid w:val="00D45237"/>
    <w:rsid w:val="00D61446"/>
    <w:rsid w:val="00D65FC8"/>
    <w:rsid w:val="00D660A2"/>
    <w:rsid w:val="00D91547"/>
    <w:rsid w:val="00D918A5"/>
    <w:rsid w:val="00DB32EE"/>
    <w:rsid w:val="00DB6537"/>
    <w:rsid w:val="00DD1149"/>
    <w:rsid w:val="00DD3572"/>
    <w:rsid w:val="00DE40E4"/>
    <w:rsid w:val="00E04D30"/>
    <w:rsid w:val="00E22E23"/>
    <w:rsid w:val="00E24D5D"/>
    <w:rsid w:val="00E36267"/>
    <w:rsid w:val="00E52CD8"/>
    <w:rsid w:val="00E86F9C"/>
    <w:rsid w:val="00E96C98"/>
    <w:rsid w:val="00EA679F"/>
    <w:rsid w:val="00EC43AB"/>
    <w:rsid w:val="00EF00FC"/>
    <w:rsid w:val="00EF5692"/>
    <w:rsid w:val="00F01378"/>
    <w:rsid w:val="00F174AF"/>
    <w:rsid w:val="00F24A3E"/>
    <w:rsid w:val="00F461D0"/>
    <w:rsid w:val="00F96FE7"/>
    <w:rsid w:val="00FA3584"/>
    <w:rsid w:val="00FD78E5"/>
    <w:rsid w:val="00FE4CA9"/>
    <w:rsid w:val="00FF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7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paragraph" w:styleId="Poprawka">
    <w:name w:val="Revision"/>
    <w:hidden/>
    <w:uiPriority w:val="99"/>
    <w:semiHidden/>
    <w:rsid w:val="004349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7B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7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paragraph" w:styleId="Poprawka">
    <w:name w:val="Revision"/>
    <w:hidden/>
    <w:uiPriority w:val="99"/>
    <w:semiHidden/>
    <w:rsid w:val="004349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BudimexSA" TargetMode="External"/><Relationship Id="rId18" Type="http://schemas.openxmlformats.org/officeDocument/2006/relationships/hyperlink" Target="mailto:michal.wrzosek@budimex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mce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eckieinwestycje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udimexs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.sowinska@mareckieinwestycje.p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edia.budimex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company/budimex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0103-EE7D-4610-A73E-F441FFAB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8890</Characters>
  <Application>Microsoft Office Word</Application>
  <DocSecurity>0</DocSecurity>
  <Lines>120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Bełza</dc:creator>
  <cp:lastModifiedBy>Małgorzata Grzegolec</cp:lastModifiedBy>
  <cp:revision>2</cp:revision>
  <cp:lastPrinted>2019-08-28T10:19:00Z</cp:lastPrinted>
  <dcterms:created xsi:type="dcterms:W3CDTF">2019-08-28T10:36:00Z</dcterms:created>
  <dcterms:modified xsi:type="dcterms:W3CDTF">2019-08-28T10:36:00Z</dcterms:modified>
</cp:coreProperties>
</file>