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05458" w14:textId="2259CD5C" w:rsidR="00670410" w:rsidRDefault="00670410" w:rsidP="00920AA6">
      <w:pPr>
        <w:pStyle w:val="Nagwek1"/>
      </w:pPr>
      <w:r w:rsidRPr="00D71B57">
        <w:t>UZASADNIENIE</w:t>
      </w:r>
    </w:p>
    <w:p w14:paraId="35275AE2" w14:textId="77777777" w:rsidR="00C362CF" w:rsidRPr="00C362CF" w:rsidRDefault="00C362CF" w:rsidP="00C34C44"/>
    <w:p w14:paraId="5AE0AF60" w14:textId="77777777" w:rsidR="00253693" w:rsidRDefault="00253693" w:rsidP="00253693">
      <w:pPr>
        <w:pStyle w:val="Default"/>
      </w:pPr>
      <w:r>
        <w:t xml:space="preserve"> </w:t>
      </w:r>
    </w:p>
    <w:p w14:paraId="4C82E64A" w14:textId="58096102" w:rsidR="00E71593" w:rsidRPr="00920AA6" w:rsidRDefault="00DC3467" w:rsidP="00920AA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1</w:t>
      </w:r>
      <w:r w:rsidR="00253693">
        <w:rPr>
          <w:b/>
          <w:bCs/>
          <w:sz w:val="23"/>
          <w:szCs w:val="23"/>
        </w:rPr>
        <w:t xml:space="preserve">. Cel wprowadzanych zmian i opis wprowadzanych regulacji </w:t>
      </w:r>
    </w:p>
    <w:p w14:paraId="54C97D86" w14:textId="122BF56B" w:rsidR="00253693" w:rsidRDefault="00253693" w:rsidP="00253693">
      <w:pPr>
        <w:rPr>
          <w:sz w:val="23"/>
          <w:szCs w:val="23"/>
        </w:rPr>
      </w:pPr>
      <w:r w:rsidRPr="00253693">
        <w:t>Projekt rozporządzenia stanowi wykonanie upoważnienia ustawowego zawartego w</w:t>
      </w:r>
      <w:r w:rsidR="00A072E8">
        <w:t> </w:t>
      </w:r>
      <w:r w:rsidRPr="00253693">
        <w:t>art.</w:t>
      </w:r>
      <w:r w:rsidR="00A072E8">
        <w:t> </w:t>
      </w:r>
      <w:r>
        <w:t>13m</w:t>
      </w:r>
      <w:r w:rsidRPr="00253693">
        <w:t xml:space="preserve"> </w:t>
      </w:r>
      <w:r w:rsidR="009631D6">
        <w:t>ust. 1</w:t>
      </w:r>
      <w:r w:rsidR="00C028D1">
        <w:t xml:space="preserve"> </w:t>
      </w:r>
      <w:r w:rsidRPr="00253693">
        <w:t>ustawy z dnia 27 marca 2003 r. o planowaniu i zagospodarowaniu przestrzennym (</w:t>
      </w:r>
      <w:r w:rsidR="008B4D66" w:rsidRPr="00AE2171">
        <w:rPr>
          <w:rFonts w:eastAsia="Times New Roman"/>
          <w:bCs/>
          <w:lang w:eastAsia="pl-PL"/>
        </w:rPr>
        <w:t>Dz. U. z 2023 r. poz. 977, 1506, 1597, 1688</w:t>
      </w:r>
      <w:r w:rsidR="008B4D66">
        <w:rPr>
          <w:rFonts w:eastAsia="Times New Roman"/>
          <w:bCs/>
          <w:lang w:eastAsia="pl-PL"/>
        </w:rPr>
        <w:t>,</w:t>
      </w:r>
      <w:r w:rsidR="008B4D66" w:rsidRPr="00AE2171">
        <w:rPr>
          <w:rFonts w:eastAsia="Times New Roman"/>
          <w:bCs/>
          <w:lang w:eastAsia="pl-PL"/>
        </w:rPr>
        <w:t xml:space="preserve"> 1890</w:t>
      </w:r>
      <w:r w:rsidR="00A20D92">
        <w:rPr>
          <w:rFonts w:eastAsia="Times New Roman"/>
          <w:bCs/>
          <w:lang w:eastAsia="pl-PL"/>
        </w:rPr>
        <w:t>,</w:t>
      </w:r>
      <w:r w:rsidR="008B4D66">
        <w:rPr>
          <w:rFonts w:eastAsia="Times New Roman"/>
          <w:bCs/>
          <w:lang w:eastAsia="pl-PL"/>
        </w:rPr>
        <w:t xml:space="preserve"> 2029</w:t>
      </w:r>
      <w:r w:rsidR="00A20D92">
        <w:rPr>
          <w:rFonts w:eastAsia="Times New Roman"/>
          <w:bCs/>
          <w:lang w:eastAsia="pl-PL"/>
        </w:rPr>
        <w:t xml:space="preserve"> i 2739</w:t>
      </w:r>
      <w:r w:rsidR="00DC06E5">
        <w:t>), zwanej</w:t>
      </w:r>
      <w:r w:rsidR="00A072E8">
        <w:t> </w:t>
      </w:r>
      <w:r w:rsidR="00740B72">
        <w:t>dalej:</w:t>
      </w:r>
      <w:r w:rsidR="00A072E8">
        <w:t> </w:t>
      </w:r>
      <w:proofErr w:type="spellStart"/>
      <w:r w:rsidR="00740B72">
        <w:t>upzp</w:t>
      </w:r>
      <w:proofErr w:type="spellEnd"/>
      <w:r w:rsidRPr="00253693">
        <w:t>.</w:t>
      </w:r>
    </w:p>
    <w:p w14:paraId="27B54567" w14:textId="11F05731" w:rsidR="00E71593" w:rsidRDefault="00E92E41" w:rsidP="00920AA6">
      <w:pPr>
        <w:rPr>
          <w:sz w:val="23"/>
          <w:szCs w:val="23"/>
        </w:rPr>
      </w:pPr>
      <w:r>
        <w:t xml:space="preserve">W </w:t>
      </w:r>
      <w:r w:rsidR="008B4D66">
        <w:t xml:space="preserve">projekcie </w:t>
      </w:r>
      <w:r w:rsidR="001735A1">
        <w:t>uregulowano</w:t>
      </w:r>
      <w:r w:rsidR="009631D6">
        <w:t xml:space="preserve"> </w:t>
      </w:r>
      <w:r w:rsidR="00E71593">
        <w:t xml:space="preserve">sposób wyznaczania granic obszaru </w:t>
      </w:r>
      <w:r w:rsidR="00CD7FED">
        <w:t xml:space="preserve">uzupełnienia </w:t>
      </w:r>
      <w:r w:rsidR="00E71593">
        <w:t>zabudowy</w:t>
      </w:r>
      <w:r w:rsidR="00D75E17">
        <w:t xml:space="preserve"> w planie ogólnym gminy</w:t>
      </w:r>
      <w:r w:rsidR="009631D6">
        <w:t xml:space="preserve"> </w:t>
      </w:r>
      <w:r w:rsidR="009631D6">
        <w:rPr>
          <w:sz w:val="23"/>
          <w:szCs w:val="23"/>
        </w:rPr>
        <w:t>uwzględniając potrzeby kształtowania ładu przestrzennego i</w:t>
      </w:r>
      <w:r w:rsidR="00D75E17">
        <w:rPr>
          <w:sz w:val="23"/>
          <w:szCs w:val="23"/>
        </w:rPr>
        <w:t> </w:t>
      </w:r>
      <w:r w:rsidR="009631D6">
        <w:rPr>
          <w:sz w:val="23"/>
          <w:szCs w:val="23"/>
        </w:rPr>
        <w:t>racjonalnego gospodarowania gruntami rolnymi, w tym przeciwdziałania powstawaniu konfliktów przestrzennych i rozpraszaniu zabudowy.</w:t>
      </w:r>
    </w:p>
    <w:p w14:paraId="4E9C1224" w14:textId="77777777" w:rsidR="00C362CF" w:rsidRDefault="00C362CF" w:rsidP="00920AA6"/>
    <w:p w14:paraId="70344F9D" w14:textId="2F7A8571" w:rsidR="00E71593" w:rsidRPr="00E71593" w:rsidRDefault="00DC3467" w:rsidP="00DC3467">
      <w:pPr>
        <w:ind w:firstLine="0"/>
        <w:rPr>
          <w:b/>
        </w:rPr>
      </w:pPr>
      <w:r>
        <w:rPr>
          <w:b/>
        </w:rPr>
        <w:t>2</w:t>
      </w:r>
      <w:r w:rsidR="00E71593" w:rsidRPr="00E71593">
        <w:rPr>
          <w:b/>
        </w:rPr>
        <w:t xml:space="preserve">. Sposób wyznaczania granic obszaru </w:t>
      </w:r>
      <w:r w:rsidR="00CD7FED" w:rsidRPr="00E71593">
        <w:rPr>
          <w:b/>
        </w:rPr>
        <w:t>uzupełni</w:t>
      </w:r>
      <w:r w:rsidR="00CD7FED">
        <w:rPr>
          <w:b/>
        </w:rPr>
        <w:t>e</w:t>
      </w:r>
      <w:r w:rsidR="00CD7FED" w:rsidRPr="00E71593">
        <w:rPr>
          <w:b/>
        </w:rPr>
        <w:t xml:space="preserve">nia </w:t>
      </w:r>
      <w:r w:rsidR="00E71593" w:rsidRPr="00E71593">
        <w:rPr>
          <w:b/>
        </w:rPr>
        <w:t>zabudowy</w:t>
      </w:r>
    </w:p>
    <w:p w14:paraId="21DF3A04" w14:textId="4BA50D12" w:rsidR="00C80591" w:rsidRDefault="00DC06E5" w:rsidP="00C80591">
      <w:r>
        <w:t xml:space="preserve">W myśl ustawy gminy są uprawnione do wyznaczenia w planie ogólnym obszarów uzupełnienia zabudowy. Co do zasady do tych obszarów ograniczone ma być wydawanie decyzji o warunkach zabudowy, zwanych dalej „decyzjami WZ”. </w:t>
      </w:r>
      <w:r w:rsidR="00654B28">
        <w:t>Ma to kluczowe znaczenie jako narzędzie pozwalające gminie wpływać na to, na jakich obszarach zabudowa może być kształtowana w taki właśnie sposób</w:t>
      </w:r>
      <w:r w:rsidR="002D2C1F">
        <w:t>. W myśl obowiązujących regulacji jedynym narzędziem, które może zagwarantować ochronę przed zabudową określonych nieruchomości</w:t>
      </w:r>
      <w:r w:rsidR="008B4D66">
        <w:t>,</w:t>
      </w:r>
      <w:r w:rsidR="002D2C1F">
        <w:t xml:space="preserve"> jest plan miejscowy. </w:t>
      </w:r>
      <w:r w:rsidR="008E3CDD">
        <w:t>Przyjmowanie planu miejscowego w takiej sytuacji podyktowane jest wyłącznie brakiem bardziej racjonalnych alternatyw, pozwalających na realizację tego samego celu. Uchwalenie planu miejscowego jest zadaniem czasochłonnym i kosztownym, niedopasowanym do potrzeb, które można sprowadzić do jednej generalnej zasady – wprowadzenia zakazu zabudowy. Nowe narzędzie w postaci</w:t>
      </w:r>
      <w:r w:rsidR="002D2C1F">
        <w:t xml:space="preserve"> obszar</w:t>
      </w:r>
      <w:r w:rsidR="002A7675">
        <w:t>ów</w:t>
      </w:r>
      <w:r w:rsidR="002D2C1F">
        <w:t xml:space="preserve"> uzupełnienia zabudowy</w:t>
      </w:r>
      <w:r w:rsidR="008E3CDD">
        <w:t xml:space="preserve"> </w:t>
      </w:r>
      <w:r w:rsidR="00493A95">
        <w:t>oddaje w ręce gminy</w:t>
      </w:r>
      <w:r w:rsidR="00493A95" w:rsidDel="002E5767">
        <w:t xml:space="preserve"> </w:t>
      </w:r>
      <w:r w:rsidR="008E3CDD">
        <w:t>jednoznaczne władztwo planistyczne w zakresie ustalania, dla których terenów nie będą wydawane decyzje o warunkach zabudowy</w:t>
      </w:r>
      <w:r w:rsidR="002E5767">
        <w:t xml:space="preserve">. Będzie to możliwe </w:t>
      </w:r>
      <w:r w:rsidR="00654B28">
        <w:t>bez konieczności</w:t>
      </w:r>
      <w:r w:rsidR="00E267AC">
        <w:t xml:space="preserve"> uchwalania planów miejscowych</w:t>
      </w:r>
      <w:r w:rsidR="00654B28">
        <w:t xml:space="preserve">, których jedynym celem jest właśnie powstrzymanie rozwoju zabudowy na danym obszarze z uwagi na inne wysoko cenione wartości, takie jak ochrona środowiska, bezpieczeństwo publiczne czy racjonalność wykorzystania przestrzeni. Rolą instrumentu, jakim jest decyzja </w:t>
      </w:r>
      <w:r w:rsidR="0060242F">
        <w:t>WZ</w:t>
      </w:r>
      <w:r w:rsidR="00654B28">
        <w:t xml:space="preserve">, </w:t>
      </w:r>
      <w:r w:rsidR="00815621">
        <w:t xml:space="preserve">w założeniach </w:t>
      </w:r>
      <w:r w:rsidR="00654B28">
        <w:t xml:space="preserve">miało być umożliwienie </w:t>
      </w:r>
      <w:r w:rsidR="0060242F">
        <w:t>uzupełniania</w:t>
      </w:r>
      <w:r w:rsidR="00E71593">
        <w:t xml:space="preserve"> luk w </w:t>
      </w:r>
      <w:r w:rsidR="00654B28">
        <w:t>zabudowie i wypełnianie przestrzeni na terenach, na których zabudowa jest już w dużym stopniu ukształtowana i</w:t>
      </w:r>
      <w:r>
        <w:t> </w:t>
      </w:r>
      <w:r w:rsidR="00654B28">
        <w:t>w</w:t>
      </w:r>
      <w:r>
        <w:t> </w:t>
      </w:r>
      <w:r w:rsidR="00654B28">
        <w:t xml:space="preserve">sposób czytelny pozwala na ustalenie zasad </w:t>
      </w:r>
      <w:r w:rsidR="0060242F">
        <w:t>sytuowania nowych budynków</w:t>
      </w:r>
      <w:r w:rsidR="00654B28">
        <w:t xml:space="preserve"> </w:t>
      </w:r>
      <w:r w:rsidR="00815621">
        <w:t>tak</w:t>
      </w:r>
      <w:r w:rsidR="0060242F">
        <w:t>,</w:t>
      </w:r>
      <w:r w:rsidR="00654B28">
        <w:t xml:space="preserve"> by harmonijnie wpisać się w otoczenie. </w:t>
      </w:r>
      <w:r w:rsidR="0060242F">
        <w:t>Rozwinięta w sposób niezgodny z intencją ustawodawcy p</w:t>
      </w:r>
      <w:r w:rsidR="00654B28">
        <w:t xml:space="preserve">raktyka stosowania decyzji </w:t>
      </w:r>
      <w:r w:rsidR="0060242F">
        <w:t>WZ, zwłaszcza w</w:t>
      </w:r>
      <w:r w:rsidR="00000EBF">
        <w:t> </w:t>
      </w:r>
      <w:r w:rsidR="0060242F">
        <w:t>zakresie utrwalonej interpretacji zasady dobrego sąsiedztwa, doprowadziła do wypaczenia zakładanej roli tych decyzji w</w:t>
      </w:r>
      <w:r>
        <w:t> </w:t>
      </w:r>
      <w:r w:rsidR="0060242F">
        <w:t xml:space="preserve">systemie planowania przestrzennego. W stanie obecnym większość decyzji </w:t>
      </w:r>
      <w:r w:rsidR="00892AC5">
        <w:t>o pozwoleniu na</w:t>
      </w:r>
      <w:r>
        <w:t> </w:t>
      </w:r>
      <w:r w:rsidR="00892AC5">
        <w:t xml:space="preserve">budowę </w:t>
      </w:r>
      <w:r w:rsidR="0060242F">
        <w:t>realizowana jest w oparciu o narzędzie, które miało stanowić uzupeł</w:t>
      </w:r>
      <w:r w:rsidR="007528F6">
        <w:t>nienie systemu. Decyzje WZ wydawane są także na terenach, na których zabudowa nie została na tyle rozwinięta</w:t>
      </w:r>
      <w:r w:rsidR="008B4D66">
        <w:t>,</w:t>
      </w:r>
      <w:r w:rsidR="007528F6">
        <w:t xml:space="preserve"> by uprawnione było określanie ich mianem wypełniających ukształtowane struktury przestrzenne. W celu przywrócenia zakładanej </w:t>
      </w:r>
      <w:r w:rsidR="007528F6">
        <w:lastRenderedPageBreak/>
        <w:t>decyzjom WZ roli w systemie</w:t>
      </w:r>
      <w:r w:rsidR="00815621">
        <w:t>,</w:t>
      </w:r>
      <w:r w:rsidR="007528F6">
        <w:t xml:space="preserve"> zdecydowano o</w:t>
      </w:r>
      <w:r>
        <w:t> </w:t>
      </w:r>
      <w:r w:rsidR="007528F6">
        <w:t xml:space="preserve">ograniczeniu stosowania tego narzędzia tylko do tych obszarów, które </w:t>
      </w:r>
      <w:r w:rsidR="00E87637">
        <w:t xml:space="preserve">gmina sama wskaże </w:t>
      </w:r>
      <w:r w:rsidR="007528F6">
        <w:t>w</w:t>
      </w:r>
      <w:r>
        <w:t> </w:t>
      </w:r>
      <w:r w:rsidR="007528F6">
        <w:t>planie og</w:t>
      </w:r>
      <w:r w:rsidR="00E87637">
        <w:t xml:space="preserve">ólnym. W § </w:t>
      </w:r>
      <w:r>
        <w:t>1</w:t>
      </w:r>
      <w:r w:rsidR="00E87637">
        <w:t xml:space="preserve"> w ust. 1</w:t>
      </w:r>
      <w:r w:rsidRPr="00DC06E5">
        <w:t xml:space="preserve"> </w:t>
      </w:r>
      <w:r>
        <w:t>projektu</w:t>
      </w:r>
      <w:r w:rsidR="00E87637">
        <w:t xml:space="preserve"> rozporządzenia opisano szereg czynności związanych z</w:t>
      </w:r>
      <w:r>
        <w:t> </w:t>
      </w:r>
      <w:r w:rsidR="00E87637">
        <w:t>analizami przestrzennymi istniejącej zabudowy, które pozwolą uzyskać rdzeń możliw</w:t>
      </w:r>
      <w:r w:rsidR="002A7675">
        <w:t>ych</w:t>
      </w:r>
      <w:r w:rsidR="00E87637">
        <w:t xml:space="preserve"> do</w:t>
      </w:r>
      <w:r>
        <w:t> </w:t>
      </w:r>
      <w:r w:rsidR="00E87637">
        <w:t>wyznaczenia obszar</w:t>
      </w:r>
      <w:r w:rsidR="002A7675">
        <w:t>ów</w:t>
      </w:r>
      <w:r w:rsidR="00E87637">
        <w:t xml:space="preserve"> </w:t>
      </w:r>
      <w:r w:rsidR="00CD7FED">
        <w:t xml:space="preserve">uzupełnienia </w:t>
      </w:r>
      <w:r w:rsidR="00E87637">
        <w:t xml:space="preserve">zabudowy. Rdzeniem tym będzie przestrzeń między istniejącymi budynkami z </w:t>
      </w:r>
      <w:r w:rsidR="00C80591">
        <w:t>bardzo wąskim</w:t>
      </w:r>
      <w:r w:rsidR="00280F61">
        <w:t xml:space="preserve">, szerokim na </w:t>
      </w:r>
      <w:r w:rsidR="00F80838">
        <w:t xml:space="preserve">10 </w:t>
      </w:r>
      <w:r w:rsidR="00C80591">
        <w:t>metró</w:t>
      </w:r>
      <w:r w:rsidR="00280F61">
        <w:t>w,</w:t>
      </w:r>
      <w:r w:rsidR="00C80591">
        <w:t xml:space="preserve"> pasem okalającym budynki od strony przestrzeni otwartych. </w:t>
      </w:r>
    </w:p>
    <w:p w14:paraId="676EFD8A" w14:textId="4F437FC3" w:rsidR="00DC06E5" w:rsidRDefault="00DC06E5" w:rsidP="00DC06E5">
      <w:r>
        <w:t xml:space="preserve">W ramach czynności opisanej </w:t>
      </w:r>
      <w:r w:rsidR="00422EB6">
        <w:t>w § 1 w ust. 1</w:t>
      </w:r>
      <w:r w:rsidR="00422EB6" w:rsidRPr="00DC06E5">
        <w:t xml:space="preserve"> </w:t>
      </w:r>
      <w:r>
        <w:t xml:space="preserve">w pkt 1 </w:t>
      </w:r>
      <w:r w:rsidR="00422EB6">
        <w:t xml:space="preserve">projektu </w:t>
      </w:r>
      <w:r>
        <w:t xml:space="preserve">gmina identyfikuje zgrupowania minimum 5 budynków o określonych w przepisie funkcjach, </w:t>
      </w:r>
      <w:r w:rsidR="00C028D1">
        <w:t xml:space="preserve">w których odległość </w:t>
      </w:r>
      <w:r>
        <w:t xml:space="preserve">między </w:t>
      </w:r>
      <w:r w:rsidR="004D7112">
        <w:t>obrys</w:t>
      </w:r>
      <w:r w:rsidR="00C028D1">
        <w:t xml:space="preserve">em jednego budynku a drugiego najbliższego </w:t>
      </w:r>
      <w:r>
        <w:t>jest nie większa niż 100 m. Funkcje budynków określone w przepisie dobrano tak, by nie budziło wątpliwości, że są to obiekty</w:t>
      </w:r>
      <w:r w:rsidR="00C028D1">
        <w:t>, które gwarantują wystarczające wyposażenie w niezbędną infrastrukturę techniczną, w tym komunikacyjną</w:t>
      </w:r>
      <w:r>
        <w:t xml:space="preserve"> </w:t>
      </w:r>
      <w:r w:rsidR="00C028D1">
        <w:t>i mogą</w:t>
      </w:r>
      <w:r>
        <w:t xml:space="preserve"> stanowi</w:t>
      </w:r>
      <w:r w:rsidR="00C028D1">
        <w:t>ć</w:t>
      </w:r>
      <w:r>
        <w:t xml:space="preserve"> punkt odniesienia do określania warunków zagospodarowania pobliskich luk w zabudowie</w:t>
      </w:r>
      <w:r w:rsidR="00C028D1">
        <w:t>.</w:t>
      </w:r>
      <w:r>
        <w:t xml:space="preserve"> Przy określeniu funkcji budynków odniesiono się do Klasyfikacji Środków Trwałych. Zgodnie z rozporządzeniem Ministra Rozwoju, Pracy i</w:t>
      </w:r>
      <w:r w:rsidR="00920AA6">
        <w:t> </w:t>
      </w:r>
      <w:r>
        <w:t>Technologii z dnia 27 lipca 2021 r. w sprawie ewidencji gruntów i budynków (Dz. U. poz. 1390, z późn. zm.) rodzaje budynków określone w Klasyfikacji Środków Trwałych stanowią podstawę do nanoszenia oznaczeń na mapy ewidencyjne, które z kolei stanowią podkłady referencyjne wykorzystywane przy opracowywaniu projektu planu ogólnego.</w:t>
      </w:r>
      <w:r w:rsidR="00912D93">
        <w:t xml:space="preserve"> Z analizy zwartości zabudowy wyłączono klasy 102 i 108</w:t>
      </w:r>
      <w:r w:rsidR="0052705E">
        <w:t xml:space="preserve">, czyli budynki transportu i łączności oraz budynki produkcyjne, usługowe i gospodarcze dla rolnictwa. </w:t>
      </w:r>
    </w:p>
    <w:p w14:paraId="766141FD" w14:textId="41AE2913" w:rsidR="004D7112" w:rsidRDefault="00F66C01" w:rsidP="00DC06E5">
      <w:r>
        <w:t>Ponieważ obszar</w:t>
      </w:r>
      <w:r w:rsidR="002A7675">
        <w:t>y</w:t>
      </w:r>
      <w:r>
        <w:t xml:space="preserve"> uzupełnienia zabudowy </w:t>
      </w:r>
      <w:r w:rsidR="002A7675">
        <w:t>stanowią</w:t>
      </w:r>
      <w:r>
        <w:t xml:space="preserve"> jedn</w:t>
      </w:r>
      <w:r w:rsidR="002A7675">
        <w:t>o</w:t>
      </w:r>
      <w:r>
        <w:t xml:space="preserve"> z ustaleń planu ogólnego, czyli aktu prawa miejscowego, podstawą </w:t>
      </w:r>
      <w:r w:rsidR="002A7675">
        <w:t>ich</w:t>
      </w:r>
      <w:r>
        <w:t xml:space="preserve"> wyznaczenia muszą być dane pochodzące z</w:t>
      </w:r>
      <w:r w:rsidR="00000EBF">
        <w:t> </w:t>
      </w:r>
      <w:r>
        <w:t>p</w:t>
      </w:r>
      <w:r w:rsidRPr="00F66C01">
        <w:t>aństwow</w:t>
      </w:r>
      <w:r>
        <w:t>ego</w:t>
      </w:r>
      <w:r w:rsidRPr="00F66C01">
        <w:t xml:space="preserve"> zas</w:t>
      </w:r>
      <w:r>
        <w:t>obu</w:t>
      </w:r>
      <w:r w:rsidRPr="00F66C01">
        <w:t xml:space="preserve"> geodezyjn</w:t>
      </w:r>
      <w:r>
        <w:t>ego</w:t>
      </w:r>
      <w:r w:rsidRPr="00F66C01">
        <w:t xml:space="preserve"> i kartograficzn</w:t>
      </w:r>
      <w:r>
        <w:t>ego</w:t>
      </w:r>
      <w:r w:rsidR="0016559E">
        <w:t>, zgodnie z § 1 ust. 3</w:t>
      </w:r>
      <w:r w:rsidR="0016559E" w:rsidRPr="0016559E">
        <w:t xml:space="preserve"> </w:t>
      </w:r>
      <w:r w:rsidR="00C34C44">
        <w:t>pozyskane nie wcześniej</w:t>
      </w:r>
      <w:r w:rsidR="0016559E" w:rsidRPr="0016559E">
        <w:t xml:space="preserve"> niż </w:t>
      </w:r>
      <w:r w:rsidR="00C34C44">
        <w:t xml:space="preserve">w </w:t>
      </w:r>
      <w:r w:rsidR="00E922A5">
        <w:t xml:space="preserve">dniu </w:t>
      </w:r>
      <w:r w:rsidR="00E922A5" w:rsidRPr="0016559E">
        <w:t>przystąpienia</w:t>
      </w:r>
      <w:r w:rsidR="0016559E" w:rsidRPr="0016559E">
        <w:t xml:space="preserve"> do sporządzania planu ogólnego</w:t>
      </w:r>
      <w:r>
        <w:t xml:space="preserve">. W § 1 ust. 2 projektu </w:t>
      </w:r>
      <w:r w:rsidR="00452140">
        <w:t>wskazano, które dane i z jakich baz należy wykorzystać do pozyskania informacji o budynkach, niezbędnych do wyznaczenia zgrupowań budynków, będących podstaw</w:t>
      </w:r>
      <w:r w:rsidR="00B1442A">
        <w:t>ą</w:t>
      </w:r>
      <w:r w:rsidR="00452140">
        <w:t xml:space="preserve"> wyznaczenia rdzenia obszar</w:t>
      </w:r>
      <w:r w:rsidR="002A7675">
        <w:t>ów</w:t>
      </w:r>
      <w:r w:rsidR="00452140">
        <w:t xml:space="preserve"> uzupełnienia zabudowy.</w:t>
      </w:r>
      <w:r w:rsidR="002C7ABE">
        <w:t xml:space="preserve"> Podstawowy zakres danych obejmuje dane pochodzące z</w:t>
      </w:r>
      <w:r w:rsidR="00000EBF">
        <w:t> </w:t>
      </w:r>
      <w:r w:rsidR="002C7ABE">
        <w:t>ewidencji gruntów i budynków oraz dane o obiektach topograficznych odpowiadające opracowaniom w skali 1:500</w:t>
      </w:r>
      <w:r w:rsidR="007E0E15">
        <w:t xml:space="preserve"> </w:t>
      </w:r>
      <w:r w:rsidR="002C7ABE">
        <w:t>-</w:t>
      </w:r>
      <w:r w:rsidR="007E0E15">
        <w:t xml:space="preserve"> </w:t>
      </w:r>
      <w:r w:rsidR="002C7ABE">
        <w:t>1:5000. W przypadku braku którejkolwiek z tych baz danych do analizy wykorzystać należy także dane o obiektach topograficznych do opracowań kartograficznych o skali 1:10 000</w:t>
      </w:r>
      <w:r w:rsidR="007E0E15">
        <w:t xml:space="preserve"> </w:t>
      </w:r>
      <w:r w:rsidR="002C7ABE">
        <w:t>-</w:t>
      </w:r>
      <w:r w:rsidR="007E0E15">
        <w:t xml:space="preserve"> </w:t>
      </w:r>
      <w:r w:rsidR="002C7ABE">
        <w:t>1:100 000.</w:t>
      </w:r>
    </w:p>
    <w:p w14:paraId="5A197305" w14:textId="03574E29" w:rsidR="00DC06E5" w:rsidRDefault="00DC06E5" w:rsidP="00DC06E5">
      <w:r>
        <w:t>Zidentyfikowanie takich zgrupowań</w:t>
      </w:r>
      <w:r w:rsidR="00452140">
        <w:t>, na podstawie baz danych</w:t>
      </w:r>
      <w:r w:rsidR="00452140" w:rsidRPr="00452140">
        <w:t xml:space="preserve"> </w:t>
      </w:r>
      <w:r w:rsidR="00452140" w:rsidRPr="003B59E9">
        <w:t>ewidencji gruntów i</w:t>
      </w:r>
      <w:r w:rsidR="00000EBF">
        <w:t> </w:t>
      </w:r>
      <w:r w:rsidR="00452140" w:rsidRPr="003B59E9">
        <w:t>budynków</w:t>
      </w:r>
      <w:r w:rsidR="00452140">
        <w:t xml:space="preserve"> </w:t>
      </w:r>
      <w:r w:rsidR="002C7ABE">
        <w:t>oraz</w:t>
      </w:r>
      <w:r w:rsidR="00452140">
        <w:t xml:space="preserve"> obiektów topograficznych,</w:t>
      </w:r>
      <w:r>
        <w:t xml:space="preserve"> jest czynnością łatwą do wykonania przy wykorzystaniu narzędzi </w:t>
      </w:r>
      <w:proofErr w:type="spellStart"/>
      <w:r w:rsidR="002C7ABE">
        <w:t>geoinformatycznych</w:t>
      </w:r>
      <w:proofErr w:type="spellEnd"/>
      <w:r w:rsidR="00920AA6">
        <w:t>.</w:t>
      </w:r>
      <w:r>
        <w:t xml:space="preserve"> Korzystając z oprogramowania tego typu wystarczy wyizolować obiekty reprezentujące budynki o wskazanej funkcji i wokół nich wyznaczyć bufor o szerokości 50 m. Następnie wewnątrz utworzonych poligonów należy policzyć obiekty reprezentujące każdy budynek. Brane pod uwagę powinny być jedynie te budynki, które położone są wewnątrz poligonów, w których liczba policzonych obiektów wynosi nie mniej niż 5.</w:t>
      </w:r>
      <w:r w:rsidR="00855955">
        <w:t xml:space="preserve"> </w:t>
      </w:r>
    </w:p>
    <w:p w14:paraId="05868C1E" w14:textId="5ED56F25" w:rsidR="00DC06E5" w:rsidRDefault="00DC06E5" w:rsidP="00DC06E5">
      <w:r>
        <w:t>Zgodnie z</w:t>
      </w:r>
      <w:r w:rsidR="00422EB6">
        <w:t xml:space="preserve"> § 1 ust. 1</w:t>
      </w:r>
      <w:r w:rsidR="00422EB6" w:rsidRPr="00DC06E5">
        <w:t xml:space="preserve"> </w:t>
      </w:r>
      <w:r>
        <w:t xml:space="preserve">pkt 2 </w:t>
      </w:r>
      <w:r w:rsidR="00422EB6">
        <w:t>projektu</w:t>
      </w:r>
      <w:r w:rsidR="005713E0">
        <w:t>,</w:t>
      </w:r>
      <w:r w:rsidR="00422EB6">
        <w:t xml:space="preserve"> </w:t>
      </w:r>
      <w:r>
        <w:t>wokół budynków, które wyselekcjonowano w kroku opisanym w</w:t>
      </w:r>
      <w:r w:rsidR="00422EB6">
        <w:t xml:space="preserve"> </w:t>
      </w:r>
      <w:r>
        <w:t>pkt 1, należy poprowadzić bufor o szerokości 50 m. Dzięki tej czynności zosta</w:t>
      </w:r>
      <w:r w:rsidR="009F15C0">
        <w:t>nie</w:t>
      </w:r>
      <w:r>
        <w:t xml:space="preserve"> wypełniona przestrze</w:t>
      </w:r>
      <w:r w:rsidR="009F15C0">
        <w:t>ń</w:t>
      </w:r>
      <w:r>
        <w:t xml:space="preserve"> między budynkami</w:t>
      </w:r>
      <w:r w:rsidR="009F15C0">
        <w:t xml:space="preserve"> w zgrupowaniu</w:t>
      </w:r>
      <w:r>
        <w:t xml:space="preserve">. </w:t>
      </w:r>
    </w:p>
    <w:p w14:paraId="7464A0D9" w14:textId="5E5188E0" w:rsidR="00944F87" w:rsidRDefault="00944F87" w:rsidP="00944F87">
      <w:r>
        <w:lastRenderedPageBreak/>
        <w:t>Efekt wykonania czynności określonych w</w:t>
      </w:r>
      <w:r w:rsidR="00422EB6">
        <w:t xml:space="preserve"> § 1 w ust. 1</w:t>
      </w:r>
      <w:r w:rsidR="00422EB6" w:rsidRPr="00DC06E5">
        <w:t xml:space="preserve"> </w:t>
      </w:r>
      <w:r w:rsidR="00422EB6">
        <w:t xml:space="preserve">w </w:t>
      </w:r>
      <w:r>
        <w:t>pkt 1 i 2 na przykładowy</w:t>
      </w:r>
      <w:r w:rsidR="000C59F2">
        <w:t>ch</w:t>
      </w:r>
      <w:r>
        <w:t xml:space="preserve"> obszar</w:t>
      </w:r>
      <w:r w:rsidR="000C59F2">
        <w:t>ach</w:t>
      </w:r>
      <w:r>
        <w:t xml:space="preserve"> testowy</w:t>
      </w:r>
      <w:r w:rsidR="00793A71">
        <w:t>ch</w:t>
      </w:r>
      <w:r>
        <w:t xml:space="preserve"> prezentuje rys. 1</w:t>
      </w:r>
      <w:r w:rsidR="00920AA6">
        <w:t>.</w:t>
      </w:r>
      <w:r w:rsidR="00912D93">
        <w:t xml:space="preserve"> Górny przykład prezentuje obrzeża małego miasta </w:t>
      </w:r>
      <w:r w:rsidR="00000EBF">
        <w:t>z </w:t>
      </w:r>
      <w:r w:rsidR="00912D93">
        <w:t>rozwijającą się zabudową jednorodzinną. Na dolnym przykładzie zobrazowano wykształcone osiedle wielorodzinne położone w jednym z dużych miast</w:t>
      </w:r>
      <w:r w:rsidR="008067D6">
        <w:t>.</w:t>
      </w:r>
    </w:p>
    <w:p w14:paraId="610CE2C2" w14:textId="55ADC4D1" w:rsidR="00E92E41" w:rsidRDefault="000C59F2" w:rsidP="007661C3">
      <w:pPr>
        <w:ind w:firstLine="0"/>
        <w:jc w:val="center"/>
      </w:pPr>
      <w:r>
        <w:rPr>
          <w:noProof/>
          <w:lang w:eastAsia="pl-PL"/>
        </w:rPr>
        <w:drawing>
          <wp:inline distT="0" distB="0" distL="0" distR="0" wp14:anchorId="06646D68" wp14:editId="01F3B3CD">
            <wp:extent cx="5748655" cy="3615267"/>
            <wp:effectExtent l="0" t="0" r="4445" b="4445"/>
            <wp:docPr id="1535412092" name="Obraz 1535412092" descr="Obraz zawierający mapa, tekst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412092" name="Obraz 1535412092" descr="Obraz zawierający mapa, tekst, atlas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6" b="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61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2E41">
        <w:rPr>
          <w:noProof/>
          <w:lang w:eastAsia="pl-PL"/>
        </w:rPr>
        <w:drawing>
          <wp:inline distT="0" distB="0" distL="0" distR="0" wp14:anchorId="58AB051C" wp14:editId="706C482B">
            <wp:extent cx="5748655" cy="3615267"/>
            <wp:effectExtent l="0" t="0" r="4445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6" b="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61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9108B" w14:textId="77777777" w:rsidR="00912D93" w:rsidRDefault="00912D93" w:rsidP="00253693">
      <w:pPr>
        <w:spacing w:before="0"/>
        <w:ind w:firstLine="709"/>
      </w:pPr>
    </w:p>
    <w:p w14:paraId="466407BD" w14:textId="0DE164EA" w:rsidR="00253693" w:rsidRPr="00753F5E" w:rsidRDefault="00253693" w:rsidP="00753F5E">
      <w:pPr>
        <w:spacing w:before="0"/>
        <w:ind w:firstLine="709"/>
        <w:rPr>
          <w:sz w:val="20"/>
          <w:szCs w:val="20"/>
        </w:rPr>
      </w:pPr>
      <w:r w:rsidRPr="00753F5E">
        <w:rPr>
          <w:sz w:val="20"/>
          <w:szCs w:val="20"/>
        </w:rPr>
        <w:t xml:space="preserve">Rys. 1. Przykład </w:t>
      </w:r>
      <w:r w:rsidR="001735A1" w:rsidRPr="00753F5E">
        <w:rPr>
          <w:sz w:val="20"/>
          <w:szCs w:val="20"/>
        </w:rPr>
        <w:t xml:space="preserve">wyniku </w:t>
      </w:r>
      <w:r w:rsidRPr="00753F5E">
        <w:rPr>
          <w:sz w:val="20"/>
          <w:szCs w:val="20"/>
        </w:rPr>
        <w:t xml:space="preserve">wykonania czynności opisanych w § </w:t>
      </w:r>
      <w:r w:rsidR="00422EB6" w:rsidRPr="00753F5E">
        <w:rPr>
          <w:sz w:val="20"/>
          <w:szCs w:val="20"/>
        </w:rPr>
        <w:t>1</w:t>
      </w:r>
      <w:r w:rsidRPr="00753F5E">
        <w:rPr>
          <w:sz w:val="20"/>
          <w:szCs w:val="20"/>
        </w:rPr>
        <w:t xml:space="preserve"> ust. 1 pkt</w:t>
      </w:r>
      <w:r w:rsidR="001733AA" w:rsidRPr="00753F5E">
        <w:rPr>
          <w:sz w:val="20"/>
          <w:szCs w:val="20"/>
        </w:rPr>
        <w:t xml:space="preserve"> 1 i</w:t>
      </w:r>
      <w:r w:rsidRPr="00753F5E">
        <w:rPr>
          <w:sz w:val="20"/>
          <w:szCs w:val="20"/>
        </w:rPr>
        <w:t xml:space="preserve"> 2 </w:t>
      </w:r>
      <w:r w:rsidR="004F72A4" w:rsidRPr="00753F5E">
        <w:rPr>
          <w:sz w:val="20"/>
          <w:szCs w:val="20"/>
        </w:rPr>
        <w:t xml:space="preserve">projektu </w:t>
      </w:r>
      <w:r w:rsidRPr="00753F5E">
        <w:rPr>
          <w:sz w:val="20"/>
          <w:szCs w:val="20"/>
        </w:rPr>
        <w:t>rozporządzenia</w:t>
      </w:r>
      <w:r w:rsidR="00920AA6" w:rsidRPr="00753F5E">
        <w:rPr>
          <w:sz w:val="20"/>
          <w:szCs w:val="20"/>
        </w:rPr>
        <w:t>.</w:t>
      </w:r>
    </w:p>
    <w:p w14:paraId="1286C6C0" w14:textId="59365AB7" w:rsidR="009F15C0" w:rsidRDefault="00912D93" w:rsidP="0052705E">
      <w:r>
        <w:br w:type="page"/>
      </w:r>
      <w:r w:rsidR="009F15C0">
        <w:lastRenderedPageBreak/>
        <w:t>Należy przy tym zauważyć, że przedstawiane powyżej czynności zmierzające do wyznaczenia obszar</w:t>
      </w:r>
      <w:r w:rsidR="002A7675">
        <w:t>ów</w:t>
      </w:r>
      <w:r w:rsidR="009F15C0">
        <w:t xml:space="preserve"> uzupełnienia zabudowy nawiązują do sposobu wyznaczania stosowanego dotychczas obszaru zwartej zabudowy, określonego w ustawie z dnia 3 lutego 1995 r. o</w:t>
      </w:r>
      <w:r>
        <w:t> </w:t>
      </w:r>
      <w:r w:rsidR="009F15C0">
        <w:t>ochronie gruntów rolnych i leśnych (Dz. U. z 2022 r. poz. 2409, z późn. zm.). W</w:t>
      </w:r>
      <w:r w:rsidR="00000EBF">
        <w:t> </w:t>
      </w:r>
      <w:r w:rsidR="009F15C0">
        <w:t xml:space="preserve">ramach tego terenu także wyznaczano zgrupowania nie mniej niż 5 budynków, między którymi największa odległość sąsiadujących ze sobą </w:t>
      </w:r>
      <w:r w:rsidR="009F15C0" w:rsidRPr="00793A71">
        <w:rPr>
          <w:spacing w:val="-2"/>
        </w:rPr>
        <w:t>budynków nie przekraczała 100 m, i od tychże budynków wyznaczano bufor o szerokości 50 m.</w:t>
      </w:r>
      <w:r w:rsidR="0053355C">
        <w:rPr>
          <w:spacing w:val="-2"/>
        </w:rPr>
        <w:t xml:space="preserve"> </w:t>
      </w:r>
      <w:r w:rsidR="00290AAF">
        <w:rPr>
          <w:spacing w:val="-2"/>
        </w:rPr>
        <w:t>Analizie nie poddawano budynków o</w:t>
      </w:r>
      <w:r w:rsidR="00000EBF">
        <w:rPr>
          <w:spacing w:val="-2"/>
        </w:rPr>
        <w:t> </w:t>
      </w:r>
      <w:r w:rsidR="00290AAF">
        <w:rPr>
          <w:spacing w:val="-2"/>
        </w:rPr>
        <w:t xml:space="preserve">funkcji wyłącznie gospodarczej. </w:t>
      </w:r>
      <w:r w:rsidR="00C809E4">
        <w:rPr>
          <w:spacing w:val="-2"/>
        </w:rPr>
        <w:t>Potwierdzeniem i doprecyzowaniem tej zasady jest w</w:t>
      </w:r>
      <w:r w:rsidR="0053355C">
        <w:rPr>
          <w:spacing w:val="-2"/>
        </w:rPr>
        <w:t xml:space="preserve">yłączenie z analizy zwartości zabudowy budynków </w:t>
      </w:r>
      <w:r w:rsidR="00C809E4">
        <w:rPr>
          <w:spacing w:val="-2"/>
        </w:rPr>
        <w:t xml:space="preserve">oznaczonych klasą 102 i 108 wg Klasyfikacji Środków Trwałych, czyli budynków </w:t>
      </w:r>
      <w:r w:rsidR="00290AAF">
        <w:t>transportu i łączności oraz budynk</w:t>
      </w:r>
      <w:r w:rsidR="00C809E4">
        <w:t>ów</w:t>
      </w:r>
      <w:r w:rsidR="00290AAF">
        <w:t xml:space="preserve"> produkcyjn</w:t>
      </w:r>
      <w:r w:rsidR="00C809E4">
        <w:t>ych</w:t>
      </w:r>
      <w:r w:rsidR="00290AAF">
        <w:t>, usługow</w:t>
      </w:r>
      <w:r w:rsidR="00C809E4">
        <w:t>ych</w:t>
      </w:r>
      <w:r w:rsidR="00290AAF">
        <w:t xml:space="preserve"> i gospodarcz</w:t>
      </w:r>
      <w:r w:rsidR="00C809E4">
        <w:t>ych</w:t>
      </w:r>
      <w:r w:rsidR="00290AAF">
        <w:t xml:space="preserve"> dla rolnictwa</w:t>
      </w:r>
      <w:r w:rsidR="00C809E4">
        <w:t xml:space="preserve">. </w:t>
      </w:r>
    </w:p>
    <w:p w14:paraId="0689C0A5" w14:textId="030B6B9F" w:rsidR="00253693" w:rsidRDefault="000C59F2" w:rsidP="00793A71">
      <w:r>
        <w:t>Kontynuacja zastosowanych już wcześniej zasad wyznaczania obszar</w:t>
      </w:r>
      <w:r w:rsidR="002A7675">
        <w:t>ów</w:t>
      </w:r>
      <w:r>
        <w:t xml:space="preserve"> o bardzo zbliżonym znaczeniu systemowym jest </w:t>
      </w:r>
      <w:r w:rsidR="00F1221E">
        <w:t xml:space="preserve">również </w:t>
      </w:r>
      <w:r>
        <w:t>o tyle celowa, że zgodnie ze zmianą ustawy z</w:t>
      </w:r>
      <w:r w:rsidR="00F1221E">
        <w:t> </w:t>
      </w:r>
      <w:r>
        <w:t>dnia 3</w:t>
      </w:r>
      <w:r w:rsidR="00912D93">
        <w:t> </w:t>
      </w:r>
      <w:r>
        <w:t xml:space="preserve">lutego 1995 r. o ochronie gruntów rolnych i leśnych, wprowadzonej w ustawie </w:t>
      </w:r>
      <w:r w:rsidRPr="00944F87">
        <w:t>z dnia 7 lipca 2023 r. o zmianie ustawy o</w:t>
      </w:r>
      <w:r>
        <w:t> </w:t>
      </w:r>
      <w:r w:rsidRPr="00944F87">
        <w:t>planowaniu i zagospodarowaniu przestrzennym oraz niektórych innych ustaw (Dz.</w:t>
      </w:r>
      <w:r>
        <w:t xml:space="preserve"> </w:t>
      </w:r>
      <w:r w:rsidRPr="00944F87">
        <w:t xml:space="preserve">U. </w:t>
      </w:r>
      <w:r>
        <w:t xml:space="preserve">z 2023 r. </w:t>
      </w:r>
      <w:r w:rsidRPr="00944F87">
        <w:t>poz. 1688)</w:t>
      </w:r>
      <w:r>
        <w:t>, obszar</w:t>
      </w:r>
      <w:r w:rsidR="002A7675">
        <w:t>y</w:t>
      </w:r>
      <w:r>
        <w:t xml:space="preserve"> uzupełniania zabudowy wykorzystywan</w:t>
      </w:r>
      <w:r w:rsidR="002A7675">
        <w:t>e</w:t>
      </w:r>
      <w:r>
        <w:t xml:space="preserve"> będ</w:t>
      </w:r>
      <w:r w:rsidR="002A7675">
        <w:t>ą</w:t>
      </w:r>
      <w:r>
        <w:t xml:space="preserve"> w miejsce obszarów zwartej zabudowy do określania zasięgu obszarów</w:t>
      </w:r>
      <w:r w:rsidRPr="0033348E">
        <w:t xml:space="preserve"> </w:t>
      </w:r>
      <w:r>
        <w:t xml:space="preserve">użytków rolnych klas I–III wyłączonych spod szczególnych zasad ochrony gruntów rolnych. Taki zabieg zwiększy stabilność prawa, pozostawiając możliwość wprowadzenia korekt eliminujących wady oryginalnego rozwiązania. </w:t>
      </w:r>
    </w:p>
    <w:p w14:paraId="1CC8A649" w14:textId="437F1B41" w:rsidR="00903FDE" w:rsidRPr="0053355C" w:rsidRDefault="00C67DC2" w:rsidP="00944F87">
      <w:pPr>
        <w:spacing w:before="0" w:after="200"/>
      </w:pPr>
      <w:r>
        <w:t xml:space="preserve">W kroku opisanym w </w:t>
      </w:r>
      <w:r w:rsidR="00422EB6">
        <w:t>§ 1 w ust. 1</w:t>
      </w:r>
      <w:r w:rsidR="00422EB6" w:rsidRPr="00DC06E5">
        <w:t xml:space="preserve"> </w:t>
      </w:r>
      <w:r w:rsidR="00422EB6">
        <w:t xml:space="preserve">w </w:t>
      </w:r>
      <w:r>
        <w:t xml:space="preserve">pkt 3 wypełniane są </w:t>
      </w:r>
      <w:r w:rsidR="00944F87">
        <w:t>luki</w:t>
      </w:r>
      <w:r>
        <w:t xml:space="preserve"> </w:t>
      </w:r>
      <w:r w:rsidR="007E1FB0">
        <w:t xml:space="preserve">w całości otoczone granicami </w:t>
      </w:r>
      <w:r>
        <w:t>obszar</w:t>
      </w:r>
      <w:r w:rsidR="002A7675">
        <w:t>ów</w:t>
      </w:r>
      <w:r>
        <w:t xml:space="preserve"> powstał</w:t>
      </w:r>
      <w:r w:rsidR="002A7675">
        <w:t>ych</w:t>
      </w:r>
      <w:r>
        <w:t xml:space="preserve"> </w:t>
      </w:r>
      <w:r w:rsidR="00422EB6">
        <w:t>w </w:t>
      </w:r>
      <w:r>
        <w:t>poprzednim kroku</w:t>
      </w:r>
      <w:r w:rsidR="00841415">
        <w:t xml:space="preserve"> – wszystkie, </w:t>
      </w:r>
      <w:r>
        <w:t xml:space="preserve">których powierzchnia wynosi nie więcej niż </w:t>
      </w:r>
      <w:r w:rsidR="00DC06E5">
        <w:t>5 000 m²</w:t>
      </w:r>
      <w:r>
        <w:t xml:space="preserve">. </w:t>
      </w:r>
      <w:r w:rsidR="00944F87">
        <w:t xml:space="preserve">Dzięki temu rozwiązaniu niewielkie obszary z każdej strony otoczone zabudową, ale na tyle od niej odległe, że zostały wyłączone w wyniku wykonanych wcześniej analiz, zostaną zaliczone </w:t>
      </w:r>
      <w:r w:rsidR="00422EB6">
        <w:t>na</w:t>
      </w:r>
      <w:r w:rsidR="00944F87">
        <w:t xml:space="preserve"> poczet terenów, dla których zasadne jest </w:t>
      </w:r>
      <w:r w:rsidR="00903FDE">
        <w:t>uzupełnieni</w:t>
      </w:r>
      <w:r w:rsidR="007E1FB0">
        <w:t>e</w:t>
      </w:r>
      <w:r w:rsidR="00903FDE">
        <w:t xml:space="preserve"> </w:t>
      </w:r>
      <w:r w:rsidR="00944F87">
        <w:t>zabudowy. Nie ulega wątpliwości, że na terenach tych w takim samym stopniu za racjonalne można uznać ustalenie warunków dotyczących sytuowania nowej zabudowy jako kontynuację cech zabudowy znajdującej się w otoczeniu</w:t>
      </w:r>
      <w:r w:rsidR="00903FDE">
        <w:t>, a</w:t>
      </w:r>
      <w:r w:rsidR="00944F87">
        <w:t xml:space="preserve"> zapewnienie odpowiedniej infrastruktury technicznej, dostępu do drogi oraz innych usług w ramach infrastruktury społecznej będzie łatwiejsze organizacyjnie i dużo mniej kosztowne niż w ramach nowych terenów oderwanych od ukształtowanych struktur osadniczych. Jednocześnie wprowadzenie ograniczenia obszarowego ma na celu wyłączenie </w:t>
      </w:r>
      <w:r w:rsidR="00903FDE">
        <w:t xml:space="preserve">wypełnienia </w:t>
      </w:r>
      <w:r w:rsidR="00944F87">
        <w:t xml:space="preserve">luk w zabudowie, które pozostawiono w sposób celowy, np. terenów zieleni publicznej, wód, cmentarzy itp. </w:t>
      </w:r>
      <w:r w:rsidR="0053355C">
        <w:t>Jeśli jednak takie luki nie będą stanowiły obszarów cennych, wartych ochrony przed rozwojem zabudowy, w dalszym ciągu będą mogły zostać objęte obszar</w:t>
      </w:r>
      <w:r w:rsidR="002A7675">
        <w:t>em</w:t>
      </w:r>
      <w:r w:rsidR="0053355C">
        <w:t xml:space="preserve"> uzupełnienia zabudowy na późniejszym etapie (§</w:t>
      </w:r>
      <w:r w:rsidR="00F1221E">
        <w:t> </w:t>
      </w:r>
      <w:r w:rsidR="0053355C">
        <w:t>1</w:t>
      </w:r>
      <w:r w:rsidR="00F1221E">
        <w:t> </w:t>
      </w:r>
      <w:r w:rsidR="0053355C">
        <w:t>w</w:t>
      </w:r>
      <w:r w:rsidR="00F1221E">
        <w:t> </w:t>
      </w:r>
      <w:r w:rsidR="0053355C">
        <w:t>ust. 4). Analogicznie, jeżeli automatycznym wypełnieniem zostanie objęty obszar o</w:t>
      </w:r>
      <w:r w:rsidR="00F1221E">
        <w:t> </w:t>
      </w:r>
      <w:r w:rsidR="0053355C">
        <w:t>powierzchni do 5000 m</w:t>
      </w:r>
      <w:r w:rsidR="0053355C">
        <w:rPr>
          <w:vertAlign w:val="superscript"/>
        </w:rPr>
        <w:t>2</w:t>
      </w:r>
      <w:r w:rsidR="0053355C">
        <w:t>, który jednak powinien zostać wyłączony z możliwości wydawania decyzji WZ, także w takim przypadku gminy będą mogły dokonać stosownych korekt polegających na ograniczeniu zasięgu obszar</w:t>
      </w:r>
      <w:r w:rsidR="002A7675">
        <w:t>ów</w:t>
      </w:r>
      <w:r w:rsidR="0053355C">
        <w:t xml:space="preserve"> uzupełnienia zabudowy (§ 1 w ust. 3).</w:t>
      </w:r>
    </w:p>
    <w:p w14:paraId="62405298" w14:textId="0464FED3" w:rsidR="00944F87" w:rsidRDefault="00944F87" w:rsidP="00944F87">
      <w:pPr>
        <w:spacing w:before="0" w:after="200"/>
      </w:pPr>
      <w:r>
        <w:t xml:space="preserve">Efekt wykonania czynności opisanej w </w:t>
      </w:r>
      <w:r w:rsidR="00422EB6">
        <w:t>§ 1 w ust. 1</w:t>
      </w:r>
      <w:r w:rsidR="00422EB6" w:rsidRPr="00DC06E5">
        <w:t xml:space="preserve"> </w:t>
      </w:r>
      <w:r w:rsidR="00422EB6">
        <w:t xml:space="preserve">w </w:t>
      </w:r>
      <w:r>
        <w:t>pkt 3 na przykładowy</w:t>
      </w:r>
      <w:r w:rsidR="002A7675">
        <w:t>ch</w:t>
      </w:r>
      <w:r>
        <w:t xml:space="preserve"> obszar</w:t>
      </w:r>
      <w:r w:rsidR="002A7675">
        <w:t>ach</w:t>
      </w:r>
      <w:r>
        <w:t xml:space="preserve"> testowy</w:t>
      </w:r>
      <w:r w:rsidR="002A7675">
        <w:t>ch</w:t>
      </w:r>
      <w:r>
        <w:t xml:space="preserve"> prezentuje rys. 2</w:t>
      </w:r>
      <w:r w:rsidR="00920AA6">
        <w:t>.</w:t>
      </w:r>
    </w:p>
    <w:p w14:paraId="5F1809E9" w14:textId="4DA2B05E" w:rsidR="00E92E41" w:rsidRDefault="00F1221E" w:rsidP="00793A7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554DA97" wp14:editId="2B66B893">
            <wp:extent cx="5753100" cy="3952875"/>
            <wp:effectExtent l="0" t="0" r="0" b="9525"/>
            <wp:docPr id="1344793494" name="Obraz 1" descr="Obraz zawierający mapa, tekst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93494" name="Obraz 1" descr="Obraz zawierający mapa, tekst, atlas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3" b="1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244">
        <w:rPr>
          <w:noProof/>
        </w:rPr>
        <w:drawing>
          <wp:inline distT="0" distB="0" distL="0" distR="0" wp14:anchorId="13D08FD5" wp14:editId="76F4E0F3">
            <wp:extent cx="5753100" cy="3952875"/>
            <wp:effectExtent l="0" t="0" r="0" b="9525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3" b="1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A3EDB" w14:textId="77777777" w:rsidR="00753F5E" w:rsidRDefault="00753F5E" w:rsidP="001735A1">
      <w:pPr>
        <w:spacing w:before="0"/>
        <w:ind w:firstLine="709"/>
        <w:rPr>
          <w:sz w:val="20"/>
          <w:szCs w:val="20"/>
        </w:rPr>
      </w:pPr>
    </w:p>
    <w:p w14:paraId="38412116" w14:textId="3B4699E2" w:rsidR="001735A1" w:rsidRPr="00753F5E" w:rsidRDefault="001735A1" w:rsidP="001735A1">
      <w:pPr>
        <w:spacing w:before="0"/>
        <w:ind w:firstLine="709"/>
        <w:rPr>
          <w:sz w:val="20"/>
          <w:szCs w:val="20"/>
        </w:rPr>
      </w:pPr>
      <w:r w:rsidRPr="00753F5E">
        <w:rPr>
          <w:sz w:val="20"/>
          <w:szCs w:val="20"/>
        </w:rPr>
        <w:t xml:space="preserve">Rys. 2. Przykład wyniku wykonania czynności opisanych w § </w:t>
      </w:r>
      <w:r w:rsidR="00422EB6" w:rsidRPr="00753F5E">
        <w:rPr>
          <w:sz w:val="20"/>
          <w:szCs w:val="20"/>
        </w:rPr>
        <w:t>1</w:t>
      </w:r>
      <w:r w:rsidRPr="00753F5E">
        <w:rPr>
          <w:sz w:val="20"/>
          <w:szCs w:val="20"/>
        </w:rPr>
        <w:t xml:space="preserve"> ust. 1 pkt 3 </w:t>
      </w:r>
      <w:r w:rsidR="004F72A4" w:rsidRPr="00753F5E">
        <w:rPr>
          <w:sz w:val="20"/>
          <w:szCs w:val="20"/>
        </w:rPr>
        <w:t xml:space="preserve">projektu </w:t>
      </w:r>
      <w:r w:rsidRPr="00753F5E">
        <w:rPr>
          <w:sz w:val="20"/>
          <w:szCs w:val="20"/>
        </w:rPr>
        <w:t>rozporządzenia</w:t>
      </w:r>
      <w:r w:rsidR="00920AA6" w:rsidRPr="00753F5E">
        <w:rPr>
          <w:sz w:val="20"/>
          <w:szCs w:val="20"/>
        </w:rPr>
        <w:t>.</w:t>
      </w:r>
    </w:p>
    <w:p w14:paraId="0A0DD654" w14:textId="77777777" w:rsidR="00920AA6" w:rsidRDefault="00920AA6" w:rsidP="001735A1">
      <w:pPr>
        <w:spacing w:before="0"/>
        <w:ind w:firstLine="709"/>
      </w:pPr>
    </w:p>
    <w:p w14:paraId="1AFDE0CD" w14:textId="555C50F6" w:rsidR="004F72A4" w:rsidRDefault="00944F87" w:rsidP="00920AA6">
      <w:pPr>
        <w:spacing w:before="0"/>
        <w:ind w:firstLine="709"/>
      </w:pPr>
      <w:r>
        <w:t xml:space="preserve">W </w:t>
      </w:r>
      <w:r w:rsidR="00422EB6">
        <w:t>§ 1 w ust. 1</w:t>
      </w:r>
      <w:r w:rsidR="00422EB6" w:rsidRPr="00DC06E5">
        <w:t xml:space="preserve"> </w:t>
      </w:r>
      <w:r w:rsidR="00422EB6">
        <w:t xml:space="preserve">w </w:t>
      </w:r>
      <w:r>
        <w:t>pkt 4 i 5 opisano czynności mające na celu ograniczenie obszar</w:t>
      </w:r>
      <w:r w:rsidR="002A7675">
        <w:t>ów</w:t>
      </w:r>
      <w:r>
        <w:t xml:space="preserve"> </w:t>
      </w:r>
      <w:r w:rsidR="00F8421A">
        <w:t xml:space="preserve">uzupełnienia </w:t>
      </w:r>
      <w:r>
        <w:t xml:space="preserve">zabudowy o pas położony między budynkami poddawanymi analizie a terenami </w:t>
      </w:r>
      <w:r>
        <w:lastRenderedPageBreak/>
        <w:t xml:space="preserve">otwartymi, co wskazano jako jedną z wad dotychczasowego rozwiązania zastosowanego </w:t>
      </w:r>
      <w:r w:rsidR="00422EB6">
        <w:t>w </w:t>
      </w:r>
      <w:r>
        <w:t xml:space="preserve">ustawie z dnia 3 lutego 1995 r. o ochronie gruntów rolnych i leśnych. Rozwój zabudowy </w:t>
      </w:r>
      <w:r w:rsidR="00422EB6">
        <w:t>w </w:t>
      </w:r>
      <w:r>
        <w:t xml:space="preserve">tymże pasie nie powinien być uznawany za uzupełnianie, a </w:t>
      </w:r>
      <w:r w:rsidR="00422EB6">
        <w:t>za</w:t>
      </w:r>
      <w:r>
        <w:t xml:space="preserve"> ekspansję tejże zabudowy na tereny dotychczas niezabudowane, czyli tzw. </w:t>
      </w:r>
      <w:proofErr w:type="spellStart"/>
      <w:r w:rsidRPr="00E43D34">
        <w:rPr>
          <w:i/>
        </w:rPr>
        <w:t>greenfield</w:t>
      </w:r>
      <w:proofErr w:type="spellEnd"/>
      <w:r>
        <w:t xml:space="preserve">. Pozostawienie </w:t>
      </w:r>
      <w:r w:rsidR="00F1221E">
        <w:t xml:space="preserve">tak szerokiego pasa jak dotychczas (50 m) </w:t>
      </w:r>
      <w:r>
        <w:t>może skutkować utworzeniem kolejnego pasa zabudowy powstającego w</w:t>
      </w:r>
      <w:r w:rsidR="00000EBF">
        <w:t> </w:t>
      </w:r>
      <w:r>
        <w:t>sposób spontaniczny, czyli bez kompleksowego i przemyślanego sposobu zapewnienia dostępu do dróg oraz sieci infrastruktury technicznej. Dopuszczenie takiej sytuacji skutkować będzie istotnym utrudnieniem lub całkowitym uniemożliwieniem uregulowania tych kwestii w</w:t>
      </w:r>
      <w:r w:rsidR="00000EBF">
        <w:t> </w:t>
      </w:r>
      <w:r>
        <w:t xml:space="preserve">przyszłości </w:t>
      </w:r>
      <w:r w:rsidR="00422EB6">
        <w:t>i </w:t>
      </w:r>
      <w:r>
        <w:t xml:space="preserve">dalszym narastaniem problemów przestrzennych. </w:t>
      </w:r>
      <w:r w:rsidR="007E1FB0">
        <w:t xml:space="preserve">Korzystając z narzędzi </w:t>
      </w:r>
      <w:proofErr w:type="spellStart"/>
      <w:r w:rsidR="007E1FB0">
        <w:t>geoinformatycznych</w:t>
      </w:r>
      <w:proofErr w:type="spellEnd"/>
      <w:r w:rsidR="007E1FB0">
        <w:t xml:space="preserve"> czynno</w:t>
      </w:r>
      <w:r w:rsidR="00F1221E">
        <w:t>ści, o których mowa w pkt 4 i 5</w:t>
      </w:r>
      <w:r w:rsidR="007E1FB0">
        <w:t xml:space="preserve"> można wykonać </w:t>
      </w:r>
      <w:r w:rsidR="00F1221E">
        <w:t xml:space="preserve">jednym działaniem, tzn. </w:t>
      </w:r>
      <w:r w:rsidR="007E1FB0">
        <w:t xml:space="preserve">poprzez wyznaczenie buforu </w:t>
      </w:r>
      <w:r w:rsidR="002B4EB8">
        <w:t>o negatywnej wartości 40 m (do wewnątrz poligonu). Rezultatem będ</w:t>
      </w:r>
      <w:r w:rsidR="002A7675">
        <w:t>ą</w:t>
      </w:r>
      <w:r w:rsidR="002B4EB8">
        <w:t xml:space="preserve"> obszar</w:t>
      </w:r>
      <w:r w:rsidR="002A7675">
        <w:t>y</w:t>
      </w:r>
      <w:r w:rsidR="002B4EB8">
        <w:t>, w który</w:t>
      </w:r>
      <w:r w:rsidR="002A7675">
        <w:t>ch</w:t>
      </w:r>
      <w:r w:rsidR="002B4EB8">
        <w:t xml:space="preserve"> wypełnione zostały przestrzenie między budynkami oddalonymi między sobą o nie więcej niż 100 m, a</w:t>
      </w:r>
      <w:r w:rsidR="00F1221E">
        <w:t> </w:t>
      </w:r>
      <w:r w:rsidR="002B4EB8">
        <w:t>jednocześnie po zewnętrznej stronie budynków w zgrupowaniu (od strony terenów otwartych) pas włączony do obszar</w:t>
      </w:r>
      <w:r w:rsidR="002A7675">
        <w:t>ów</w:t>
      </w:r>
      <w:r w:rsidR="002B4EB8">
        <w:t xml:space="preserve"> uzupełnienia zabudowy będzie miał szerokość 10 m od obrysu budynków. </w:t>
      </w:r>
      <w:r w:rsidR="00F1221E">
        <w:t>Taka wartość pozwoli na dostawienie kolejnego budynku na tej samej działce, także od strony „zewnętrznej” zgrupowania budynków, ale będzie wartością niewystarczającą by w sposób funkcjonalny usytuować budynek na sąsiadującej działce.</w:t>
      </w:r>
    </w:p>
    <w:p w14:paraId="18308E8F" w14:textId="3B9F397E" w:rsidR="00944F87" w:rsidRDefault="00944F87" w:rsidP="00920AA6">
      <w:pPr>
        <w:spacing w:before="0"/>
        <w:ind w:firstLine="709"/>
      </w:pPr>
      <w:r>
        <w:t xml:space="preserve">Efekt wykonania </w:t>
      </w:r>
      <w:r w:rsidR="002B4EB8">
        <w:t xml:space="preserve">tej </w:t>
      </w:r>
      <w:r>
        <w:t>czynności na przykładowy</w:t>
      </w:r>
      <w:r w:rsidR="002A7675">
        <w:t>ch</w:t>
      </w:r>
      <w:r>
        <w:t xml:space="preserve"> obszar</w:t>
      </w:r>
      <w:r w:rsidR="002A7675">
        <w:t>ach</w:t>
      </w:r>
      <w:r>
        <w:t xml:space="preserve"> testowy</w:t>
      </w:r>
      <w:r w:rsidR="002A7675">
        <w:t>ch</w:t>
      </w:r>
      <w:r>
        <w:t xml:space="preserve"> prezentuje rys.</w:t>
      </w:r>
      <w:r w:rsidR="00000EBF">
        <w:t> </w:t>
      </w:r>
      <w:r>
        <w:t>3</w:t>
      </w:r>
      <w:r w:rsidR="00920AA6">
        <w:t>.</w:t>
      </w:r>
    </w:p>
    <w:p w14:paraId="790EBE20" w14:textId="77777777" w:rsidR="00F1221E" w:rsidRDefault="00F1221E">
      <w:pPr>
        <w:ind w:firstLine="0"/>
        <w:jc w:val="center"/>
      </w:pPr>
      <w:r>
        <w:rPr>
          <w:noProof/>
        </w:rPr>
        <w:drawing>
          <wp:inline distT="0" distB="0" distL="0" distR="0" wp14:anchorId="069F7D98" wp14:editId="2FA1D4C9">
            <wp:extent cx="5753100" cy="3971925"/>
            <wp:effectExtent l="0" t="0" r="0" b="9525"/>
            <wp:docPr id="1873231042" name="Obraz 2" descr="Obraz zawierający mapa, tekst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231042" name="Obraz 2" descr="Obraz zawierający mapa, tekst, atlas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1" b="1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5FAE4" w14:textId="5BC03DC6" w:rsidR="00E92E41" w:rsidRDefault="00AF6244" w:rsidP="00793A7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32AACFB" wp14:editId="0F637E67">
            <wp:extent cx="5753100" cy="3971925"/>
            <wp:effectExtent l="0" t="0" r="0" b="9525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1" b="1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A8F3B" w14:textId="77777777" w:rsidR="00F1221E" w:rsidRDefault="00F1221E" w:rsidP="001735A1">
      <w:pPr>
        <w:spacing w:before="0"/>
        <w:ind w:firstLine="709"/>
      </w:pPr>
    </w:p>
    <w:p w14:paraId="6DA6F22A" w14:textId="502FB0B2" w:rsidR="001735A1" w:rsidRPr="00753F5E" w:rsidRDefault="001735A1" w:rsidP="001735A1">
      <w:pPr>
        <w:spacing w:before="0"/>
        <w:ind w:firstLine="709"/>
        <w:rPr>
          <w:sz w:val="20"/>
          <w:szCs w:val="20"/>
        </w:rPr>
      </w:pPr>
      <w:r w:rsidRPr="00753F5E">
        <w:rPr>
          <w:sz w:val="20"/>
          <w:szCs w:val="20"/>
        </w:rPr>
        <w:t xml:space="preserve">Rys. 3. Przykład wyniku wykonania czynności opisanych w § </w:t>
      </w:r>
      <w:r w:rsidR="00E17665" w:rsidRPr="00753F5E">
        <w:rPr>
          <w:sz w:val="20"/>
          <w:szCs w:val="20"/>
        </w:rPr>
        <w:t>1</w:t>
      </w:r>
      <w:r w:rsidRPr="00753F5E">
        <w:rPr>
          <w:sz w:val="20"/>
          <w:szCs w:val="20"/>
        </w:rPr>
        <w:t xml:space="preserve"> ust. 1 pkt 4</w:t>
      </w:r>
      <w:r w:rsidR="0063311F" w:rsidRPr="00753F5E">
        <w:rPr>
          <w:sz w:val="20"/>
          <w:szCs w:val="20"/>
        </w:rPr>
        <w:t xml:space="preserve"> i 5</w:t>
      </w:r>
      <w:r w:rsidRPr="00753F5E">
        <w:rPr>
          <w:sz w:val="20"/>
          <w:szCs w:val="20"/>
        </w:rPr>
        <w:t xml:space="preserve"> </w:t>
      </w:r>
      <w:r w:rsidR="004F72A4" w:rsidRPr="00753F5E">
        <w:rPr>
          <w:sz w:val="20"/>
          <w:szCs w:val="20"/>
        </w:rPr>
        <w:t xml:space="preserve">projektu </w:t>
      </w:r>
      <w:r w:rsidRPr="00753F5E">
        <w:rPr>
          <w:sz w:val="20"/>
          <w:szCs w:val="20"/>
        </w:rPr>
        <w:t>rozporządzenia</w:t>
      </w:r>
      <w:r w:rsidR="00920AA6" w:rsidRPr="00753F5E">
        <w:rPr>
          <w:sz w:val="20"/>
          <w:szCs w:val="20"/>
        </w:rPr>
        <w:t>.</w:t>
      </w:r>
    </w:p>
    <w:p w14:paraId="639497DE" w14:textId="77777777" w:rsidR="00920AA6" w:rsidRDefault="00920AA6" w:rsidP="001735A1">
      <w:pPr>
        <w:spacing w:before="0"/>
        <w:ind w:firstLine="709"/>
      </w:pPr>
    </w:p>
    <w:p w14:paraId="512112FF" w14:textId="2372FD61" w:rsidR="00944F87" w:rsidRDefault="00944F87" w:rsidP="00920AA6">
      <w:pPr>
        <w:spacing w:before="0"/>
        <w:ind w:firstLine="709"/>
      </w:pPr>
      <w:r>
        <w:t xml:space="preserve">Przepis projektowanego </w:t>
      </w:r>
      <w:r w:rsidR="00E17665">
        <w:t xml:space="preserve">§ 1 </w:t>
      </w:r>
      <w:r>
        <w:t xml:space="preserve">ust. </w:t>
      </w:r>
      <w:r w:rsidR="004F72A4">
        <w:t xml:space="preserve">4 </w:t>
      </w:r>
      <w:r>
        <w:t>upoważnia do pomniejszenia obszar</w:t>
      </w:r>
      <w:r w:rsidR="002A7675">
        <w:t>ów</w:t>
      </w:r>
      <w:r>
        <w:t xml:space="preserve"> powstał</w:t>
      </w:r>
      <w:r w:rsidR="002A7675">
        <w:t>ych</w:t>
      </w:r>
      <w:r>
        <w:t xml:space="preserve"> w procesie opisanej powyżej analizy przestrzennej o obszary, które nie powinny podlegać uzupełnieniu zabudowy na podstawie decyzji o warunkach zabudowy</w:t>
      </w:r>
      <w:r w:rsidR="002B4EB8">
        <w:t xml:space="preserve"> z uwagi na lokalne uwarunkowania lub ustalenia podjęte przy określaniu polityki przestrzennej gminy</w:t>
      </w:r>
      <w:r>
        <w:t xml:space="preserve">. Takimi przesłankami mogą być np. uwarunkowania związane z ustaloną lub dopiero przewidywaną lokalizacją inwestycji celu publicznego, szczególnie w oparciu o obowiązujące specustawy. </w:t>
      </w:r>
      <w:r w:rsidR="00A20D92">
        <w:t xml:space="preserve">Dotyczy to również zrealizowanych już inwestycji, takich jak drogi, linie kolejowe czy lotniska, których funkcjonowanie może być zagrożone przez powstawanie w sąsiedztwie zabudowy. </w:t>
      </w:r>
      <w:r>
        <w:t xml:space="preserve">Może to dotyczyć także sytuacji, gdy z uwagi na określone uwarunkowania, np. sąsiedztwo zabytków lub potrzeby związane z ochroną widoku na tenże zabytek, kontynuacja zabudowy na zasadach dobrego sąsiedztwa będzie stała na przeszkodzie zadaniom ochronnym, a dalsze zagospodarowanie powinno być kształtowane w oparciu o plany miejscowe. </w:t>
      </w:r>
      <w:r w:rsidR="00D275EE">
        <w:t xml:space="preserve">Jeszcze inną </w:t>
      </w:r>
      <w:r>
        <w:t xml:space="preserve">sytuacją typową, gdy zasadne może okazać się ograniczenie obszaru uzupełnienia zabudowy, będą sytuacje, gdy będzie on obejmował obszary podlegające ograniczeniom w zabudowie, np. w postaci stref szczególnego zagrożenia powodzią lub terenów zagrożonych ruchami masowymi ziemi. </w:t>
      </w:r>
      <w:r w:rsidR="00257D99">
        <w:t>Ograniczenie obszaru wynikać może również z polityki przestrzennej prowadzonej przez gminę</w:t>
      </w:r>
      <w:r w:rsidR="008C2F64">
        <w:t xml:space="preserve"> w zakresie terenów predysponowanych do utrzymania istniejącej lub lokalizacji nowej zabudowy.</w:t>
      </w:r>
    </w:p>
    <w:p w14:paraId="271BD123" w14:textId="596873D0" w:rsidR="009F1F86" w:rsidRPr="0019197B" w:rsidRDefault="00944F87" w:rsidP="00944F87">
      <w:r>
        <w:t xml:space="preserve">W projektowanym </w:t>
      </w:r>
      <w:r w:rsidR="00E17665">
        <w:t xml:space="preserve">§ 1 </w:t>
      </w:r>
      <w:r>
        <w:t xml:space="preserve">ust. </w:t>
      </w:r>
      <w:r w:rsidR="009F1F86">
        <w:t xml:space="preserve">5 </w:t>
      </w:r>
      <w:r>
        <w:t>zawarto regulację, dzięki której obszar</w:t>
      </w:r>
      <w:r w:rsidR="002A7675">
        <w:t>y, które</w:t>
      </w:r>
      <w:r>
        <w:t xml:space="preserve"> </w:t>
      </w:r>
      <w:r w:rsidR="002A7675">
        <w:t xml:space="preserve">powstały </w:t>
      </w:r>
      <w:r>
        <w:t>przez mechaniczne wykonanie jasno sparametryzowanych czynności</w:t>
      </w:r>
      <w:r w:rsidR="002A7675">
        <w:t>,</w:t>
      </w:r>
      <w:r>
        <w:t xml:space="preserve"> gminy będą mogły </w:t>
      </w:r>
      <w:r w:rsidR="00E17665">
        <w:t>po</w:t>
      </w:r>
      <w:r>
        <w:t>szerzyć</w:t>
      </w:r>
      <w:r w:rsidR="009F1F86">
        <w:t>, uwzględniając lokalne uwarunkowania oraz politykę przestrzenną gminy,</w:t>
      </w:r>
      <w:r>
        <w:t xml:space="preserve"> o</w:t>
      </w:r>
      <w:r w:rsidR="00920AA6">
        <w:t> </w:t>
      </w:r>
      <w:r>
        <w:t xml:space="preserve">obszar </w:t>
      </w:r>
      <w:r>
        <w:lastRenderedPageBreak/>
        <w:t>o</w:t>
      </w:r>
      <w:r w:rsidR="009F1F86">
        <w:t> </w:t>
      </w:r>
      <w:r>
        <w:t xml:space="preserve">powierzchni nie większej, niż to wynika z zastosowanego wzoru. </w:t>
      </w:r>
      <w:r w:rsidR="009F1F86">
        <w:t>Zgodnie z nim</w:t>
      </w:r>
      <w:r w:rsidR="00735BFA">
        <w:t xml:space="preserve"> powiększenie nie może przekraczać 25% różnicy </w:t>
      </w:r>
      <w:r w:rsidR="00CE44B2">
        <w:t>między powierzchnią obszar</w:t>
      </w:r>
      <w:r w:rsidR="002A7675">
        <w:t>ów</w:t>
      </w:r>
      <w:r w:rsidR="00CE44B2">
        <w:t xml:space="preserve"> wyznaczon</w:t>
      </w:r>
      <w:r w:rsidR="002A7675">
        <w:t>ych</w:t>
      </w:r>
      <w:r w:rsidR="00CE44B2">
        <w:t xml:space="preserve"> zgodnie z działaniami z § 1 ust. 1 pkt 1–3 a</w:t>
      </w:r>
      <w:r w:rsidR="00735BFA">
        <w:t xml:space="preserve"> </w:t>
      </w:r>
      <w:r w:rsidR="00CE44B2">
        <w:t>powierzchnią wynikową działań określonych w § 1 ust. 1.</w:t>
      </w:r>
      <w:r w:rsidR="0019197B">
        <w:t xml:space="preserve"> Będzie to więc maksymalnie ¼ powierzchni </w:t>
      </w:r>
      <w:r w:rsidR="002A7675">
        <w:t xml:space="preserve">całego </w:t>
      </w:r>
      <w:r w:rsidR="0019197B">
        <w:t xml:space="preserve">zewnętrznego pasa o szerokości 40 m, który wycinany jest </w:t>
      </w:r>
      <w:r w:rsidR="002A7675">
        <w:t xml:space="preserve">we wszystkich obszarach uzupełnienia zabudowy </w:t>
      </w:r>
      <w:r w:rsidR="0019197B">
        <w:t>w kroku opisanym w § 1 ust. 1 pkt 5.</w:t>
      </w:r>
    </w:p>
    <w:p w14:paraId="05A78D7F" w14:textId="60B726DF" w:rsidR="001A6E1D" w:rsidRDefault="0019197B" w:rsidP="00944F87">
      <w:r>
        <w:t>Projektowany § 1 ust. 6 zawiera doprecyzowanie, jakie warunki należy spełnić, jeśli gmina w ramach przysługującego jej limitu poszerzenia chciałaby objąć obszar</w:t>
      </w:r>
      <w:r w:rsidR="00180FA2">
        <w:t>ami</w:t>
      </w:r>
      <w:r>
        <w:t xml:space="preserve"> uzupełnienia zabudowy użytki rolne klas I–III. </w:t>
      </w:r>
      <w:r w:rsidR="001A6E1D">
        <w:t>Taka możliwość będzie o</w:t>
      </w:r>
      <w:r>
        <w:t>granicz</w:t>
      </w:r>
      <w:r w:rsidR="001A6E1D">
        <w:t>ona wyłącznie do tej części tych użytków, które jednocześnie znajdą się w zasięgu:</w:t>
      </w:r>
    </w:p>
    <w:p w14:paraId="12688675" w14:textId="0F9D07AD" w:rsidR="001A6E1D" w:rsidRDefault="001A6E1D" w:rsidP="00793A71">
      <w:pPr>
        <w:pStyle w:val="Akapitzlist"/>
        <w:numPr>
          <w:ilvl w:val="0"/>
          <w:numId w:val="11"/>
        </w:numPr>
      </w:pPr>
      <w:r>
        <w:t>obszar</w:t>
      </w:r>
      <w:r w:rsidR="00180FA2">
        <w:t>ów</w:t>
      </w:r>
      <w:r>
        <w:t xml:space="preserve"> wyznaczon</w:t>
      </w:r>
      <w:r w:rsidR="00180FA2">
        <w:t>ych</w:t>
      </w:r>
      <w:r>
        <w:t xml:space="preserve"> przez bufor poprowadzony w odległości 50 m od zgrupowań min. 5 budynków podlegających analizie oraz po wypełnieniu luk w</w:t>
      </w:r>
      <w:r w:rsidR="00000EBF">
        <w:t> </w:t>
      </w:r>
      <w:r>
        <w:t>tym obszarze o powierzchni nie większej niż 5000 m</w:t>
      </w:r>
      <w:r w:rsidRPr="001A6E1D">
        <w:rPr>
          <w:vertAlign w:val="superscript"/>
        </w:rPr>
        <w:t>2</w:t>
      </w:r>
      <w:r>
        <w:t>,</w:t>
      </w:r>
    </w:p>
    <w:p w14:paraId="21DE8191" w14:textId="77777777" w:rsidR="001A6E1D" w:rsidRDefault="001A6E1D" w:rsidP="00793A71">
      <w:pPr>
        <w:pStyle w:val="Akapitzlist"/>
        <w:numPr>
          <w:ilvl w:val="0"/>
          <w:numId w:val="11"/>
        </w:numPr>
      </w:pPr>
      <w:r>
        <w:t xml:space="preserve">50 m od granicy pasa drogowego drogi publicznej, z wyłączeniem dróg ekspresowych i autostrad. </w:t>
      </w:r>
    </w:p>
    <w:p w14:paraId="64EFFF89" w14:textId="6E8F60F6" w:rsidR="00944F87" w:rsidRDefault="001A6E1D" w:rsidP="00C22DEF">
      <w:r>
        <w:t>P</w:t>
      </w:r>
      <w:r w:rsidR="00C22DEF">
        <w:t>owyższy przepis zastosowanie znajdzie poza miastami, czyli na obszarach, na których występuje instytucjonalna ochrona gruntów klas I-III. Jako że użytki rolne klas I-III w</w:t>
      </w:r>
      <w:r w:rsidR="00000EBF">
        <w:t> </w:t>
      </w:r>
      <w:r w:rsidR="00C22DEF">
        <w:t xml:space="preserve">granicach miast nie wymagają uzyskania zgody na zmianę przeznaczenia, nie zostały objęte analogicznym ograniczeniem. Regulacja ta </w:t>
      </w:r>
      <w:r>
        <w:t>wprost nawiązuje do dotychczasowej analogicznej zasady ujętej w przepisach o ochronie</w:t>
      </w:r>
      <w:r w:rsidR="0019197B">
        <w:t xml:space="preserve"> rolnych i leśnych</w:t>
      </w:r>
      <w:r>
        <w:t xml:space="preserve">, która pozwalała na wydawanie decyzji o warunkach zabudowy na obszarach, które m.in. spełniały warunek odległości od drogi nie większej niż 50 m. </w:t>
      </w:r>
      <w:r w:rsidR="00C22DEF">
        <w:t xml:space="preserve">Ma to na </w:t>
      </w:r>
      <w:r>
        <w:t>celu ograniczenie</w:t>
      </w:r>
      <w:r w:rsidR="0021133D">
        <w:t xml:space="preserve"> możliwości</w:t>
      </w:r>
      <w:r w:rsidR="0019197B">
        <w:t xml:space="preserve"> zabudowy w głębi zespołów gruntów dobrych klas.</w:t>
      </w:r>
    </w:p>
    <w:p w14:paraId="1B99F896" w14:textId="035FAFE3" w:rsidR="00CB6A25" w:rsidRDefault="00944F87" w:rsidP="00944F87">
      <w:r>
        <w:t>Do ostatecznej delimitacji granicy obszar</w:t>
      </w:r>
      <w:r w:rsidR="00180FA2">
        <w:t>ów</w:t>
      </w:r>
      <w:r w:rsidR="0021133D">
        <w:t xml:space="preserve"> uzupełnienia zabudowy</w:t>
      </w:r>
      <w:r>
        <w:t xml:space="preserve"> powinny być również brane dodatkowe okoliczności wynikające z uregulowań zewnętrznych lub samego kierunku polityki przestrzennej, które w najlepszym stopniu potrafi zidentyfikować właśnie gmina. Potwierdza to zasadność pozostawienia jasno określonego pola do większej swobody dla gmin w dopasowaniu końcowego kształtu granicy </w:t>
      </w:r>
      <w:r w:rsidR="00180FA2">
        <w:t xml:space="preserve">tych </w:t>
      </w:r>
      <w:r>
        <w:t>obszar</w:t>
      </w:r>
      <w:r w:rsidR="00180FA2">
        <w:t>ów</w:t>
      </w:r>
      <w:r>
        <w:t xml:space="preserve"> do zidentyfikowanych potrzeb i możliwości rozwojowych. </w:t>
      </w:r>
    </w:p>
    <w:p w14:paraId="29901EC4" w14:textId="27478C6A" w:rsidR="00944F87" w:rsidRDefault="00944F87" w:rsidP="00944F87">
      <w:r>
        <w:t xml:space="preserve">Efekt wykonania powyższych czynności na </w:t>
      </w:r>
      <w:r w:rsidR="00E25ABF">
        <w:t>przykładzie obrzeży małego miasta z</w:t>
      </w:r>
      <w:r w:rsidR="00000EBF">
        <w:t> </w:t>
      </w:r>
      <w:r w:rsidR="00E25ABF">
        <w:t>rozwijającą się zabudową jednorodzinną pokazano na</w:t>
      </w:r>
      <w:r>
        <w:t xml:space="preserve"> rys. 4</w:t>
      </w:r>
      <w:r w:rsidR="00CB6A25">
        <w:t xml:space="preserve">. Należy jednak zauważyć, że </w:t>
      </w:r>
      <w:r w:rsidR="00E25ABF">
        <w:t xml:space="preserve">jest to tylko jedno z wielu rozwiązań, jaki </w:t>
      </w:r>
      <w:r>
        <w:t xml:space="preserve">ostateczny kształt granic </w:t>
      </w:r>
      <w:r w:rsidR="00E25ABF">
        <w:t>obszar</w:t>
      </w:r>
      <w:r w:rsidR="00180FA2">
        <w:t>ów</w:t>
      </w:r>
      <w:r w:rsidR="00E25ABF">
        <w:t xml:space="preserve"> uzupełnienia zabudowy wyznaczy projektant planu. Decydujące znaczenie będzie miało to, </w:t>
      </w:r>
      <w:r w:rsidR="00CB6A25">
        <w:t>w jaki sposób uwzględnione zostaną lokalne uwarunkowania i polityka przestrzenna gminy przy ograniczaniu i rozszerzaniu obszar</w:t>
      </w:r>
      <w:r w:rsidR="00180FA2">
        <w:t>ów</w:t>
      </w:r>
      <w:r w:rsidR="00CB6A25">
        <w:t xml:space="preserve"> uzupełnienia zabudowy.</w:t>
      </w:r>
      <w:r>
        <w:t xml:space="preserve"> </w:t>
      </w:r>
      <w:r w:rsidR="00E25ABF">
        <w:t>Na pokazanym przykładzie, co do zasady dociągnięto granice obszar</w:t>
      </w:r>
      <w:r w:rsidR="00180FA2">
        <w:t>ów</w:t>
      </w:r>
      <w:r w:rsidR="00E25ABF">
        <w:t xml:space="preserve"> do granic działek, które </w:t>
      </w:r>
      <w:r w:rsidR="00180FA2">
        <w:t>się z tymi obszarami przecinały,</w:t>
      </w:r>
      <w:r w:rsidR="00E25ABF">
        <w:t xml:space="preserve"> ale dokonano istotnego ograniczenia w zakresie, w jakim obszar</w:t>
      </w:r>
      <w:r w:rsidR="00180FA2">
        <w:t>y</w:t>
      </w:r>
      <w:r w:rsidR="00E25ABF">
        <w:t xml:space="preserve"> uzupełnienia zabudowy pokrywa</w:t>
      </w:r>
      <w:r w:rsidR="00180FA2">
        <w:t>ły</w:t>
      </w:r>
      <w:r w:rsidR="00E25ABF">
        <w:t xml:space="preserve"> się z obszarem szczególnego zagrożenia powodzią oraz pojedynczymi budynkami, które objęte zostały wynikowym</w:t>
      </w:r>
      <w:r w:rsidR="00180FA2">
        <w:t>i</w:t>
      </w:r>
      <w:r w:rsidR="00E25ABF">
        <w:t xml:space="preserve"> obszar</w:t>
      </w:r>
      <w:r w:rsidR="00180FA2">
        <w:t>a</w:t>
      </w:r>
      <w:r w:rsidR="00E25ABF">
        <w:t>m</w:t>
      </w:r>
      <w:r w:rsidR="00180FA2">
        <w:t>i</w:t>
      </w:r>
      <w:r w:rsidR="00E25ABF">
        <w:t xml:space="preserve">. </w:t>
      </w:r>
    </w:p>
    <w:p w14:paraId="6E3C2805" w14:textId="620D1083" w:rsidR="00E92E41" w:rsidRDefault="00115B73" w:rsidP="00793A71">
      <w:pPr>
        <w:ind w:firstLine="0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185ED288" wp14:editId="32199391">
            <wp:extent cx="5760720" cy="3913505"/>
            <wp:effectExtent l="0" t="0" r="0" b="0"/>
            <wp:docPr id="1593124006" name="Obraz 1593124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124006" name="Obraz 15931240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6" b="2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872C4" w14:textId="445BDE8B" w:rsidR="00453BCA" w:rsidRPr="00753F5E" w:rsidRDefault="001735A1" w:rsidP="00920AA6">
      <w:pPr>
        <w:spacing w:before="0"/>
        <w:ind w:firstLine="709"/>
        <w:rPr>
          <w:sz w:val="20"/>
          <w:szCs w:val="20"/>
        </w:rPr>
      </w:pPr>
      <w:r w:rsidRPr="00753F5E">
        <w:rPr>
          <w:sz w:val="20"/>
          <w:szCs w:val="20"/>
        </w:rPr>
        <w:t xml:space="preserve">Rys. 4. Przykład wyniku wykonania czynności opisanych w § </w:t>
      </w:r>
      <w:r w:rsidR="00E17665" w:rsidRPr="00753F5E">
        <w:rPr>
          <w:sz w:val="20"/>
          <w:szCs w:val="20"/>
        </w:rPr>
        <w:t>1</w:t>
      </w:r>
      <w:r w:rsidRPr="00753F5E">
        <w:rPr>
          <w:sz w:val="20"/>
          <w:szCs w:val="20"/>
        </w:rPr>
        <w:t xml:space="preserve"> ust. </w:t>
      </w:r>
      <w:r w:rsidR="00A65530">
        <w:rPr>
          <w:sz w:val="20"/>
          <w:szCs w:val="20"/>
        </w:rPr>
        <w:t>4</w:t>
      </w:r>
      <w:r w:rsidR="00B76D3E" w:rsidRPr="00753F5E">
        <w:rPr>
          <w:sz w:val="20"/>
          <w:szCs w:val="20"/>
        </w:rPr>
        <w:t xml:space="preserve"> i </w:t>
      </w:r>
      <w:r w:rsidR="00A65530">
        <w:rPr>
          <w:sz w:val="20"/>
          <w:szCs w:val="20"/>
        </w:rPr>
        <w:t>5</w:t>
      </w:r>
      <w:r w:rsidR="00B76D3E" w:rsidRPr="00753F5E">
        <w:rPr>
          <w:sz w:val="20"/>
          <w:szCs w:val="20"/>
        </w:rPr>
        <w:t xml:space="preserve"> </w:t>
      </w:r>
      <w:r w:rsidR="004F72A4" w:rsidRPr="00753F5E">
        <w:rPr>
          <w:sz w:val="20"/>
          <w:szCs w:val="20"/>
        </w:rPr>
        <w:t xml:space="preserve">projektu </w:t>
      </w:r>
      <w:r w:rsidRPr="00753F5E">
        <w:rPr>
          <w:sz w:val="20"/>
          <w:szCs w:val="20"/>
        </w:rPr>
        <w:t>rozporządzenia</w:t>
      </w:r>
      <w:r w:rsidR="00920AA6" w:rsidRPr="00753F5E">
        <w:rPr>
          <w:sz w:val="20"/>
          <w:szCs w:val="20"/>
        </w:rPr>
        <w:t>.</w:t>
      </w:r>
    </w:p>
    <w:p w14:paraId="7DE3A29A" w14:textId="77777777" w:rsidR="00E25ABF" w:rsidRDefault="00E25ABF" w:rsidP="00920AA6">
      <w:pPr>
        <w:spacing w:before="0"/>
        <w:ind w:firstLine="709"/>
      </w:pPr>
    </w:p>
    <w:p w14:paraId="5EEC79E5" w14:textId="43EDDDA7" w:rsidR="00E25ABF" w:rsidRDefault="00E25ABF" w:rsidP="00920AA6">
      <w:pPr>
        <w:spacing w:before="0"/>
        <w:ind w:firstLine="709"/>
      </w:pPr>
      <w:r>
        <w:t>Dla drugiego analizowanego obszaru, czyli wykształconego i wypełnionego już osiedla wielorodzinnego w dużym mieście</w:t>
      </w:r>
      <w:r w:rsidR="00180FA2">
        <w:t>,</w:t>
      </w:r>
      <w:r>
        <w:t xml:space="preserve"> </w:t>
      </w:r>
      <w:r w:rsidR="00B76D3E">
        <w:t xml:space="preserve">na rys. 5 </w:t>
      </w:r>
      <w:r>
        <w:t xml:space="preserve">pokazano 3 </w:t>
      </w:r>
      <w:r w:rsidR="00B76D3E">
        <w:t xml:space="preserve">przykładowe </w:t>
      </w:r>
      <w:r>
        <w:t>warianty zasięgu obszar</w:t>
      </w:r>
      <w:r w:rsidR="00180FA2">
        <w:t>u</w:t>
      </w:r>
      <w:r>
        <w:t xml:space="preserve"> uzupełnienia zabudowy</w:t>
      </w:r>
      <w:r w:rsidR="00115B73">
        <w:t xml:space="preserve">. Warianty prezentują różne podejścia, jakie stosować mogą projektanci. W pierwszym z nich </w:t>
      </w:r>
      <w:r>
        <w:t>umożliwi</w:t>
      </w:r>
      <w:r w:rsidR="00115B73">
        <w:t>ono</w:t>
      </w:r>
      <w:r>
        <w:t xml:space="preserve"> uzupełnienie zabudowy praktycznie w całym kwartale</w:t>
      </w:r>
      <w:r w:rsidR="00115B73">
        <w:t xml:space="preserve">. W drugim </w:t>
      </w:r>
      <w:r>
        <w:t xml:space="preserve">szczegółowo wycięto bardziej istotne niezabudowane fragmenty obszaru tak by zabezpieczyć obsługę komunikacyjną obszaru, zaplecze zieleni i rekreacji, a przede wszystkim nie dopuścić do zagęszczenia zabudowy </w:t>
      </w:r>
      <w:r w:rsidR="00B76D3E">
        <w:t xml:space="preserve">między blokami </w:t>
      </w:r>
      <w:r>
        <w:t xml:space="preserve">i zaburzenia </w:t>
      </w:r>
      <w:r w:rsidR="00B76D3E">
        <w:t xml:space="preserve">całego </w:t>
      </w:r>
      <w:r>
        <w:t xml:space="preserve">założenia urbanistycznego. Z tej perspektywy pod rozwagę organu sporządzającego plan ogólny oraz projektanta </w:t>
      </w:r>
      <w:r w:rsidR="00115B73">
        <w:t xml:space="preserve">można </w:t>
      </w:r>
      <w:r>
        <w:t xml:space="preserve">poddać celowość </w:t>
      </w:r>
      <w:r w:rsidR="00B76D3E">
        <w:t xml:space="preserve">tego by </w:t>
      </w:r>
      <w:r>
        <w:t>obszar</w:t>
      </w:r>
      <w:r w:rsidR="00B76D3E">
        <w:t>y</w:t>
      </w:r>
      <w:r>
        <w:t xml:space="preserve"> o już w pełni wykształconej zabudowie, która nie powinna już być dogęszczana</w:t>
      </w:r>
      <w:r w:rsidR="00B76D3E">
        <w:t>, w ogóle obejmować obszar</w:t>
      </w:r>
      <w:r w:rsidR="00180FA2">
        <w:t>a</w:t>
      </w:r>
      <w:r w:rsidR="00B76D3E">
        <w:t>m</w:t>
      </w:r>
      <w:r w:rsidR="00180FA2">
        <w:t>i</w:t>
      </w:r>
      <w:r w:rsidR="00B76D3E">
        <w:t xml:space="preserve"> uzupełnienia zabudowy</w:t>
      </w:r>
      <w:r>
        <w:t xml:space="preserve">. Pamiętać należy, że zgodnie z </w:t>
      </w:r>
      <w:r w:rsidR="00115B73">
        <w:t>art. 61 ust. 1a ustawy, uzyskanie decyzji o warunkach zabudowy dla rozbudowy, nadbudowy oraz odbudowy budynku nie jest ograniczone do obszaru uzupełnienia zabudowy</w:t>
      </w:r>
      <w:r w:rsidR="00B76D3E">
        <w:t xml:space="preserve"> i jest możliwe poza nim</w:t>
      </w:r>
      <w:r w:rsidR="00115B73">
        <w:t>, a w myśl art.  59 ust. 1 przebudowa, remont i montaż w ramach istniejącej zabudowy w ogóle nie wymaga uzyskania decyzji o warunkach zabudowy. Tym samym może się okazać, że najbardziej pożądanym rozwiązaniem w takiej sytuacji byłoby całkowite wyłączenie przedmiotowego kwartału z</w:t>
      </w:r>
      <w:r w:rsidR="00000EBF">
        <w:t> </w:t>
      </w:r>
      <w:r w:rsidR="00115B73">
        <w:t>zasięgu obszaru uzupełnienia zabudowy. Pamiętać jednak należy, że nie będzie wtedy możliwe wydawanie decyzji o warunkach zabudowy dla nowych obiektów budowlanych,</w:t>
      </w:r>
      <w:r w:rsidR="00000EBF">
        <w:t xml:space="preserve"> </w:t>
      </w:r>
      <w:r w:rsidR="00115B73">
        <w:t>z</w:t>
      </w:r>
      <w:r w:rsidR="00000EBF">
        <w:t> </w:t>
      </w:r>
      <w:r w:rsidR="00115B73">
        <w:t xml:space="preserve">wyłączeniem wymienionych w art. 61 ust. 2 i 3 ustawy oraz tych, które nie wymagają wydania decyzji o warunkach zabudowy. Trzeci wariant prezentuje rozwiązanie pośrednie, czyli takie, w którym wyłączono jedynie większe obszary zieleni i rekreacji między istniejącymi blokami. </w:t>
      </w:r>
    </w:p>
    <w:p w14:paraId="753990A6" w14:textId="4E8A5685" w:rsidR="00920AA6" w:rsidRDefault="00115B73" w:rsidP="00793A71">
      <w:pPr>
        <w:spacing w:before="0"/>
        <w:ind w:firstLine="0"/>
      </w:pPr>
      <w:r>
        <w:rPr>
          <w:noProof/>
          <w:lang w:eastAsia="pl-PL"/>
        </w:rPr>
        <w:lastRenderedPageBreak/>
        <w:drawing>
          <wp:inline distT="0" distB="0" distL="0" distR="0" wp14:anchorId="59452614" wp14:editId="3D66F6DF">
            <wp:extent cx="5760720" cy="3913505"/>
            <wp:effectExtent l="0" t="0" r="0" b="0"/>
            <wp:docPr id="1664225845" name="Obraz 1664225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225845" name="Obraz 16642258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6" b="2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E3EC6A5" wp14:editId="7471661A">
            <wp:extent cx="5760720" cy="3913505"/>
            <wp:effectExtent l="0" t="0" r="0" b="0"/>
            <wp:docPr id="1179449270" name="Obraz 1179449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49270" name="Obraz 117944927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6" b="2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2C261A16" wp14:editId="0EFBFEFA">
            <wp:extent cx="5760720" cy="3913505"/>
            <wp:effectExtent l="0" t="0" r="0" b="0"/>
            <wp:docPr id="1998702407" name="Obraz 199870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702407" name="Obraz 199870240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6" b="2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23249" w14:textId="77777777" w:rsidR="00B76D3E" w:rsidRDefault="00453BCA" w:rsidP="00B76D3E">
      <w:pPr>
        <w:spacing w:before="0"/>
        <w:ind w:firstLine="709"/>
      </w:pPr>
      <w:r>
        <w:tab/>
      </w:r>
    </w:p>
    <w:p w14:paraId="443E3559" w14:textId="47CBB870" w:rsidR="00B76D3E" w:rsidRPr="00753F5E" w:rsidRDefault="00B76D3E" w:rsidP="00B76D3E">
      <w:pPr>
        <w:spacing w:before="0"/>
        <w:ind w:firstLine="709"/>
        <w:rPr>
          <w:sz w:val="20"/>
          <w:szCs w:val="20"/>
        </w:rPr>
      </w:pPr>
      <w:r w:rsidRPr="00753F5E">
        <w:rPr>
          <w:sz w:val="20"/>
          <w:szCs w:val="20"/>
        </w:rPr>
        <w:t xml:space="preserve">Rys. 5. Wariantowe przykłady wyniku wykonania czynności opisanych w § 1 ust. </w:t>
      </w:r>
      <w:r w:rsidR="00A65530">
        <w:rPr>
          <w:sz w:val="20"/>
          <w:szCs w:val="20"/>
        </w:rPr>
        <w:t>4</w:t>
      </w:r>
      <w:r w:rsidRPr="00753F5E">
        <w:rPr>
          <w:sz w:val="20"/>
          <w:szCs w:val="20"/>
        </w:rPr>
        <w:t xml:space="preserve"> i </w:t>
      </w:r>
      <w:r w:rsidR="00A65530">
        <w:rPr>
          <w:sz w:val="20"/>
          <w:szCs w:val="20"/>
        </w:rPr>
        <w:t>5</w:t>
      </w:r>
      <w:r w:rsidRPr="00753F5E">
        <w:rPr>
          <w:sz w:val="20"/>
          <w:szCs w:val="20"/>
        </w:rPr>
        <w:t xml:space="preserve"> projektu rozporządzenia.</w:t>
      </w:r>
    </w:p>
    <w:p w14:paraId="5EF4D4DD" w14:textId="77777777" w:rsidR="00C170EB" w:rsidRDefault="00C170EB" w:rsidP="00C170EB">
      <w:pPr>
        <w:ind w:firstLine="0"/>
        <w:rPr>
          <w:b/>
          <w:bCs/>
        </w:rPr>
      </w:pPr>
    </w:p>
    <w:p w14:paraId="3F429866" w14:textId="0F4BD285" w:rsidR="00C170EB" w:rsidRDefault="00C170EB" w:rsidP="00C170EB">
      <w:pPr>
        <w:ind w:firstLine="0"/>
        <w:rPr>
          <w:b/>
          <w:bCs/>
        </w:rPr>
      </w:pPr>
      <w:r>
        <w:rPr>
          <w:b/>
          <w:bCs/>
        </w:rPr>
        <w:t>3. Termin wejścia w życie rozporządzenia</w:t>
      </w:r>
    </w:p>
    <w:p w14:paraId="0A86B972" w14:textId="33976A5F" w:rsidR="001F582C" w:rsidRPr="00920AA6" w:rsidRDefault="001F582C" w:rsidP="00920AA6">
      <w:pPr>
        <w:rPr>
          <w:sz w:val="22"/>
          <w:szCs w:val="22"/>
        </w:rPr>
      </w:pPr>
      <w:r>
        <w:t>Termin wejścia w życie rozporządzenia został określony na dzień następujący po dniu ogłoszenia. Krótki okres vacatio legis wynika z faktu, że przepis upoważniający</w:t>
      </w:r>
      <w:r w:rsidR="00920AA6">
        <w:t xml:space="preserve">, tj. </w:t>
      </w:r>
      <w:r>
        <w:t xml:space="preserve">art. 13m ust. 1 ustawy </w:t>
      </w:r>
      <w:r w:rsidR="00920AA6" w:rsidRPr="00920AA6">
        <w:rPr>
          <w:rFonts w:eastAsia="Times New Roman"/>
          <w:bCs/>
          <w:lang w:eastAsia="pl-PL"/>
        </w:rPr>
        <w:t>z dnia 27 marca 2003 r. o planowaniu i zagospodarowaniu przestrzennym</w:t>
      </w:r>
      <w:r w:rsidR="00920AA6">
        <w:rPr>
          <w:rFonts w:eastAsia="Times New Roman"/>
          <w:bCs/>
          <w:lang w:eastAsia="pl-PL"/>
        </w:rPr>
        <w:t>,</w:t>
      </w:r>
      <w:r>
        <w:rPr>
          <w:rFonts w:eastAsia="Times New Roman"/>
          <w:bCs/>
          <w:lang w:eastAsia="pl-PL"/>
        </w:rPr>
        <w:t xml:space="preserve"> wszedł w życie z dniem 24 września 2024 r.</w:t>
      </w:r>
      <w:r>
        <w:t>, więc istnieje konieczność pilnego wydania aktu wykonawczego.</w:t>
      </w:r>
    </w:p>
    <w:p w14:paraId="49E47119" w14:textId="77777777" w:rsidR="00C170EB" w:rsidRDefault="00C170EB" w:rsidP="00570B81">
      <w:pPr>
        <w:ind w:firstLine="0"/>
        <w:rPr>
          <w:b/>
          <w:bCs/>
        </w:rPr>
      </w:pPr>
    </w:p>
    <w:p w14:paraId="1BADE5ED" w14:textId="7CF5DB5F" w:rsidR="00570B81" w:rsidRPr="00B169D5" w:rsidRDefault="00570B81" w:rsidP="00570B81">
      <w:pPr>
        <w:ind w:firstLine="0"/>
        <w:rPr>
          <w:b/>
          <w:bCs/>
        </w:rPr>
      </w:pPr>
      <w:r w:rsidRPr="00B169D5">
        <w:rPr>
          <w:b/>
          <w:bCs/>
        </w:rPr>
        <w:t>III. Pozostałe informacje</w:t>
      </w:r>
    </w:p>
    <w:p w14:paraId="795A874A" w14:textId="289E1C06" w:rsidR="00570B81" w:rsidRDefault="00570B81" w:rsidP="00570B81">
      <w:r>
        <w:t xml:space="preserve">Zgodnie z art. 5 ustawy z dnia 7 lipca 2005 r. o działalności lobbingowej w procesie stanowienia prawa (Dz. U. z 2017 r. poz. 248) oraz § 52 ust. 1 uchwały nr 190 Rady Ministrów z dnia 29 października 2013 r. – Regulamin pracy Rady Ministrów (M.P. z </w:t>
      </w:r>
      <w:r w:rsidR="00A47AEB" w:rsidRPr="00B44BEB">
        <w:rPr>
          <w:rFonts w:eastAsia="Times New Roman"/>
          <w:bCs/>
          <w:lang w:eastAsia="pl-PL"/>
        </w:rPr>
        <w:t>20</w:t>
      </w:r>
      <w:r w:rsidR="00A47AEB">
        <w:rPr>
          <w:rFonts w:eastAsia="Times New Roman"/>
          <w:bCs/>
          <w:lang w:eastAsia="pl-PL"/>
        </w:rPr>
        <w:t>23</w:t>
      </w:r>
      <w:r w:rsidR="00A47AEB" w:rsidRPr="00B44BEB">
        <w:rPr>
          <w:rFonts w:eastAsia="Times New Roman"/>
          <w:bCs/>
          <w:lang w:eastAsia="pl-PL"/>
        </w:rPr>
        <w:t xml:space="preserve"> r. poz. </w:t>
      </w:r>
      <w:r w:rsidR="00A47AEB">
        <w:rPr>
          <w:rFonts w:eastAsia="Times New Roman"/>
          <w:bCs/>
          <w:lang w:eastAsia="pl-PL"/>
        </w:rPr>
        <w:t>843</w:t>
      </w:r>
      <w:r>
        <w:t>) projekt rozporządzenia zosta</w:t>
      </w:r>
      <w:r w:rsidR="00E17665">
        <w:t>ł</w:t>
      </w:r>
      <w:r>
        <w:t xml:space="preserve"> udostępniony w Biuletynie Informacji Publicznej na stronie podmiotowej Rządowego Centrum Legislacji, w serwisie „Rządowy Proces Legislacyjny”.</w:t>
      </w:r>
    </w:p>
    <w:p w14:paraId="21052C0E" w14:textId="77777777" w:rsidR="00570B81" w:rsidRDefault="00570B81" w:rsidP="00570B81">
      <w:r>
        <w:t>Projekt rozporządzenia nie wymaga przedstawienia właściwym organom i instytucjom Unii Europejskiej, w tym Europejskiemu Bankowi Centralnemu, w celu uzyskania opinii, dokonania powiadomienia, konsultacji albo uzgodnienia, o którym mowa w § 27 ust. 4 uchwały nr 190 Rady Ministrów z dnia 29 października 2013 r. – Regulamin pracy Rady Ministrów.</w:t>
      </w:r>
    </w:p>
    <w:p w14:paraId="5E77C676" w14:textId="77777777" w:rsidR="00570B81" w:rsidRDefault="00570B81" w:rsidP="00570B81">
      <w:r>
        <w:t>Projekt rozporządzenia nie jest sprzeczny z przepisami Unii Europejskiej.</w:t>
      </w:r>
    </w:p>
    <w:p w14:paraId="3405919B" w14:textId="77777777" w:rsidR="00570B81" w:rsidRDefault="00570B81" w:rsidP="00570B81">
      <w:r>
        <w:lastRenderedPageBreak/>
        <w:t>Projekt rozporządzenia nie zawiera przepisów technicznych w rozumieniu rozporządzenia Rady Ministrów z dnia 23 grudnia 2002 r. w sprawie sposobu funkcjonowania krajowego systemu notyfikacji norm i aktów prawnych (Dz. U. poz. 2039 oraz z 2004 r. poz. 597) i w związku z tym nie podlega notyfikacji przewidzianej tymi przepisami.</w:t>
      </w:r>
    </w:p>
    <w:p w14:paraId="54AFC0FF" w14:textId="54A5C7AD" w:rsidR="00570B81" w:rsidRDefault="00570B81" w:rsidP="00570B81">
      <w:r>
        <w:t xml:space="preserve">Projekt rozporządzenia nie wymaga notyfikacji programu pomocowego, zgodnie </w:t>
      </w:r>
      <w:r w:rsidR="00E17665">
        <w:t>z </w:t>
      </w:r>
      <w:r>
        <w:t>przepisami ustawy z dnia 30 kwietnia 2004 r. o postępowaniu w sprawach dotyczących pomocy publicznej (Dz. U. z 2021 r. poz. 743). Wprowadzone regulacje nie stanowią pomocy publicznej, gdyż nie odnoszą się do przepływu środków finansowych, jak również nie przewiduje się w nich udzielenia przez władze publiczne korzyści ekonomicznej.</w:t>
      </w:r>
    </w:p>
    <w:p w14:paraId="437EE2D1" w14:textId="324D287F" w:rsidR="003802F3" w:rsidRPr="00920AA6" w:rsidRDefault="00570B81" w:rsidP="00920AA6">
      <w:r>
        <w:t xml:space="preserve">Projekt rozporządzenia wpłynie na działalność </w:t>
      </w:r>
      <w:proofErr w:type="spellStart"/>
      <w:r>
        <w:t>mikroprzedsiębiorców</w:t>
      </w:r>
      <w:proofErr w:type="spellEnd"/>
      <w:r>
        <w:t xml:space="preserve">, małych </w:t>
      </w:r>
      <w:r w:rsidR="00E17665">
        <w:t>i </w:t>
      </w:r>
      <w:r>
        <w:t xml:space="preserve">średnich przedsiębiorców, jeżeli prowadzą oni działalność w zakresie przewidzianym </w:t>
      </w:r>
      <w:r w:rsidR="00E17665">
        <w:t>w </w:t>
      </w:r>
      <w:r>
        <w:t>projekcie rozporządzenia.</w:t>
      </w:r>
    </w:p>
    <w:sectPr w:rsidR="003802F3" w:rsidRPr="00920A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DF695" w14:textId="77777777" w:rsidR="00E46BF5" w:rsidRDefault="00E46BF5" w:rsidP="00670410">
      <w:pPr>
        <w:spacing w:before="0" w:line="240" w:lineRule="auto"/>
      </w:pPr>
      <w:r>
        <w:separator/>
      </w:r>
    </w:p>
  </w:endnote>
  <w:endnote w:type="continuationSeparator" w:id="0">
    <w:p w14:paraId="265EF64D" w14:textId="77777777" w:rsidR="00E46BF5" w:rsidRDefault="00E46BF5" w:rsidP="0067041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7C624" w14:textId="77777777" w:rsidR="00E46BF5" w:rsidRDefault="00E46BF5" w:rsidP="00670410">
      <w:pPr>
        <w:spacing w:before="0" w:line="240" w:lineRule="auto"/>
      </w:pPr>
      <w:r>
        <w:separator/>
      </w:r>
    </w:p>
  </w:footnote>
  <w:footnote w:type="continuationSeparator" w:id="0">
    <w:p w14:paraId="4A8957ED" w14:textId="77777777" w:rsidR="00E46BF5" w:rsidRDefault="00E46BF5" w:rsidP="00670410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8192B"/>
    <w:multiLevelType w:val="hybridMultilevel"/>
    <w:tmpl w:val="77F67A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97527"/>
    <w:multiLevelType w:val="hybridMultilevel"/>
    <w:tmpl w:val="0BB0C234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EC93C96"/>
    <w:multiLevelType w:val="hybridMultilevel"/>
    <w:tmpl w:val="0BB0C234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2AF40B93"/>
    <w:multiLevelType w:val="hybridMultilevel"/>
    <w:tmpl w:val="5D167DB4"/>
    <w:lvl w:ilvl="0" w:tplc="EB7A601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EF64D89"/>
    <w:multiLevelType w:val="hybridMultilevel"/>
    <w:tmpl w:val="7A241BE4"/>
    <w:lvl w:ilvl="0" w:tplc="F48083F2">
      <w:start w:val="1"/>
      <w:numFmt w:val="decimal"/>
      <w:lvlText w:val="%1)"/>
      <w:lvlJc w:val="left"/>
      <w:pPr>
        <w:ind w:left="876" w:hanging="51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FA451F"/>
    <w:multiLevelType w:val="hybridMultilevel"/>
    <w:tmpl w:val="DB48D3FC"/>
    <w:lvl w:ilvl="0" w:tplc="C00C3E1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4A278C6"/>
    <w:multiLevelType w:val="hybridMultilevel"/>
    <w:tmpl w:val="0C3A7072"/>
    <w:lvl w:ilvl="0" w:tplc="EB7A601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6C54181"/>
    <w:multiLevelType w:val="hybridMultilevel"/>
    <w:tmpl w:val="7B782976"/>
    <w:lvl w:ilvl="0" w:tplc="7354CC8E">
      <w:start w:val="1"/>
      <w:numFmt w:val="decimal"/>
      <w:pStyle w:val="Nagwek2"/>
      <w:lvlText w:val="%1."/>
      <w:lvlJc w:val="left"/>
      <w:pPr>
        <w:ind w:left="720" w:hanging="360"/>
      </w:pPr>
      <w:rPr>
        <w:rFonts w:hint="default"/>
      </w:rPr>
    </w:lvl>
    <w:lvl w:ilvl="1" w:tplc="6D90A9A8">
      <w:start w:val="1"/>
      <w:numFmt w:val="lowerLetter"/>
      <w:pStyle w:val="Nagwek3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EA4A01"/>
    <w:multiLevelType w:val="hybridMultilevel"/>
    <w:tmpl w:val="0BB0C234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63CE251A"/>
    <w:multiLevelType w:val="hybridMultilevel"/>
    <w:tmpl w:val="B1081650"/>
    <w:lvl w:ilvl="0" w:tplc="7010B9A0">
      <w:start w:val="1"/>
      <w:numFmt w:val="decimal"/>
      <w:lvlText w:val="%1)"/>
      <w:lvlJc w:val="left"/>
      <w:pPr>
        <w:ind w:left="1416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C772AB9"/>
    <w:multiLevelType w:val="hybridMultilevel"/>
    <w:tmpl w:val="54D86334"/>
    <w:lvl w:ilvl="0" w:tplc="F48083F2">
      <w:start w:val="1"/>
      <w:numFmt w:val="decimal"/>
      <w:lvlText w:val="%1)"/>
      <w:lvlJc w:val="left"/>
      <w:pPr>
        <w:ind w:left="1584" w:hanging="51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564992770">
    <w:abstractNumId w:val="7"/>
  </w:num>
  <w:num w:numId="2" w16cid:durableId="1189490722">
    <w:abstractNumId w:val="0"/>
  </w:num>
  <w:num w:numId="3" w16cid:durableId="704132805">
    <w:abstractNumId w:val="4"/>
  </w:num>
  <w:num w:numId="4" w16cid:durableId="1868715172">
    <w:abstractNumId w:val="10"/>
  </w:num>
  <w:num w:numId="5" w16cid:durableId="1065957520">
    <w:abstractNumId w:val="2"/>
  </w:num>
  <w:num w:numId="6" w16cid:durableId="336469930">
    <w:abstractNumId w:val="9"/>
  </w:num>
  <w:num w:numId="7" w16cid:durableId="649597587">
    <w:abstractNumId w:val="8"/>
  </w:num>
  <w:num w:numId="8" w16cid:durableId="246228033">
    <w:abstractNumId w:val="6"/>
  </w:num>
  <w:num w:numId="9" w16cid:durableId="752702181">
    <w:abstractNumId w:val="3"/>
  </w:num>
  <w:num w:numId="10" w16cid:durableId="855733797">
    <w:abstractNumId w:val="1"/>
  </w:num>
  <w:num w:numId="11" w16cid:durableId="5405539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410"/>
    <w:rsid w:val="00000EBF"/>
    <w:rsid w:val="000049E8"/>
    <w:rsid w:val="000451F6"/>
    <w:rsid w:val="00052351"/>
    <w:rsid w:val="00083AB9"/>
    <w:rsid w:val="000C59F2"/>
    <w:rsid w:val="000D4990"/>
    <w:rsid w:val="000D4D16"/>
    <w:rsid w:val="00115B73"/>
    <w:rsid w:val="00115EEA"/>
    <w:rsid w:val="0016559E"/>
    <w:rsid w:val="001733AA"/>
    <w:rsid w:val="001735A1"/>
    <w:rsid w:val="00180FA2"/>
    <w:rsid w:val="0019197B"/>
    <w:rsid w:val="001A6E1D"/>
    <w:rsid w:val="001C0AA1"/>
    <w:rsid w:val="001E0EC3"/>
    <w:rsid w:val="001F57CA"/>
    <w:rsid w:val="001F582C"/>
    <w:rsid w:val="00206985"/>
    <w:rsid w:val="002075A1"/>
    <w:rsid w:val="0021133D"/>
    <w:rsid w:val="00220792"/>
    <w:rsid w:val="00253693"/>
    <w:rsid w:val="00257D99"/>
    <w:rsid w:val="0026120B"/>
    <w:rsid w:val="00280F61"/>
    <w:rsid w:val="00290AAF"/>
    <w:rsid w:val="00294E8F"/>
    <w:rsid w:val="002A7675"/>
    <w:rsid w:val="002B4EB8"/>
    <w:rsid w:val="002B6FBF"/>
    <w:rsid w:val="002C7ABE"/>
    <w:rsid w:val="002D2C1F"/>
    <w:rsid w:val="002E5767"/>
    <w:rsid w:val="0033348E"/>
    <w:rsid w:val="00337E24"/>
    <w:rsid w:val="0035676A"/>
    <w:rsid w:val="00356D9A"/>
    <w:rsid w:val="003802F3"/>
    <w:rsid w:val="003A2CC9"/>
    <w:rsid w:val="003A6322"/>
    <w:rsid w:val="003B5FB0"/>
    <w:rsid w:val="003C06A1"/>
    <w:rsid w:val="003C1983"/>
    <w:rsid w:val="003E39D6"/>
    <w:rsid w:val="003E79CF"/>
    <w:rsid w:val="00422EB6"/>
    <w:rsid w:val="0042315E"/>
    <w:rsid w:val="00440A13"/>
    <w:rsid w:val="00452140"/>
    <w:rsid w:val="00453BCA"/>
    <w:rsid w:val="00476877"/>
    <w:rsid w:val="00482E26"/>
    <w:rsid w:val="00493A95"/>
    <w:rsid w:val="00496439"/>
    <w:rsid w:val="004B10CE"/>
    <w:rsid w:val="004C64D3"/>
    <w:rsid w:val="004D7112"/>
    <w:rsid w:val="004F72A4"/>
    <w:rsid w:val="004F74EB"/>
    <w:rsid w:val="00510677"/>
    <w:rsid w:val="005141CD"/>
    <w:rsid w:val="00521620"/>
    <w:rsid w:val="00525A25"/>
    <w:rsid w:val="0052705E"/>
    <w:rsid w:val="0053355C"/>
    <w:rsid w:val="00547E4F"/>
    <w:rsid w:val="00570B81"/>
    <w:rsid w:val="005713E0"/>
    <w:rsid w:val="00591876"/>
    <w:rsid w:val="0059443C"/>
    <w:rsid w:val="005B1588"/>
    <w:rsid w:val="005C5984"/>
    <w:rsid w:val="005F6C7A"/>
    <w:rsid w:val="0060242F"/>
    <w:rsid w:val="00613F6A"/>
    <w:rsid w:val="0063311F"/>
    <w:rsid w:val="0063593B"/>
    <w:rsid w:val="00652BDC"/>
    <w:rsid w:val="00654B28"/>
    <w:rsid w:val="00665016"/>
    <w:rsid w:val="00666BA9"/>
    <w:rsid w:val="00670410"/>
    <w:rsid w:val="006C7169"/>
    <w:rsid w:val="006E2119"/>
    <w:rsid w:val="00707E32"/>
    <w:rsid w:val="00712D12"/>
    <w:rsid w:val="00735BFA"/>
    <w:rsid w:val="00740B72"/>
    <w:rsid w:val="007528F6"/>
    <w:rsid w:val="00753F5E"/>
    <w:rsid w:val="00761CF5"/>
    <w:rsid w:val="007661C3"/>
    <w:rsid w:val="00793A71"/>
    <w:rsid w:val="007A595F"/>
    <w:rsid w:val="007E0E15"/>
    <w:rsid w:val="007E1FB0"/>
    <w:rsid w:val="007F65B1"/>
    <w:rsid w:val="008067D6"/>
    <w:rsid w:val="008124F0"/>
    <w:rsid w:val="00815621"/>
    <w:rsid w:val="00820487"/>
    <w:rsid w:val="00827B33"/>
    <w:rsid w:val="00841415"/>
    <w:rsid w:val="00855955"/>
    <w:rsid w:val="00855F92"/>
    <w:rsid w:val="00892AC5"/>
    <w:rsid w:val="008A3F05"/>
    <w:rsid w:val="008B4D66"/>
    <w:rsid w:val="008B7D88"/>
    <w:rsid w:val="008C2F64"/>
    <w:rsid w:val="008E3CDD"/>
    <w:rsid w:val="00901DB6"/>
    <w:rsid w:val="00903FDE"/>
    <w:rsid w:val="00911B0E"/>
    <w:rsid w:val="00912D93"/>
    <w:rsid w:val="00920AA6"/>
    <w:rsid w:val="00932563"/>
    <w:rsid w:val="00944F87"/>
    <w:rsid w:val="00955AC3"/>
    <w:rsid w:val="009631D6"/>
    <w:rsid w:val="009961DB"/>
    <w:rsid w:val="009F15C0"/>
    <w:rsid w:val="009F1F86"/>
    <w:rsid w:val="009F3FB5"/>
    <w:rsid w:val="009F739D"/>
    <w:rsid w:val="00A072E8"/>
    <w:rsid w:val="00A20D92"/>
    <w:rsid w:val="00A47AEB"/>
    <w:rsid w:val="00A50DEE"/>
    <w:rsid w:val="00A636CF"/>
    <w:rsid w:val="00A65530"/>
    <w:rsid w:val="00A717B7"/>
    <w:rsid w:val="00A90ED2"/>
    <w:rsid w:val="00AE35E2"/>
    <w:rsid w:val="00AE37D9"/>
    <w:rsid w:val="00AF5C42"/>
    <w:rsid w:val="00AF6244"/>
    <w:rsid w:val="00AF6974"/>
    <w:rsid w:val="00B1442A"/>
    <w:rsid w:val="00B16C01"/>
    <w:rsid w:val="00B31E35"/>
    <w:rsid w:val="00B5509B"/>
    <w:rsid w:val="00B67417"/>
    <w:rsid w:val="00B678FE"/>
    <w:rsid w:val="00B701C3"/>
    <w:rsid w:val="00B7073B"/>
    <w:rsid w:val="00B76D3E"/>
    <w:rsid w:val="00B9751D"/>
    <w:rsid w:val="00BB184E"/>
    <w:rsid w:val="00BE63B5"/>
    <w:rsid w:val="00C02132"/>
    <w:rsid w:val="00C028D1"/>
    <w:rsid w:val="00C07CDF"/>
    <w:rsid w:val="00C170EB"/>
    <w:rsid w:val="00C22DEF"/>
    <w:rsid w:val="00C34C44"/>
    <w:rsid w:val="00C362CF"/>
    <w:rsid w:val="00C67DC2"/>
    <w:rsid w:val="00C80591"/>
    <w:rsid w:val="00C809E4"/>
    <w:rsid w:val="00C9040A"/>
    <w:rsid w:val="00CB6A25"/>
    <w:rsid w:val="00CD7FED"/>
    <w:rsid w:val="00CE44B2"/>
    <w:rsid w:val="00CF47F9"/>
    <w:rsid w:val="00D0084B"/>
    <w:rsid w:val="00D02C6D"/>
    <w:rsid w:val="00D204ED"/>
    <w:rsid w:val="00D21C8D"/>
    <w:rsid w:val="00D2341D"/>
    <w:rsid w:val="00D275EE"/>
    <w:rsid w:val="00D5071F"/>
    <w:rsid w:val="00D75E17"/>
    <w:rsid w:val="00D86480"/>
    <w:rsid w:val="00D97A01"/>
    <w:rsid w:val="00DA1489"/>
    <w:rsid w:val="00DA6BBA"/>
    <w:rsid w:val="00DC06E5"/>
    <w:rsid w:val="00DC3467"/>
    <w:rsid w:val="00E0058B"/>
    <w:rsid w:val="00E17665"/>
    <w:rsid w:val="00E25ABF"/>
    <w:rsid w:val="00E267AC"/>
    <w:rsid w:val="00E43D34"/>
    <w:rsid w:val="00E46BF5"/>
    <w:rsid w:val="00E71593"/>
    <w:rsid w:val="00E75198"/>
    <w:rsid w:val="00E87637"/>
    <w:rsid w:val="00E87898"/>
    <w:rsid w:val="00E922A5"/>
    <w:rsid w:val="00E92E41"/>
    <w:rsid w:val="00EC074F"/>
    <w:rsid w:val="00EC6816"/>
    <w:rsid w:val="00F1221E"/>
    <w:rsid w:val="00F27294"/>
    <w:rsid w:val="00F52432"/>
    <w:rsid w:val="00F52CFF"/>
    <w:rsid w:val="00F54B1D"/>
    <w:rsid w:val="00F6087A"/>
    <w:rsid w:val="00F66C01"/>
    <w:rsid w:val="00F80838"/>
    <w:rsid w:val="00F8421A"/>
    <w:rsid w:val="00F95621"/>
    <w:rsid w:val="00F95D5C"/>
    <w:rsid w:val="00FC1672"/>
    <w:rsid w:val="00FD4008"/>
    <w:rsid w:val="00FE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A9278"/>
  <w15:docId w15:val="{1F968797-6CC6-43C0-8C2C-2D34CADD3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0410"/>
    <w:pPr>
      <w:spacing w:before="120" w:after="0"/>
      <w:ind w:firstLine="708"/>
      <w:jc w:val="both"/>
    </w:pPr>
    <w:rPr>
      <w:rFonts w:ascii="Times New Roman" w:hAnsi="Times New Roman" w:cs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70410"/>
    <w:pPr>
      <w:jc w:val="center"/>
      <w:outlineLvl w:val="0"/>
    </w:pPr>
    <w:rPr>
      <w:b/>
    </w:rPr>
  </w:style>
  <w:style w:type="paragraph" w:styleId="Nagwek2">
    <w:name w:val="heading 2"/>
    <w:basedOn w:val="Akapitzlist"/>
    <w:next w:val="Normalny"/>
    <w:link w:val="Nagwek2Znak"/>
    <w:uiPriority w:val="9"/>
    <w:unhideWhenUsed/>
    <w:qFormat/>
    <w:rsid w:val="00670410"/>
    <w:pPr>
      <w:numPr>
        <w:numId w:val="1"/>
      </w:numPr>
      <w:outlineLvl w:val="1"/>
    </w:pPr>
    <w:rPr>
      <w:b/>
    </w:rPr>
  </w:style>
  <w:style w:type="paragraph" w:styleId="Nagwek3">
    <w:name w:val="heading 3"/>
    <w:basedOn w:val="Akapitzlist"/>
    <w:next w:val="Normalny"/>
    <w:link w:val="Nagwek3Znak"/>
    <w:uiPriority w:val="9"/>
    <w:unhideWhenUsed/>
    <w:qFormat/>
    <w:rsid w:val="00670410"/>
    <w:pPr>
      <w:numPr>
        <w:ilvl w:val="1"/>
        <w:numId w:val="1"/>
      </w:numPr>
      <w:outlineLvl w:val="2"/>
    </w:pPr>
    <w:rPr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70410"/>
    <w:rPr>
      <w:rFonts w:ascii="Times New Roman" w:hAnsi="Times New Roman" w:cs="Times New Roman"/>
      <w:b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670410"/>
    <w:rPr>
      <w:rFonts w:ascii="Times New Roman" w:hAnsi="Times New Roman" w:cs="Times New Roman"/>
      <w:b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670410"/>
    <w:rPr>
      <w:rFonts w:ascii="Times New Roman" w:hAnsi="Times New Roman" w:cs="Times New Roman"/>
      <w:i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70410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70410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70410"/>
    <w:rPr>
      <w:vertAlign w:val="superscript"/>
    </w:rPr>
  </w:style>
  <w:style w:type="paragraph" w:styleId="Akapitzlist">
    <w:name w:val="List Paragraph"/>
    <w:basedOn w:val="Normalny"/>
    <w:uiPriority w:val="34"/>
    <w:qFormat/>
    <w:rsid w:val="0067041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92E41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2E4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536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KTpunkt">
    <w:name w:val="PKT – punkt"/>
    <w:uiPriority w:val="13"/>
    <w:qFormat/>
    <w:rsid w:val="001735A1"/>
    <w:pPr>
      <w:spacing w:after="0" w:line="360" w:lineRule="auto"/>
      <w:ind w:left="510" w:hanging="510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paragraph" w:customStyle="1" w:styleId="LITlitera">
    <w:name w:val="LIT – litera"/>
    <w:basedOn w:val="Normalny"/>
    <w:uiPriority w:val="14"/>
    <w:qFormat/>
    <w:rsid w:val="00D204ED"/>
    <w:pPr>
      <w:spacing w:before="0" w:line="360" w:lineRule="auto"/>
      <w:ind w:left="986" w:hanging="476"/>
    </w:pPr>
    <w:rPr>
      <w:rFonts w:ascii="Times" w:eastAsiaTheme="minorEastAsia" w:hAnsi="Times" w:cs="Arial"/>
      <w:bCs/>
      <w:szCs w:val="20"/>
      <w:lang w:eastAsia="pl-PL"/>
    </w:rPr>
  </w:style>
  <w:style w:type="paragraph" w:customStyle="1" w:styleId="OZNPROJEKTUwskazaniedatylubwersjiprojektu">
    <w:name w:val="OZN_PROJEKTU – wskazanie daty lub wersji projektu"/>
    <w:next w:val="Normalny"/>
    <w:uiPriority w:val="5"/>
    <w:qFormat/>
    <w:rsid w:val="00BE63B5"/>
    <w:pPr>
      <w:spacing w:after="0" w:line="360" w:lineRule="auto"/>
      <w:jc w:val="right"/>
    </w:pPr>
    <w:rPr>
      <w:rFonts w:ascii="Times New Roman" w:eastAsiaTheme="minorEastAsia" w:hAnsi="Times New Roman" w:cs="Arial"/>
      <w:sz w:val="24"/>
      <w:szCs w:val="20"/>
      <w:u w:val="single"/>
      <w:lang w:eastAsia="pl-PL"/>
    </w:rPr>
  </w:style>
  <w:style w:type="paragraph" w:styleId="Poprawka">
    <w:name w:val="Revision"/>
    <w:hidden/>
    <w:uiPriority w:val="99"/>
    <w:semiHidden/>
    <w:rsid w:val="00083AB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55F92"/>
    <w:pPr>
      <w:spacing w:before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55F92"/>
    <w:rPr>
      <w:rFonts w:ascii="Times New Roman" w:hAnsi="Times New Roman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55F92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06E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C06E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C06E5"/>
    <w:rPr>
      <w:rFonts w:ascii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4D6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4D66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59D26-0892-44BD-B17C-AA3A47404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12</Pages>
  <Words>3023</Words>
  <Characters>18141</Characters>
  <Application>Microsoft Office Word</Application>
  <DocSecurity>0</DocSecurity>
  <Lines>151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Kmiecik</dc:creator>
  <cp:lastModifiedBy>Marciniak Łukasz</cp:lastModifiedBy>
  <cp:revision>23</cp:revision>
  <cp:lastPrinted>2024-02-01T14:22:00Z</cp:lastPrinted>
  <dcterms:created xsi:type="dcterms:W3CDTF">2024-02-05T09:44:00Z</dcterms:created>
  <dcterms:modified xsi:type="dcterms:W3CDTF">2024-02-05T14:52:00Z</dcterms:modified>
</cp:coreProperties>
</file>