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35" w:rsidRDefault="00C443B5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Kołobrzeg 14.04.2020 r. </w:t>
      </w:r>
    </w:p>
    <w:p w:rsidR="00183635" w:rsidRDefault="00183635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83635" w:rsidRDefault="00C443B5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183635" w:rsidRDefault="00C443B5">
      <w:pPr>
        <w:spacing w:line="360" w:lineRule="auto"/>
        <w:ind w:firstLine="439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Pan Andrzej Porawski</w:t>
      </w:r>
    </w:p>
    <w:p w:rsidR="00183635" w:rsidRDefault="00C443B5">
      <w:pPr>
        <w:spacing w:line="360" w:lineRule="auto"/>
        <w:ind w:firstLine="439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Dyrektor Biura ZMP</w:t>
      </w:r>
    </w:p>
    <w:p w:rsidR="00183635" w:rsidRDefault="0018363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83635" w:rsidRDefault="0018363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83635" w:rsidRDefault="0018363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83635" w:rsidRDefault="00C443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Uwagi do projektu ustawy „COVID-19”  posiedzenie Zarządu ZMP</w:t>
      </w:r>
    </w:p>
    <w:p w:rsidR="00183635" w:rsidRDefault="00183635">
      <w:pPr>
        <w:spacing w:line="360" w:lineRule="auto"/>
        <w:rPr>
          <w:rFonts w:ascii="Arial" w:hAnsi="Arial" w:cs="Arial"/>
          <w:sz w:val="24"/>
          <w:szCs w:val="24"/>
        </w:rPr>
      </w:pPr>
    </w:p>
    <w:p w:rsidR="00183635" w:rsidRDefault="00183635">
      <w:pPr>
        <w:spacing w:line="360" w:lineRule="auto"/>
        <w:rPr>
          <w:rFonts w:ascii="Arial" w:hAnsi="Arial" w:cs="Arial"/>
          <w:sz w:val="24"/>
          <w:szCs w:val="24"/>
        </w:rPr>
      </w:pPr>
    </w:p>
    <w:p w:rsidR="00183635" w:rsidRDefault="00C443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Ustalenia dot. Ustawy o planowaniu i </w:t>
      </w:r>
      <w:r>
        <w:rPr>
          <w:rFonts w:ascii="Arial" w:hAnsi="Arial" w:cs="Arial"/>
          <w:sz w:val="24"/>
          <w:szCs w:val="24"/>
        </w:rPr>
        <w:t xml:space="preserve">zagospodarowaniu przestrzennym nie wnoszą nic niepokojącego. </w:t>
      </w:r>
    </w:p>
    <w:p w:rsidR="00183635" w:rsidRDefault="00C443B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Natomiast zmiany samej ustawy z dnia 2 marca 2020 r. o szczególnych rozwiązaniach związanych z zapobieganiem, przeciwdziałaniem i zwalczaniem COVID-19, innych chorób zakaźnych oraz wywołanych ni</w:t>
      </w:r>
      <w:r>
        <w:rPr>
          <w:rFonts w:ascii="Arial" w:hAnsi="Arial" w:cs="Arial"/>
          <w:sz w:val="24"/>
          <w:szCs w:val="24"/>
        </w:rPr>
        <w:t xml:space="preserve">mi sytuacji kryzysowych mogą sprawić, że </w:t>
      </w:r>
      <w:r>
        <w:rPr>
          <w:rFonts w:ascii="Arial" w:hAnsi="Arial" w:cs="Arial"/>
          <w:sz w:val="24"/>
          <w:szCs w:val="24"/>
          <w:u w:val="single"/>
        </w:rPr>
        <w:t xml:space="preserve">operatorzy sieci telefonii komórkowych mogą budować  infrastrukturę bez procedur. </w:t>
      </w:r>
      <w:r>
        <w:rPr>
          <w:rFonts w:ascii="Arial" w:hAnsi="Arial" w:cs="Arial"/>
          <w:sz w:val="24"/>
          <w:szCs w:val="24"/>
        </w:rPr>
        <w:t xml:space="preserve">Problem ten zwiastuje Art.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niniejszego projektu zmiany ustawy. Nie jest to zmiana istniejącego zapisu, a </w:t>
      </w:r>
      <w:r>
        <w:rPr>
          <w:rFonts w:ascii="Arial" w:hAnsi="Arial" w:cs="Arial"/>
          <w:b/>
          <w:bCs/>
          <w:sz w:val="24"/>
          <w:szCs w:val="24"/>
        </w:rPr>
        <w:t>pojawienie się noweg</w:t>
      </w:r>
      <w:r>
        <w:rPr>
          <w:rFonts w:ascii="Arial" w:hAnsi="Arial" w:cs="Arial"/>
          <w:b/>
          <w:bCs/>
          <w:sz w:val="24"/>
          <w:szCs w:val="24"/>
        </w:rPr>
        <w:t>o artykułu 12b.,  który należałoby zmodyfikować w następujący sposób:</w:t>
      </w:r>
    </w:p>
    <w:p w:rsidR="00183635" w:rsidRDefault="00C443B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„Art. 12b. 1. Jeżeli do utrzymania ciągłości działania istotnych usług, w szczególności w zakresie </w:t>
      </w:r>
      <w:r>
        <w:rPr>
          <w:rFonts w:ascii="Arial" w:hAnsi="Arial" w:cs="Arial"/>
          <w:strike/>
          <w:color w:val="FF0000"/>
          <w:sz w:val="24"/>
          <w:szCs w:val="24"/>
          <w:u w:val="single"/>
        </w:rPr>
        <w:t>telekomunikacji, łączności publicznej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</w:rPr>
        <w:t>transportu, świadczeń zdrowotnych, energetyki, h</w:t>
      </w:r>
      <w:r>
        <w:rPr>
          <w:rFonts w:ascii="Arial" w:hAnsi="Arial" w:cs="Arial"/>
          <w:sz w:val="24"/>
          <w:szCs w:val="24"/>
        </w:rPr>
        <w:t xml:space="preserve">andlu, gospodarki wodnej lub kanalizacyjnej, oczyszczania ścieków, porządku publicznego, obronności, niezbędne jest projektowanie, budowa, przebudowa, </w:t>
      </w:r>
      <w:r>
        <w:rPr>
          <w:rFonts w:ascii="Arial" w:hAnsi="Arial" w:cs="Arial"/>
          <w:color w:val="000000"/>
          <w:sz w:val="24"/>
          <w:szCs w:val="24"/>
        </w:rPr>
        <w:t>zmiana sposobu użytkowania,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remont, utrzymanie lub rozbiórka obiektów budowlanych, art. 12 stosuje się </w:t>
      </w:r>
      <w:r>
        <w:rPr>
          <w:rFonts w:ascii="Arial" w:hAnsi="Arial" w:cs="Arial"/>
          <w:sz w:val="24"/>
          <w:szCs w:val="24"/>
        </w:rPr>
        <w:t>odpowiednio”</w:t>
      </w:r>
    </w:p>
    <w:p w:rsidR="00183635" w:rsidRDefault="00183635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</w:p>
    <w:p w:rsidR="00183635" w:rsidRDefault="00183635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</w:p>
    <w:p w:rsidR="00183635" w:rsidRDefault="00C443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Projekt ustawy wprowadza pewne zapisy, ale nie odzwierciedlają one w mojej ocenie postulatów ZMP, a więc:</w:t>
      </w:r>
    </w:p>
    <w:p w:rsidR="00183635" w:rsidRDefault="00C443B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-  wprowadzenie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części rekompensującej subwencji ogólnej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pokrywającej na bieżąco ubytki w dochodach własnych JST, spowodowan</w:t>
      </w:r>
      <w:r>
        <w:rPr>
          <w:rFonts w:ascii="Arial" w:hAnsi="Arial" w:cs="Arial"/>
          <w:sz w:val="24"/>
          <w:szCs w:val="24"/>
        </w:rPr>
        <w:t>ych następstwami epidemii;</w:t>
      </w:r>
    </w:p>
    <w:p w:rsidR="00183635" w:rsidRDefault="00C443B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–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zawieszenie, do końca roku 2023, wpłat JST do budżetu państwa</w:t>
      </w:r>
      <w:r>
        <w:rPr>
          <w:rFonts w:ascii="Arial" w:hAnsi="Arial" w:cs="Arial"/>
          <w:sz w:val="24"/>
          <w:szCs w:val="24"/>
        </w:rPr>
        <w:t xml:space="preserve">, o których mowa w art. 29 ust 1, art. 30 ust. 1 i art. 70a ust 1 </w:t>
      </w:r>
      <w:proofErr w:type="spellStart"/>
      <w:r>
        <w:rPr>
          <w:rFonts w:ascii="Arial" w:hAnsi="Arial" w:cs="Arial"/>
          <w:sz w:val="24"/>
          <w:szCs w:val="24"/>
        </w:rPr>
        <w:t>ufp</w:t>
      </w:r>
      <w:proofErr w:type="spellEnd"/>
      <w:r>
        <w:rPr>
          <w:rFonts w:ascii="Arial" w:hAnsi="Arial" w:cs="Arial"/>
          <w:sz w:val="24"/>
          <w:szCs w:val="24"/>
        </w:rPr>
        <w:t xml:space="preserve"> (w ramach systemu wyrównawczego);</w:t>
      </w:r>
    </w:p>
    <w:p w:rsidR="00183635" w:rsidRDefault="00C443B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– zawieszenie do 2023 roku działania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przepisów art. 242 i 243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ustawy o finansach publicznych</w:t>
      </w:r>
      <w:r>
        <w:rPr>
          <w:rFonts w:ascii="Arial" w:hAnsi="Arial" w:cs="Arial"/>
          <w:b/>
          <w:bCs/>
          <w:sz w:val="24"/>
          <w:szCs w:val="24"/>
        </w:rPr>
        <w:t>;</w:t>
      </w:r>
    </w:p>
    <w:p w:rsidR="00183635" w:rsidRDefault="00C443B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– wprowadzenie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rekompensaty z budżetu państwa za rosnące koszty funkcjonowania niewydolnego systemu gospodarowania odpadami komunalnymi</w:t>
      </w:r>
      <w:r>
        <w:rPr>
          <w:rFonts w:ascii="Arial" w:hAnsi="Arial" w:cs="Arial"/>
          <w:sz w:val="24"/>
          <w:szCs w:val="24"/>
        </w:rPr>
        <w:t xml:space="preserve"> przy ustawowej blokadzie poziomu opłat.</w:t>
      </w:r>
    </w:p>
    <w:p w:rsidR="00183635" w:rsidRDefault="00C443B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Trudno przedstawiać propozycje rozwiązań, </w:t>
      </w:r>
      <w:r>
        <w:rPr>
          <w:rFonts w:ascii="Arial" w:hAnsi="Arial" w:cs="Arial"/>
          <w:b/>
          <w:bCs/>
          <w:sz w:val="24"/>
          <w:szCs w:val="24"/>
        </w:rPr>
        <w:t>niemni</w:t>
      </w:r>
      <w:r>
        <w:rPr>
          <w:rFonts w:ascii="Arial" w:hAnsi="Arial" w:cs="Arial"/>
          <w:b/>
          <w:bCs/>
          <w:sz w:val="24"/>
          <w:szCs w:val="24"/>
        </w:rPr>
        <w:t xml:space="preserve">ej nie sposób nie zgodzić się z ww. postulatami ZMP, które powinny być uwzględnione w ustawie „antykryzysowej”, a tak nie jest. </w:t>
      </w:r>
      <w:r>
        <w:rPr>
          <w:rFonts w:ascii="Arial" w:hAnsi="Arial" w:cs="Arial"/>
          <w:sz w:val="24"/>
          <w:szCs w:val="24"/>
        </w:rPr>
        <w:t xml:space="preserve">W art. 15zoa proponuje się np. zapis, który da możliwość przekroczenia relacji, o której mowa w art. 242 ustawy o </w:t>
      </w:r>
      <w:proofErr w:type="spellStart"/>
      <w:r>
        <w:rPr>
          <w:rFonts w:ascii="Arial" w:hAnsi="Arial" w:cs="Arial"/>
          <w:sz w:val="24"/>
          <w:szCs w:val="24"/>
        </w:rPr>
        <w:t>fp</w:t>
      </w:r>
      <w:proofErr w:type="spellEnd"/>
      <w:r>
        <w:rPr>
          <w:rFonts w:ascii="Arial" w:hAnsi="Arial" w:cs="Arial"/>
          <w:sz w:val="24"/>
          <w:szCs w:val="24"/>
        </w:rPr>
        <w:t xml:space="preserve">. Ale tylko </w:t>
      </w:r>
      <w:r>
        <w:rPr>
          <w:rFonts w:ascii="Arial" w:hAnsi="Arial" w:cs="Arial"/>
          <w:sz w:val="24"/>
          <w:szCs w:val="24"/>
        </w:rPr>
        <w:t xml:space="preserve">o kwotę tych wydatków bieżących, które ponoszone były w celu realizacji zadań związanych z przeciwdziałaniem COVID-19 (…). Zapis taki nie jest odzwierciedleniem postulatu ZMP i może być niewystarczający do zachowania wymogów wynikających z ustawy o </w:t>
      </w:r>
      <w:proofErr w:type="spellStart"/>
      <w:r>
        <w:rPr>
          <w:rFonts w:ascii="Arial" w:hAnsi="Arial" w:cs="Arial"/>
          <w:sz w:val="24"/>
          <w:szCs w:val="24"/>
        </w:rPr>
        <w:t>fp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83635" w:rsidRDefault="001836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3635" w:rsidRDefault="001836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3635" w:rsidRDefault="00C443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 zakresie gospodarki odpadami: </w:t>
      </w:r>
    </w:p>
    <w:p w:rsidR="00183635" w:rsidRDefault="00183635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3635" w:rsidRDefault="00C443B5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w ustawie są tylko ogólne zapisy cedujące na wojewodę zagadnienia dotyczące gospodarki odpadami </w:t>
      </w:r>
      <w:proofErr w:type="spellStart"/>
      <w:r>
        <w:rPr>
          <w:rFonts w:ascii="Arial" w:eastAsia="Times New Roman" w:hAnsi="Arial" w:cs="Arial"/>
          <w:sz w:val="24"/>
          <w:szCs w:val="24"/>
        </w:rPr>
        <w:t>m.in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segregacji odpadów czy składowania lub termicznego przekształcania odpadów, pozostałe przedstawiane są w wytycznych Mini</w:t>
      </w:r>
      <w:r>
        <w:rPr>
          <w:rFonts w:ascii="Arial" w:eastAsia="Times New Roman" w:hAnsi="Arial" w:cs="Arial"/>
          <w:sz w:val="24"/>
          <w:szCs w:val="24"/>
        </w:rPr>
        <w:t xml:space="preserve">stra Klimatu  </w:t>
      </w:r>
    </w:p>
    <w:p w:rsidR="00183635" w:rsidRDefault="00C443B5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koszt odbioru i zagospodarowania odpadów pochodzących z miejsc izolacji - objętych przez gminy będzie bardzo wysoki i patrząc na obecny rynek odpadów może być tylko drożej.  </w:t>
      </w:r>
    </w:p>
    <w:p w:rsidR="00183635" w:rsidRDefault="00183635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3635" w:rsidRDefault="00C443B5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Nadal brak regulacji dotyczących pomocy samorządom w tym zakres</w:t>
      </w:r>
      <w:r>
        <w:rPr>
          <w:rFonts w:ascii="Arial" w:eastAsia="Times New Roman" w:hAnsi="Arial" w:cs="Arial"/>
          <w:sz w:val="24"/>
          <w:szCs w:val="24"/>
        </w:rPr>
        <w:t xml:space="preserve">ie. </w:t>
      </w:r>
    </w:p>
    <w:p w:rsidR="00183635" w:rsidRDefault="001836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3635" w:rsidRDefault="001836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3635" w:rsidRDefault="001836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3635" w:rsidRDefault="00C443B5">
      <w:pPr>
        <w:spacing w:line="360" w:lineRule="auto"/>
        <w:jc w:val="both"/>
      </w:pPr>
      <w:bookmarkStart w:id="0" w:name="_MailEndCompose"/>
      <w:r>
        <w:rPr>
          <w:rFonts w:ascii="Arial" w:hAnsi="Arial" w:cs="Arial"/>
          <w:sz w:val="24"/>
          <w:szCs w:val="24"/>
        </w:rPr>
        <w:t xml:space="preserve">4.SKARBNIK: Nadal proponuję wprowadzić przepis </w:t>
      </w:r>
      <w:r>
        <w:rPr>
          <w:rFonts w:ascii="Arial" w:hAnsi="Arial" w:cs="Arial"/>
          <w:sz w:val="24"/>
          <w:szCs w:val="24"/>
          <w:u w:val="single"/>
        </w:rPr>
        <w:t>zmieniający art. 89 ust. 2</w:t>
      </w:r>
      <w:r>
        <w:rPr>
          <w:rFonts w:ascii="Arial" w:hAnsi="Arial" w:cs="Arial"/>
          <w:sz w:val="24"/>
          <w:szCs w:val="24"/>
        </w:rPr>
        <w:t xml:space="preserve"> ustawy o finansach publicznych (czerwoną czcionką wyróżniłam propozycję zmiany): </w:t>
      </w:r>
      <w:bookmarkEnd w:id="0"/>
    </w:p>
    <w:p w:rsidR="00183635" w:rsidRDefault="00183635">
      <w:pPr>
        <w:spacing w:line="360" w:lineRule="auto"/>
        <w:jc w:val="both"/>
        <w:rPr>
          <w:rFonts w:ascii="Arial" w:hAnsi="Arial" w:cs="Arial"/>
          <w:color w:val="005E5C"/>
          <w:sz w:val="24"/>
          <w:szCs w:val="24"/>
        </w:rPr>
      </w:pPr>
    </w:p>
    <w:p w:rsidR="00183635" w:rsidRDefault="00C443B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Art.  89.  [Cele zaciągania kredytów i pożyczek oraz emitowania papierów wartościowych </w:t>
      </w:r>
      <w:r>
        <w:rPr>
          <w:rFonts w:ascii="Arial" w:hAnsi="Arial" w:cs="Arial"/>
          <w:sz w:val="24"/>
          <w:szCs w:val="24"/>
        </w:rPr>
        <w:t xml:space="preserve">przez </w:t>
      </w:r>
      <w:proofErr w:type="spellStart"/>
      <w:r>
        <w:rPr>
          <w:rFonts w:ascii="Arial" w:hAnsi="Arial" w:cs="Arial"/>
          <w:sz w:val="24"/>
          <w:szCs w:val="24"/>
        </w:rPr>
        <w:t>j.s.t</w:t>
      </w:r>
      <w:proofErr w:type="spellEnd"/>
      <w:r>
        <w:rPr>
          <w:rFonts w:ascii="Arial" w:hAnsi="Arial" w:cs="Arial"/>
          <w:sz w:val="24"/>
          <w:szCs w:val="24"/>
        </w:rPr>
        <w:t xml:space="preserve">.] </w:t>
      </w:r>
    </w:p>
    <w:p w:rsidR="00183635" w:rsidRDefault="00C443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 Jednostki samorządu terytorialnego mogą zaciągać kredyty i pożyczki oraz emitować papiery wartościowe na:</w:t>
      </w:r>
    </w:p>
    <w:p w:rsidR="00183635" w:rsidRDefault="00C443B5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shd w:val="clear" w:color="auto" w:fill="FFFF00"/>
        </w:rPr>
        <w:t>1) pokrycie występującego w ciągu roku przejściowego deficytu budżetu jednostki samorządu terytorialnego;</w:t>
      </w:r>
    </w:p>
    <w:p w:rsidR="00183635" w:rsidRDefault="00C443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finansowanie planowane</w:t>
      </w:r>
      <w:r>
        <w:rPr>
          <w:rFonts w:ascii="Arial" w:hAnsi="Arial" w:cs="Arial"/>
          <w:sz w:val="24"/>
          <w:szCs w:val="24"/>
        </w:rPr>
        <w:t>go deficytu budżetu jednostki samorządu terytorialnego;</w:t>
      </w:r>
    </w:p>
    <w:p w:rsidR="00183635" w:rsidRDefault="00C443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spłatę wcześniej zaciągniętych zobowiązań z tytułu emisji papierów wartościowych oraz zaciągniętych pożyczek i kredytów;</w:t>
      </w:r>
    </w:p>
    <w:p w:rsidR="00183635" w:rsidRDefault="00C443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wyprzedzające finansowanie działań finansowanych ze środków pochodzących </w:t>
      </w:r>
      <w:r>
        <w:rPr>
          <w:rFonts w:ascii="Arial" w:hAnsi="Arial" w:cs="Arial"/>
          <w:sz w:val="24"/>
          <w:szCs w:val="24"/>
        </w:rPr>
        <w:t>z budżetu Unii Europejskiej.</w:t>
      </w:r>
    </w:p>
    <w:p w:rsidR="00183635" w:rsidRDefault="00C443B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2.  Zaciągnięte kredyty i pożyczki oraz wyemitowane papiery wartościowe, z przeznaczeniem na cel, o którym mowa w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1, podlegają spłacie lub wykupowi </w:t>
      </w:r>
      <w:r>
        <w:rPr>
          <w:rFonts w:ascii="Arial" w:hAnsi="Arial" w:cs="Arial"/>
          <w:strike/>
          <w:color w:val="FF0000"/>
          <w:sz w:val="24"/>
          <w:szCs w:val="24"/>
          <w:shd w:val="clear" w:color="auto" w:fill="FFFF00"/>
        </w:rPr>
        <w:t>w tym samym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 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00"/>
        </w:rPr>
        <w:t>2021 roku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, </w:t>
      </w:r>
      <w:r>
        <w:rPr>
          <w:rFonts w:ascii="Arial" w:hAnsi="Arial" w:cs="Arial"/>
          <w:strike/>
          <w:color w:val="FF0000"/>
          <w:sz w:val="24"/>
          <w:szCs w:val="24"/>
          <w:shd w:val="clear" w:color="auto" w:fill="FFFF00"/>
        </w:rPr>
        <w:t>w którym zostały zaciągnięte lub wyemitowane</w:t>
      </w:r>
      <w:r>
        <w:rPr>
          <w:rFonts w:ascii="Arial" w:hAnsi="Arial" w:cs="Arial"/>
          <w:sz w:val="24"/>
          <w:szCs w:val="24"/>
          <w:shd w:val="clear" w:color="auto" w:fill="FFFF00"/>
        </w:rPr>
        <w:t>.</w:t>
      </w:r>
    </w:p>
    <w:p w:rsidR="00183635" w:rsidRDefault="001836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3635" w:rsidRDefault="00C443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Wprowadzenie wydłużenia na 2021 r. możliwości spłaty lub wykupu zobowiązań kredytowych zaciągniętych na finansowanie przejściowego deficytu budżetu jednostki samorządu terytorialnego powstałego w 2020 r. w sytuacji braku zachowania płynności finansowej </w:t>
      </w:r>
      <w:r>
        <w:rPr>
          <w:rFonts w:ascii="Arial" w:hAnsi="Arial" w:cs="Arial"/>
          <w:sz w:val="24"/>
          <w:szCs w:val="24"/>
        </w:rPr>
        <w:t xml:space="preserve">umożliwiającej terminowe dokonywanie płatności finansowanych z budżetu, spowodowanej skutkami udzielonych zwolnień, przedłużonych terminów zapłaty lub negatywnych konsekwencji wynikających z udzielnych umorzeń i ulg. </w:t>
      </w:r>
    </w:p>
    <w:p w:rsidR="00183635" w:rsidRDefault="00C443B5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u w:val="single"/>
        </w:rPr>
        <w:t>Problem jest w tym</w:t>
      </w:r>
      <w:r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b/>
          <w:bCs/>
          <w:sz w:val="24"/>
          <w:szCs w:val="24"/>
        </w:rPr>
        <w:t>kredyt na w rac</w:t>
      </w:r>
      <w:r>
        <w:rPr>
          <w:rFonts w:ascii="Arial" w:hAnsi="Arial" w:cs="Arial"/>
          <w:b/>
          <w:bCs/>
          <w:sz w:val="24"/>
          <w:szCs w:val="24"/>
        </w:rPr>
        <w:t xml:space="preserve">hunku bieżącym na przejściowy deficyt jest </w:t>
      </w:r>
      <w:r>
        <w:rPr>
          <w:rFonts w:ascii="Arial" w:hAnsi="Arial" w:cs="Arial"/>
          <w:b/>
          <w:bCs/>
          <w:sz w:val="24"/>
          <w:szCs w:val="24"/>
          <w:u w:val="single"/>
        </w:rPr>
        <w:t>znacznie</w:t>
      </w:r>
      <w:r>
        <w:rPr>
          <w:rFonts w:ascii="Arial" w:hAnsi="Arial" w:cs="Arial"/>
          <w:b/>
          <w:bCs/>
          <w:sz w:val="24"/>
          <w:szCs w:val="24"/>
        </w:rPr>
        <w:t xml:space="preserve"> tańszy dla JST od kredytu długoterminowego</w:t>
      </w:r>
      <w:r>
        <w:rPr>
          <w:rFonts w:ascii="Arial" w:hAnsi="Arial" w:cs="Arial"/>
          <w:sz w:val="24"/>
          <w:szCs w:val="24"/>
        </w:rPr>
        <w:t xml:space="preserve"> i procedura jego pozyskania dla każdego samorządu jest znacznie uproszczona</w:t>
      </w:r>
    </w:p>
    <w:p w:rsidR="00183635" w:rsidRDefault="00183635">
      <w:pPr>
        <w:jc w:val="both"/>
        <w:rPr>
          <w:sz w:val="24"/>
          <w:szCs w:val="24"/>
        </w:rPr>
      </w:pPr>
    </w:p>
    <w:p w:rsidR="00183635" w:rsidRDefault="00C443B5">
      <w:pPr>
        <w:pStyle w:val="Default"/>
        <w:spacing w:line="360" w:lineRule="auto"/>
        <w:jc w:val="both"/>
      </w:pPr>
      <w:r>
        <w:rPr>
          <w:rFonts w:ascii="Arial" w:hAnsi="Arial" w:cs="Arial"/>
        </w:rPr>
        <w:t>5. Gmina Miasto Kołobrzeg ponadto wnosi o zmianę przepisów dotyczących podatku VAT w</w:t>
      </w:r>
      <w:r>
        <w:rPr>
          <w:rFonts w:ascii="Arial" w:hAnsi="Arial" w:cs="Arial"/>
        </w:rPr>
        <w:t xml:space="preserve"> zakresie  odstąpienia od obowiązku odprowadzania  podatku  VAT od sprz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daży  usług najmu i dzierżawy nieruchomości na cele użytkowe, w przypadku gdy podjęto uchwałę Rady Gminy o odstąpieniu od dochodzenia tych należności  (na podstawie art.15 </w:t>
      </w:r>
      <w:proofErr w:type="spellStart"/>
      <w:r>
        <w:rPr>
          <w:rFonts w:ascii="Arial" w:hAnsi="Arial" w:cs="Arial"/>
        </w:rPr>
        <w:t>zzze</w:t>
      </w:r>
      <w:proofErr w:type="spellEnd"/>
      <w:r>
        <w:rPr>
          <w:rFonts w:ascii="Arial" w:hAnsi="Arial" w:cs="Arial"/>
        </w:rPr>
        <w:t xml:space="preserve"> ust.2 U</w:t>
      </w:r>
      <w:r>
        <w:rPr>
          <w:rFonts w:ascii="Arial" w:hAnsi="Arial" w:cs="Arial"/>
        </w:rPr>
        <w:t xml:space="preserve">stawy z dnia 31 marca 2020 r. </w:t>
      </w:r>
      <w:r>
        <w:rPr>
          <w:rFonts w:ascii="Arial" w:hAnsi="Arial" w:cs="Arial"/>
          <w:bCs/>
        </w:rPr>
        <w:t xml:space="preserve">o zmianie ustawy o szczególnych rozwiązaniach związanych z zapobieganiem, przeciwdziałaniem i </w:t>
      </w:r>
      <w:r>
        <w:rPr>
          <w:rFonts w:ascii="Arial" w:hAnsi="Arial" w:cs="Arial"/>
          <w:bCs/>
        </w:rPr>
        <w:lastRenderedPageBreak/>
        <w:t>zwalczaniem COVID-19, innych chorób zakaźnych oraz wywołanych nimi sytuacji kryzysowych oraz niektórych innych ustaw).</w:t>
      </w:r>
    </w:p>
    <w:p w:rsidR="00183635" w:rsidRDefault="00C443B5">
      <w:pPr>
        <w:suppressAutoHyphens w:val="0"/>
        <w:spacing w:line="360" w:lineRule="auto"/>
        <w:ind w:firstLine="708"/>
        <w:jc w:val="both"/>
        <w:textAlignment w:val="auto"/>
      </w:pPr>
      <w:r>
        <w:rPr>
          <w:rFonts w:ascii="Arial" w:hAnsi="Arial" w:cs="Arial"/>
          <w:sz w:val="24"/>
          <w:szCs w:val="24"/>
        </w:rPr>
        <w:t>Na gruncie ak</w:t>
      </w:r>
      <w:r>
        <w:rPr>
          <w:rFonts w:ascii="Arial" w:hAnsi="Arial" w:cs="Arial"/>
          <w:sz w:val="24"/>
          <w:szCs w:val="24"/>
        </w:rPr>
        <w:t>tualnie obowiązujących przepisów  obowiązek podatkowy przy sprzedaży usług najmu i dzierżawy nieruchomości na cele użytkowe powstaje z chw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lą wystawienia faktury z tego tytułu, lecz nie później niż z chwilą upływu terminu pła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ności.   Wobec  powyższego,  G</w:t>
      </w:r>
      <w:r>
        <w:rPr>
          <w:rFonts w:ascii="Arial" w:hAnsi="Arial" w:cs="Arial"/>
          <w:sz w:val="24"/>
          <w:szCs w:val="24"/>
        </w:rPr>
        <w:t>mina zwalniając przedsiębiorców z obowiązku zapł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ty należności  z tytułu najmu i dzierżawy  jest zobligowana do zapłaty podatku VAT z własnych środków. W dobie  gwałtownego spadku   wpływów z tytułu dochodów b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dżetowych  do  budżetu  </w:t>
      </w:r>
      <w:proofErr w:type="spellStart"/>
      <w:r>
        <w:rPr>
          <w:rFonts w:ascii="Arial" w:hAnsi="Arial" w:cs="Arial"/>
          <w:sz w:val="24"/>
          <w:szCs w:val="24"/>
        </w:rPr>
        <w:t>j.s.t</w:t>
      </w:r>
      <w:proofErr w:type="spellEnd"/>
      <w:r>
        <w:rPr>
          <w:rFonts w:ascii="Arial" w:hAnsi="Arial" w:cs="Arial"/>
          <w:sz w:val="24"/>
          <w:szCs w:val="24"/>
        </w:rPr>
        <w:t>. znacząco pogors</w:t>
      </w:r>
      <w:r>
        <w:rPr>
          <w:rFonts w:ascii="Arial" w:hAnsi="Arial" w:cs="Arial"/>
          <w:sz w:val="24"/>
          <w:szCs w:val="24"/>
        </w:rPr>
        <w:t>zy to sytuację finansową Gminy.</w:t>
      </w:r>
    </w:p>
    <w:p w:rsidR="00183635" w:rsidRDefault="001836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3635" w:rsidRDefault="00C443B5">
      <w:pPr>
        <w:spacing w:line="360" w:lineRule="auto"/>
        <w:ind w:firstLine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Mieczkowska</w:t>
      </w:r>
    </w:p>
    <w:p w:rsidR="00183635" w:rsidRDefault="00C443B5">
      <w:pPr>
        <w:spacing w:line="360" w:lineRule="auto"/>
        <w:ind w:firstLine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Kołobrzeg</w:t>
      </w:r>
    </w:p>
    <w:p w:rsidR="00183635" w:rsidRDefault="00183635">
      <w:pPr>
        <w:rPr>
          <w:sz w:val="28"/>
          <w:szCs w:val="28"/>
        </w:rPr>
      </w:pPr>
    </w:p>
    <w:sectPr w:rsidR="00183635" w:rsidSect="0018363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B5" w:rsidRDefault="00C443B5" w:rsidP="00183635">
      <w:r>
        <w:separator/>
      </w:r>
    </w:p>
  </w:endnote>
  <w:endnote w:type="continuationSeparator" w:id="0">
    <w:p w:rsidR="00C443B5" w:rsidRDefault="00C443B5" w:rsidP="0018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B5" w:rsidRDefault="00C443B5" w:rsidP="00183635">
      <w:r w:rsidRPr="00183635">
        <w:rPr>
          <w:color w:val="000000"/>
        </w:rPr>
        <w:separator/>
      </w:r>
    </w:p>
  </w:footnote>
  <w:footnote w:type="continuationSeparator" w:id="0">
    <w:p w:rsidR="00C443B5" w:rsidRDefault="00C443B5" w:rsidP="00183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2652"/>
    <w:multiLevelType w:val="multilevel"/>
    <w:tmpl w:val="9E50FBC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4CD7"/>
    <w:multiLevelType w:val="multilevel"/>
    <w:tmpl w:val="39421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635"/>
    <w:rsid w:val="00183635"/>
    <w:rsid w:val="00A24FDF"/>
    <w:rsid w:val="00C4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83635"/>
    <w:pPr>
      <w:suppressAutoHyphens/>
      <w:spacing w:after="0" w:line="240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sid w:val="00183635"/>
    <w:rPr>
      <w:b/>
      <w:bCs/>
    </w:rPr>
  </w:style>
  <w:style w:type="paragraph" w:styleId="Zwykytekst">
    <w:name w:val="Plain Text"/>
    <w:basedOn w:val="Normalny"/>
    <w:rsid w:val="00183635"/>
    <w:pPr>
      <w:suppressAutoHyphens w:val="0"/>
      <w:textAlignment w:val="auto"/>
    </w:pPr>
    <w:rPr>
      <w:rFonts w:cs="Times New Roman"/>
      <w:szCs w:val="21"/>
    </w:rPr>
  </w:style>
  <w:style w:type="character" w:customStyle="1" w:styleId="ZwykytekstZnak">
    <w:name w:val="Zwykły tekst Znak"/>
    <w:basedOn w:val="Domylnaczcionkaakapitu"/>
    <w:rsid w:val="00183635"/>
    <w:rPr>
      <w:rFonts w:eastAsia="Calibri" w:cs="Times New Roman"/>
      <w:szCs w:val="21"/>
    </w:rPr>
  </w:style>
  <w:style w:type="paragraph" w:styleId="Akapitzlist">
    <w:name w:val="List Paragraph"/>
    <w:basedOn w:val="Normalny"/>
    <w:rsid w:val="00183635"/>
    <w:pPr>
      <w:ind w:left="720"/>
    </w:pPr>
  </w:style>
  <w:style w:type="paragraph" w:customStyle="1" w:styleId="Default">
    <w:name w:val="Default"/>
    <w:rsid w:val="00183635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5043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pdabrowski</dc:creator>
  <cp:lastModifiedBy>asia</cp:lastModifiedBy>
  <cp:revision>2</cp:revision>
  <cp:lastPrinted>2020-04-15T14:14:00Z</cp:lastPrinted>
  <dcterms:created xsi:type="dcterms:W3CDTF">2020-04-15T14:15:00Z</dcterms:created>
  <dcterms:modified xsi:type="dcterms:W3CDTF">2020-04-15T14:15:00Z</dcterms:modified>
</cp:coreProperties>
</file>