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1" w:rsidRDefault="005A4A51" w:rsidP="005A4A51">
      <w:pPr>
        <w:pStyle w:val="NormalnyWeb"/>
        <w:jc w:val="both"/>
      </w:pPr>
      <w:r>
        <w:t xml:space="preserve">Przedstawiony projekt nie stanowi "tarczy samorządowej", a jest jedynie sposobem na przejściowe ograniczenie problemu w samorządach. W przedstawionej ustawie nie ma mowy o żadnej rekompensacie, która byłaby przewidziana dla </w:t>
      </w:r>
      <w:proofErr w:type="spellStart"/>
      <w:r>
        <w:t>jst</w:t>
      </w:r>
      <w:proofErr w:type="spellEnd"/>
      <w:r>
        <w:t xml:space="preserve"> w związku z ubytkiem dochodów, który nastąpi w związku z COVID-19. Jedynym przepisem, w którym przewidziano zwiększenie dochodu, jest proponowany przepis art. 15zzzga, zgodnie z którym z 25% do 50% zwiększa się udział powiatu z dochodów o których mowa w art. 23 ust. 3 ustawy o gospodarce nieruchomościami za okres od kwietnia do grudnia 2020 r. oraz z opłat za przekształcenie prawa użytkowania wieczystego. Warto zwrócić uwagę, że jest to zwiększenie iluzoryczne, gdyż zgodnie z przepisem art. 15zzze starosta lub prezydent miasta na prawach powiatu wykonujących zadania z zakresu administracji rządowe uzyskali możliwość umarzania, odraczania lub rozkładania na raty należności z tego tytułu, bez zgody wojewody. Bez wątpienia wnioski w tym zakresie będą się pojawiały i będzie wywierana presja na skorzystanie z możliwości wskazanej powyżej, w tym m.in. przez spółki Skarbu Państwa, więc zamiast zwiększenia nastąpi zmniejszenie dochodów </w:t>
      </w:r>
      <w:proofErr w:type="spellStart"/>
      <w:r>
        <w:t>jst</w:t>
      </w:r>
      <w:proofErr w:type="spellEnd"/>
      <w:r>
        <w:t>.</w:t>
      </w:r>
    </w:p>
    <w:p w:rsidR="005A4A51" w:rsidRDefault="005A4A51" w:rsidP="005A4A51">
      <w:pPr>
        <w:pStyle w:val="NormalnyWeb"/>
        <w:jc w:val="both"/>
      </w:pPr>
      <w:r>
        <w:t>Reszta proponowanych przepi</w:t>
      </w:r>
      <w:bookmarkStart w:id="0" w:name="_GoBack"/>
      <w:bookmarkEnd w:id="0"/>
      <w:r>
        <w:t>sów, jak na przykład przesunięcie terminu wpłaty do budżetu państwa nie rozwiązuje problemu, a jedynie przesuwa go w czasie i ma zapewnić możliwości formalnego funkcjonowania samorządów.</w:t>
      </w:r>
    </w:p>
    <w:p w:rsidR="00CE6FD0" w:rsidRDefault="005A4A51" w:rsidP="005A4A51">
      <w:pPr>
        <w:pStyle w:val="NormalnyWeb"/>
        <w:jc w:val="both"/>
      </w:pPr>
      <w:r>
        <w:t xml:space="preserve">Proponuję wprowadzenie zmian w ustawie o dochodach jednostek samorządu terytorialnego skutkujących zwiększeniem udziału </w:t>
      </w:r>
      <w:proofErr w:type="spellStart"/>
      <w:r>
        <w:t>jst</w:t>
      </w:r>
      <w:proofErr w:type="spellEnd"/>
      <w:r>
        <w:t xml:space="preserve"> we wpływach z podatku dochodowego od osób fizycznych, stanowiącego dochód budżetu państwa w 2020 r. co najmniej o 15%. Zwiększenie tej wartości przynajmniej częściowo zrekompensowałoby ubytek dochodów, który nastąpi w związku z COVID-19 i stanowiłoby rzeczywistą "tarczę samorządową".</w:t>
      </w:r>
    </w:p>
    <w:p w:rsidR="005A4A51" w:rsidRDefault="005A4A51" w:rsidP="005A4A51">
      <w:pPr>
        <w:pStyle w:val="NormalnyWeb"/>
        <w:jc w:val="both"/>
      </w:pPr>
      <w:r>
        <w:t xml:space="preserve">Ryszard Reszke </w:t>
      </w:r>
    </w:p>
    <w:p w:rsidR="005A4A51" w:rsidRDefault="005A4A51" w:rsidP="005A4A51">
      <w:pPr>
        <w:pStyle w:val="NormalnyWeb"/>
        <w:jc w:val="both"/>
      </w:pPr>
      <w:r>
        <w:t>Skarbnik Gliwic</w:t>
      </w:r>
    </w:p>
    <w:p w:rsidR="00372995" w:rsidRDefault="00372995" w:rsidP="003729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do :</w:t>
      </w:r>
    </w:p>
    <w:p w:rsidR="00372995" w:rsidRPr="00035B6E" w:rsidRDefault="00372995" w:rsidP="00372995">
      <w:pPr>
        <w:jc w:val="both"/>
        <w:rPr>
          <w:rFonts w:ascii="Arial" w:hAnsi="Arial" w:cs="Arial"/>
          <w:sz w:val="20"/>
          <w:szCs w:val="20"/>
        </w:rPr>
      </w:pPr>
      <w:r w:rsidRPr="00035B6E">
        <w:rPr>
          <w:rFonts w:ascii="Arial" w:hAnsi="Arial" w:cs="Arial"/>
          <w:sz w:val="20"/>
          <w:szCs w:val="20"/>
        </w:rPr>
        <w:t>1)</w:t>
      </w:r>
      <w:r w:rsidRPr="00035B6E">
        <w:rPr>
          <w:rFonts w:ascii="Arial" w:hAnsi="Arial" w:cs="Arial"/>
          <w:sz w:val="20"/>
          <w:szCs w:val="20"/>
        </w:rPr>
        <w:tab/>
        <w:t>po art. 3 dodaje się art. 3a w brzmieniu:</w:t>
      </w:r>
    </w:p>
    <w:p w:rsidR="00372995" w:rsidRPr="00035B6E" w:rsidRDefault="00372995" w:rsidP="00372995">
      <w:pPr>
        <w:pStyle w:val="ZARTzmartartykuempunktem"/>
        <w:rPr>
          <w:rFonts w:ascii="Arial" w:hAnsi="Arial"/>
          <w:sz w:val="20"/>
          <w:highlight w:val="yellow"/>
        </w:rPr>
      </w:pPr>
      <w:r w:rsidRPr="00035B6E">
        <w:rPr>
          <w:rFonts w:ascii="Arial" w:hAnsi="Arial"/>
          <w:sz w:val="20"/>
          <w:highlight w:val="yellow"/>
        </w:rPr>
        <w:t>„</w:t>
      </w:r>
      <w:r w:rsidRPr="00035B6E">
        <w:rPr>
          <w:rFonts w:ascii="Arial" w:eastAsia="Times New Roman" w:hAnsi="Arial"/>
          <w:sz w:val="20"/>
          <w:highlight w:val="yellow"/>
        </w:rPr>
        <w:t xml:space="preserve">Art. 3a. 1. W okresie obowiązywania stanu zagrożenia epidemicznego albo stanu epidemii wójt, burmistrz, prezydent miasta, w tym prezydent miasta na prawach powiatu, może polecić: </w:t>
      </w:r>
    </w:p>
    <w:p w:rsidR="00372995" w:rsidRPr="00035B6E" w:rsidRDefault="00372995" w:rsidP="00372995">
      <w:pPr>
        <w:pStyle w:val="ZPKTzmpktartykuempunktem"/>
        <w:rPr>
          <w:rFonts w:ascii="Arial" w:eastAsia="Times New Roman" w:hAnsi="Arial"/>
          <w:sz w:val="20"/>
          <w:highlight w:val="yellow"/>
        </w:rPr>
      </w:pPr>
      <w:r w:rsidRPr="00035B6E">
        <w:rPr>
          <w:rFonts w:ascii="Arial" w:eastAsia="Times New Roman" w:hAnsi="Arial"/>
          <w:sz w:val="20"/>
          <w:highlight w:val="yellow"/>
        </w:rPr>
        <w:t>1)    pracownikowi podległego mu urzędu, tymczasowe przeniesienie,</w:t>
      </w:r>
    </w:p>
    <w:p w:rsidR="00372995" w:rsidRPr="00035B6E" w:rsidRDefault="00372995" w:rsidP="00372995">
      <w:pPr>
        <w:pStyle w:val="ZPKTzmpktartykuempunktem"/>
        <w:rPr>
          <w:rFonts w:ascii="Arial" w:eastAsia="Times New Roman" w:hAnsi="Arial"/>
          <w:sz w:val="20"/>
          <w:highlight w:val="yellow"/>
        </w:rPr>
      </w:pPr>
      <w:r w:rsidRPr="00035B6E">
        <w:rPr>
          <w:rFonts w:ascii="Arial" w:eastAsia="Times New Roman" w:hAnsi="Arial"/>
          <w:sz w:val="20"/>
          <w:highlight w:val="yellow"/>
        </w:rPr>
        <w:t xml:space="preserve">2) kierownikowi podległej jednostki organizacyjnej, tymczasowe przeniesienie pracownika tej jednostki, </w:t>
      </w:r>
    </w:p>
    <w:p w:rsidR="00372995" w:rsidRPr="00035B6E" w:rsidRDefault="00372995" w:rsidP="00372995">
      <w:pPr>
        <w:pStyle w:val="ZCZWSPPKTzmczciwsppktartykuempunktem"/>
        <w:rPr>
          <w:rFonts w:ascii="Arial" w:hAnsi="Arial"/>
          <w:sz w:val="20"/>
          <w:highlight w:val="yellow"/>
        </w:rPr>
      </w:pPr>
      <w:r w:rsidRPr="00035B6E">
        <w:rPr>
          <w:rFonts w:ascii="Arial" w:eastAsia="Times New Roman" w:hAnsi="Arial"/>
          <w:sz w:val="20"/>
          <w:highlight w:val="yellow"/>
        </w:rPr>
        <w:t>- do wykonywania innej pracy, niż określona w umowie o pracę, zgodnej z jego kwalifikacjami, w innej jednostce, o której mowa w art. 2 ustawy z dnia 21 listopada 2008 r. o pracownikach samorządowych (Dz. U. 2019 r. poz. 1282), w tej samej lub innej miejscowości, na czas określony do 3 miesięcy. W okresie tym przysługuje pracownikowi wynagrodzenie stosowne do wykonywanej pracy, lecz nie niższe od dotychczasowego. Przeniesienie ma na celu zapewnienie sprawnej realizacji zadań jednostki, do której przenoszony jest pracownik.</w:t>
      </w:r>
    </w:p>
    <w:p w:rsidR="00372995" w:rsidRPr="00035B6E" w:rsidRDefault="00372995" w:rsidP="00372995">
      <w:pPr>
        <w:pStyle w:val="ZUSTzmustartykuempunktem"/>
        <w:rPr>
          <w:rFonts w:ascii="Arial" w:hAnsi="Arial"/>
          <w:sz w:val="20"/>
          <w:highlight w:val="yellow"/>
        </w:rPr>
      </w:pPr>
      <w:r w:rsidRPr="00035B6E">
        <w:rPr>
          <w:rFonts w:ascii="Arial" w:hAnsi="Arial"/>
          <w:sz w:val="20"/>
          <w:highlight w:val="yellow"/>
        </w:rPr>
        <w:t>2. Przeniesienie pracownika, o którym mowa w ust. 1, nie powoduje rozwiązania stosunku pracy z pracodawcą dotychczasowym.</w:t>
      </w:r>
    </w:p>
    <w:p w:rsidR="00372995" w:rsidRDefault="00372995" w:rsidP="00372995">
      <w:pPr>
        <w:pStyle w:val="ZUSTzmustartykuempunktem"/>
        <w:rPr>
          <w:rFonts w:ascii="Arial" w:hAnsi="Arial"/>
          <w:sz w:val="20"/>
          <w:highlight w:val="yellow"/>
        </w:rPr>
      </w:pPr>
      <w:r w:rsidRPr="00035B6E">
        <w:rPr>
          <w:rFonts w:ascii="Arial" w:hAnsi="Arial"/>
          <w:sz w:val="20"/>
          <w:highlight w:val="yellow"/>
        </w:rPr>
        <w:lastRenderedPageBreak/>
        <w:t>3. Przeniesienia pracownika do pracy w innej jednostce nie można dokonać bez zgody pracownika w przypadku kobiety w ciąży lub osoby będącej jedynym opiekunem dziecka w wieku do lat piętnastu.”.</w:t>
      </w:r>
    </w:p>
    <w:p w:rsidR="00372995" w:rsidRDefault="00372995" w:rsidP="00372995">
      <w:pPr>
        <w:pStyle w:val="ZUSTzmustartykuempunktem"/>
        <w:rPr>
          <w:rFonts w:ascii="Arial" w:hAnsi="Arial"/>
          <w:sz w:val="20"/>
        </w:rPr>
      </w:pPr>
    </w:p>
    <w:p w:rsidR="00372995" w:rsidRDefault="00372995" w:rsidP="00372995">
      <w:pPr>
        <w:pStyle w:val="NormalnyWeb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Tak sformułowany zapis jest nieprecyzyjny nie wyjaśnia czy zachodzi zmiana pracodawcy należy domniemywać, że taka zmiana czasowa następuje. </w:t>
      </w:r>
    </w:p>
    <w:p w:rsidR="00372995" w:rsidRDefault="00372995" w:rsidP="00372995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035B6E">
        <w:rPr>
          <w:rFonts w:ascii="Arial" w:hAnsi="Arial" w:cs="Arial"/>
          <w:sz w:val="20"/>
          <w:szCs w:val="20"/>
        </w:rPr>
        <w:t>Nie wiemy czy "przeniesienie" oznacza, że przez okres 3 miesięcy za wykonaną pracę płaci jednostka, do której pracownik został przeniesiony (przemawiałoby za tym brzmienie przepisu, zgodnie z którym wynagrodzenia ma być nie niższe niż dotychczasowe), ale z drugiej strony przepis nie zwalnia wprost dotychczasowego pracodawcy (stosunek pracy nie ulega rozwiązaniu) z wypłaty wynagrodzenia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72995" w:rsidRDefault="00372995" w:rsidP="00372995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wiadomo jak miałaby być traktowana nieobecność w pracy u dotychczasowego pracodawcy </w:t>
      </w:r>
      <w:r w:rsidRPr="00035B6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należałoby ją  </w:t>
      </w:r>
      <w:r w:rsidRPr="00035B6E">
        <w:rPr>
          <w:rFonts w:ascii="Arial" w:hAnsi="Arial" w:cs="Arial"/>
          <w:sz w:val="20"/>
          <w:szCs w:val="20"/>
        </w:rPr>
        <w:t xml:space="preserve">potraktować jako </w:t>
      </w:r>
      <w:r>
        <w:rPr>
          <w:rFonts w:ascii="Arial" w:hAnsi="Arial" w:cs="Arial"/>
          <w:sz w:val="20"/>
          <w:szCs w:val="20"/>
        </w:rPr>
        <w:t xml:space="preserve">nieobecność </w:t>
      </w:r>
      <w:r w:rsidRPr="00035B6E">
        <w:rPr>
          <w:rFonts w:ascii="Arial" w:hAnsi="Arial" w:cs="Arial"/>
          <w:sz w:val="20"/>
          <w:szCs w:val="20"/>
        </w:rPr>
        <w:t>usprawiedliwioną niepłatną.</w:t>
      </w:r>
    </w:p>
    <w:p w:rsidR="00372995" w:rsidRDefault="00372995" w:rsidP="00372995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miałaby nastąpić zmiana pracodawcy należałoby ustalić czy odbywałoby się to w ramach porozumienia pomiędzy pracodawcami. Z kolei sformułowanie „może polecić przeniesienie do wykonywania innej pracy – mogłoby sugerować że zadania nadal będą wykonywane na koszt dotychczasowego pracodawcy. </w:t>
      </w:r>
    </w:p>
    <w:p w:rsidR="00372995" w:rsidRDefault="00372995" w:rsidP="00372995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Stella Górny</w:t>
      </w:r>
    </w:p>
    <w:p w:rsidR="00372995" w:rsidRDefault="00372995" w:rsidP="00372995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UM Gliwice</w:t>
      </w:r>
    </w:p>
    <w:p w:rsidR="00372995" w:rsidRDefault="00372995" w:rsidP="005A4A51">
      <w:pPr>
        <w:pStyle w:val="NormalnyWeb"/>
        <w:jc w:val="both"/>
      </w:pPr>
    </w:p>
    <w:sectPr w:rsidR="00372995" w:rsidSect="0047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4A51"/>
    <w:rsid w:val="0017273F"/>
    <w:rsid w:val="00372995"/>
    <w:rsid w:val="00470F7F"/>
    <w:rsid w:val="005A4A51"/>
    <w:rsid w:val="00801925"/>
    <w:rsid w:val="00C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2995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7299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72995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7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Oryszczak Lukasz</dc:creator>
  <cp:lastModifiedBy>asia</cp:lastModifiedBy>
  <cp:revision>3</cp:revision>
  <dcterms:created xsi:type="dcterms:W3CDTF">2020-04-15T14:21:00Z</dcterms:created>
  <dcterms:modified xsi:type="dcterms:W3CDTF">2020-04-20T12:11:00Z</dcterms:modified>
</cp:coreProperties>
</file>