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26" w:rsidRDefault="00962026">
      <w:pPr>
        <w:rPr>
          <w:rFonts w:hint="eastAsia"/>
        </w:rPr>
      </w:pPr>
    </w:p>
    <w:p w:rsidR="00962026" w:rsidRDefault="00962026">
      <w:pPr>
        <w:rPr>
          <w:rFonts w:hint="eastAsia"/>
        </w:rPr>
      </w:pPr>
    </w:p>
    <w:tbl>
      <w:tblPr>
        <w:tblW w:w="10043" w:type="dxa"/>
        <w:tblInd w:w="-1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473"/>
        <w:gridCol w:w="3784"/>
        <w:gridCol w:w="4786"/>
      </w:tblGrid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Nazwa Sieci Transferu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Miasto wiodące i miasta wspierające</w:t>
            </w: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Temat nowej Sieci Transferu (po angielsku) oraz</w:t>
            </w:r>
          </w:p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krótki opis Dobrej Praktyki w mieście wiodącym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ACTive NGOs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Riga (LV), Siracusa (IT), Santa Pola Council (ES)</w:t>
            </w:r>
          </w:p>
          <w:p w:rsidR="00962026" w:rsidRDefault="00962026">
            <w:pPr>
              <w:pStyle w:val="Zawartotabeli"/>
              <w:rPr>
                <w:rFonts w:ascii="Calibri" w:hAnsi="Calibri"/>
              </w:rPr>
            </w:pP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4">
              <w:r w:rsidR="008606C8">
                <w:rPr>
                  <w:rStyle w:val="czeinternetowe"/>
                  <w:rFonts w:ascii="Calibri" w:hAnsi="Calibri"/>
                </w:rPr>
                <w:t>http://urbact.eu/ngo-house</w:t>
              </w:r>
            </w:hyperlink>
          </w:p>
          <w:p w:rsidR="00962026" w:rsidRDefault="00962026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 platform for cooperation between non-governmental organisations and the municipality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Zgodnie z oczekiwaniami mieszkańców i organizacji pozarządowych, we wrześniu 2013 r. Urząd Miejski w Rydze otworzył Ryski Dom dla Organizacji Pozarządowych. Celem projektu było wsparcie realizacji Programu Integracji Społecznej w Rydze na lata 2012-2017,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sparcie działalności organizacji pozarządowych oraz promowanie wzrostu świadomości mieszkańców o sprawach lokalnych i udziału z gminą we wspólnych działaniach.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BLUACT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Piraeus (EL), Burgas (BG), Matosinhos (PT)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5">
              <w:r w:rsidR="008606C8">
                <w:rPr>
                  <w:rStyle w:val="czeinternetowe"/>
                  <w:rFonts w:ascii="Calibri" w:hAnsi="Calibri"/>
                  <w:lang w:val="en-US"/>
                </w:rPr>
                <w:t>http://urbact.eu/promoting-entrepreunership-and-innovation-maritime-economy</w:t>
              </w:r>
            </w:hyperlink>
          </w:p>
          <w:p w:rsidR="00962026" w:rsidRDefault="00962026">
            <w:pPr>
              <w:pStyle w:val="Zawartotabeli"/>
              <w:rPr>
                <w:rFonts w:ascii="Calibri" w:hAnsi="Calibri"/>
                <w:lang w:val="en-US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"BlueGrowth" - an initiative to support start-ups and sustainable entrepreneurship on the maritime economy</w:t>
            </w:r>
          </w:p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Miasto Piraeus (EL) </w:t>
            </w:r>
            <w:r>
              <w:rPr>
                <w:rFonts w:ascii="Calibri" w:hAnsi="Calibri"/>
                <w:lang w:val="en-US"/>
              </w:rPr>
              <w:t>stworzyło BlueGrowth, pierwszy na szczeblu UE konkurs innowacji na rzecz gospodarki morskiej (Blue Economy), którego celem jest wzmocnienie tradycyjnych działań związanych z gospodarką morską dzięki innowacyjnym pomysłom biznesowym. BlueGrowth obejmuje 4 e</w:t>
            </w:r>
            <w:r>
              <w:rPr>
                <w:rFonts w:ascii="Calibri" w:hAnsi="Calibri"/>
                <w:lang w:val="en-US"/>
              </w:rPr>
              <w:t>tapy, od składania wniosków i oceny do ceremonii wręczenia nagród i programu inkubacji przez sześć miesięcy.</w:t>
            </w:r>
          </w:p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Inicjatywa BlueGrowth ustanowiła Marinescape, będącym swoistym ekosystemem (partnerzy, sponsorzy, doradcy, środowiska akademickie) skupionym wokół </w:t>
            </w:r>
            <w:r>
              <w:rPr>
                <w:rFonts w:ascii="Calibri" w:hAnsi="Calibri"/>
                <w:lang w:val="en-US"/>
              </w:rPr>
              <w:t>gospodarki morskiej. Pomyślna współpraca pomiędzy interesariuszami Marinescape jest kluczowym atutem BlueGrowth, który daje możliwość stworzenia akceleratora i kreatora pracy w mieście.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Bio-Canteens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Mouans-Sartoux (FR), Troyan (BG), Municipality of Rosign</w:t>
            </w:r>
            <w:r>
              <w:rPr>
                <w:rFonts w:ascii="Calibri" w:hAnsi="Calibri"/>
                <w:lang w:val="en-US"/>
              </w:rPr>
              <w:t>ano Marittimo (IT)</w:t>
            </w:r>
          </w:p>
          <w:p w:rsidR="00962026" w:rsidRDefault="00962026">
            <w:pPr>
              <w:pStyle w:val="Zawartotabeli"/>
              <w:rPr>
                <w:rFonts w:ascii="Calibri" w:hAnsi="Calibri"/>
              </w:rPr>
            </w:pP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6">
              <w:r w:rsidR="008606C8">
                <w:rPr>
                  <w:rStyle w:val="czeinternetowe"/>
                  <w:rFonts w:ascii="Calibri" w:hAnsi="Calibri"/>
                </w:rPr>
                <w:t>http://urbact.eu/collective-school-catering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 sustainable initiative for a territorial agri-food policy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Od 1998 roku miasto łączy tematykę żywności, zdrowia i środowiska. Aby przezwyciężyć problem braku lokalnej żywności ekologicznej utworzono komunalne gospodarstwo rolne, zatrudniono dwóch rolników do prowadzenia upraw warzyw na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potrzeby stołówek szkolnych,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uzupełniając tym samym 85% zapotrzebowania trzech lokalnych szkół (1000 posiłków dziennie). Zmieniono przepisy dotyczące zamówień publicznych, tak aby lokalni producenci mogli zostać dopuszczeni do składania ofert przetargowych.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City-as-a-Startup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Alba I</w:t>
            </w:r>
            <w:r>
              <w:rPr>
                <w:rFonts w:ascii="Calibri" w:hAnsi="Calibri"/>
                <w:lang w:val="en-US"/>
              </w:rPr>
              <w:t>ulia (RO), Brangaça (PT), Perugia (IT)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7">
              <w:r w:rsidR="008606C8">
                <w:rPr>
                  <w:rStyle w:val="czeinternetowe"/>
                  <w:rFonts w:ascii="Calibri" w:hAnsi="Calibri"/>
                </w:rPr>
                <w:t>http://urbact.eu/city-branding-making-invisible-visible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 branding initative for sustainable cultural tourism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Praktyka Alba Iulia stanowi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odpowiedź na wyzwanie wielu małych i średnich miast z Europy: jak odnaleźć się w ciągle zmieniających się warunkach gospodarczych, jednocześnie promując swoje dziedzictwo kulturowe? Alba Iulia, dynamiczne miasto z bogatą historią oraz doprowadzonym do ruin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dziedzictwem (cytadela, zabytki i średniowieczna biblioteka) opracowało zintegrowane podejście do brandingu, które zostało bezpośrednio powiązane z procesem planowania strategicznego miasta. Poprzez strategiczne pozycjonowanie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waloryzację swoich aktywó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 oraz wzmocnienie lokalnej tożsamości, Urząd Miasta stało się punktem odniesienia zarówno dla inwestorów, turystów, jak i obywateli.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CARD4ALL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Gijon (ES), Suceava (RO), Jurmala (LV)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8">
              <w:r w:rsidR="008606C8">
                <w:rPr>
                  <w:rStyle w:val="czeinternetowe"/>
                  <w:rFonts w:ascii="Calibri" w:hAnsi="Calibri"/>
                  <w:lang w:val="en-US"/>
                </w:rPr>
                <w:t>http://urbact.eu/citizen-card</w:t>
              </w:r>
            </w:hyperlink>
          </w:p>
          <w:p w:rsidR="00962026" w:rsidRDefault="00962026">
            <w:pPr>
              <w:pStyle w:val="Zawartotabeli"/>
              <w:rPr>
                <w:rFonts w:ascii="Calibri" w:hAnsi="Calibri"/>
                <w:lang w:val="en-US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Providing access to city services and resources while improving citizen participation</w:t>
            </w:r>
          </w:p>
          <w:p w:rsidR="00962026" w:rsidRDefault="00962026">
            <w:pPr>
              <w:pStyle w:val="Zawartotabeli"/>
              <w:spacing w:line="259" w:lineRule="auto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com.unity.lab 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Lisbon (PT), Bari (IT), Aalborg (DK)</w:t>
            </w:r>
          </w:p>
          <w:p w:rsidR="00962026" w:rsidRDefault="00962026">
            <w:pPr>
              <w:pStyle w:val="Zawartotabeli"/>
              <w:rPr>
                <w:rFonts w:ascii="Calibri" w:hAnsi="Calibri"/>
              </w:rPr>
            </w:pP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9">
              <w:r w:rsidR="008606C8">
                <w:rPr>
                  <w:rStyle w:val="czeinternetowe"/>
                  <w:rFonts w:ascii="Calibri" w:hAnsi="Calibri"/>
                </w:rPr>
                <w:t>http://urbact.eu/integrated-toolbox-deprived-neighbourhoods</w:t>
              </w:r>
            </w:hyperlink>
          </w:p>
          <w:p w:rsidR="00962026" w:rsidRDefault="00962026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 local development strategy for neighbourhoods and areas of priority Intervention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Lizbońska Strategia Rozwoju Lokalnego dla Obszarów Priorytetowej Interwencji zapewnia miastu szereg zintegrowanych narzędzi opartych na procesie współrządzenia. Organizuje i łączy oddolne inicjatywy partycypacyjne, zapewniając ramy dla współpracy i lokalne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go horyzontalnego  podejścia. Celem jest zmniejszenie i łagodzenie skutków społecznego, gospodarczego, środowiskowego i miejskiego wykluczenia oraz wzmocnie społecznej spójności terytorialnej. Zastosowane narzędzia różnią się od mapowania sąsiedztwa: Lokal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ny Program Partnerski finansuje projekty lokalne w ramach oddolnego modelu współrządzenia w celu promowania zatrudnienia, edukacji i spójności społeczno-terytorialnej.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innovator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Torino (IT), Cluj-Napoca Municipality (RO), Métropole du Grand Paris (FR)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0">
              <w:r w:rsidR="008606C8">
                <w:rPr>
                  <w:rStyle w:val="czeinternetowe"/>
                  <w:rFonts w:ascii="Calibri" w:hAnsi="Calibri"/>
                </w:rPr>
                <w:t>http://urbact.eu/everyones-</w:t>
              </w:r>
              <w:r w:rsidR="008606C8">
                <w:rPr>
                  <w:rStyle w:val="czeinternetowe"/>
                  <w:rFonts w:ascii="Calibri" w:hAnsi="Calibri"/>
                </w:rPr>
                <w:lastRenderedPageBreak/>
                <w:t>innovator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10 000 public employees, 10 000 potential innovators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Innova.TO jest konkursem dla wszystkich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pracowników miejskich Turynu (IT) (za wyjątkiem dyrektorów), inspirowanym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zasadami „oszczędnej organizacji”. Ma on na celu stymulowanie i rozwój innowacyjnych projektów mających poprawić wydajność administracji, zmniejszyć ilość odpadów i wpłynąć na lepsze szacowanie zasobów.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Miasto Turyn zatrudnia 10 tysięczną społeczność dobrze wykształconych, wykwalifikowanych pracowników. Ambicją Innova.TO jest zachęcenie wszystkich tych pracowników do postrzegania siebie jako potencjalnych innowatorów. Aby wzmocnić ich zaangażowanie zdecyd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owano, że propozycje projektów będą anonimowe, jury ma składać się z ekspertów wewnętrznych i zewnętrznych, wydano też zgodę, by prywatni sponsorzy zaoferowali nagrody.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Making Spend Matter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Preston (UK), Villa Nova de Famalicao (PT), Pamplona (ES)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1">
              <w:r w:rsidR="008606C8">
                <w:rPr>
                  <w:rStyle w:val="czeinternetowe"/>
                  <w:rFonts w:ascii="Calibri" w:hAnsi="Calibri"/>
                </w:rPr>
                <w:t>http://urbact.eu/progressing-procurement-practice-through-spend-analysis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Anchor institutions using spend analysis to improve procurement practice and benefit the local econo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my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Rada Miasta Preston (Wielka Brytania) i sześć innych instytucji rozpoczęły projekt mający na celu rozpoznanie, w jaki sposób ich zasoby finansowe mogą być lepiej wykorzystywane z korzyścią dla lokalnej gospodarki.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Głównym elementem działań projektowych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 Preston była analiza zamówień publicznych, aby zidentyfikować geograficznie miejsca i rodzaj podmiotów gospodarczych do których trafiają środki wydane na zamówienia, a także co się z nimi dzieje po dotarciu do tych podmiotów. Instytucje wykorzystały zgro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madzone dane wynikające z analizy wydatków, aby ulepszyć sposób w jaki realizują procedurę zamówień publicznych. W praktyce niektórych instytucji wiedza wynikającą z tej analizy została dobrze wykorzystana: dowody wskazują na wzrost wydatków w lokalnej gos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podarce, głównie w małych i średnich przedsiębiorstwach.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Movement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Groningen (NL), Zlin Municipal Authority (CZ), Magdeburg (DE)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2">
              <w:r w:rsidR="008606C8">
                <w:rPr>
                  <w:rStyle w:val="czeinternetowe"/>
                  <w:rFonts w:ascii="Calibri" w:hAnsi="Calibri"/>
                </w:rPr>
                <w:t>http://urbact.eu/internationalisation-sustainable-future</w:t>
              </w:r>
            </w:hyperlink>
          </w:p>
          <w:p w:rsidR="00962026" w:rsidRDefault="00962026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Active management of internasionalisation in a small university city in order to remain the vibrant local hub in the global knowledge economy</w:t>
            </w:r>
          </w:p>
          <w:p w:rsidR="00962026" w:rsidRDefault="00962026">
            <w:pPr>
              <w:pStyle w:val="Zawartotabeli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Groningen to małe i tradycyjnie regionalnie zorientowane miasto, dlatego umiędzynarodowienie na dużą skalę jest dla niego stosunkowo nowym zjawiskiem. W celu zapewnienia zrównoważonej przyszłości miasta dobra praktyka realizuje zintegrowane podejście do 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iędzynarodowienia. Program ma na celu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przyciągnięcie, zatrzymanie i integrację nowych mieszkańców, przy jednoczesnym zachowaniu wysokiego poziomu spójności społecznej i warunków do życia.  Miasto zarządza złożonymi procesami zawartymi w zintegrowanym i par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tycypacyjnym programie, zajmujący się czterema kluczowymi aspektami: zamieszkaniem, pracą, życiem w mieście i komunikacją.  Przyczynia się do zrównoważonej przyszłości gospodarczej, demograficznej i kulturalnej, czyniąc Groningen atrakcyjnym domem dla miej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scowych i przyjezdnych, różnorodnych etnicznie mieszkańców. 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Music schools for social change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L'Hospitalet de Llobregat (ES), Municipality of Adelfia (IT), Aarhus (DK)</w:t>
            </w:r>
            <w:r>
              <w:rPr>
                <w:rFonts w:ascii="Calibri" w:hAnsi="Calibri"/>
              </w:rPr>
              <w:t xml:space="preserve"> 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3">
              <w:r w:rsidR="008606C8">
                <w:rPr>
                  <w:rStyle w:val="czeinternetowe"/>
                  <w:rFonts w:ascii="Calibri" w:hAnsi="Calibri"/>
                </w:rPr>
                <w:t>http://urbact.eu/music-school</w:t>
              </w:r>
            </w:hyperlink>
          </w:p>
          <w:p w:rsidR="00962026" w:rsidRDefault="00962026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A tool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for urban social cohesion through the development of the arts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Działająca od dwunastu lat Szkoła Muzyczna i Centrum Sztuki (EMCA) z L'Hospitalet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(ES) koncentruje się na wykorzystywaniu sztuki jako narzędzia spójności społecznej, łączenia grup społecznych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poprawiania edukacyjnych osiągnięć. Jej działania koncentrują się na ubogich obszarach miasta, z wysokim poziomem bezrobocia i ubóstwa miejskiego. Centrum skutecznie walczy z segregacją i wykluczeniem miejskim prowadząc orkiestrę symfoniczną, duże zespoły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muzyczne, grupy pop-rockowo-jazzowe oraz oferując przestrzeń na spotkania i ułatwiając wymianę międzykulturową. Ośrodek zapewnia zajęcia dla wszystkich grup wiekowych, EMCA poprawia także umiejętności i zdolności uczniów, które pozytywnie wpływają na ich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siągnięcia akademickie.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OpenHouses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Ujbuda (HU), Gheorgheni (RO), Forli (IT)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4">
              <w:r w:rsidR="008606C8">
                <w:rPr>
                  <w:rStyle w:val="czeinternetowe"/>
                  <w:rFonts w:ascii="Calibri" w:hAnsi="Calibri"/>
                </w:rPr>
                <w:t>http://urbact.eu/weekend-open-houses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 community festival celebrating the city's built heritage and common values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Ludzie z całego Budapesztu (HU) biorą udział w miejskim festiwalu Weekend Otwartych Domów - Budapeszt100, który każdego roku otwiera bramy 50-60 domów i instytucji. Wydarzenie to stało się tradycją od jego premiery w 2011 roku, kiedy to frekwencja sięgnęła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20 000 osób. W latach 2011-2015 zorganizowano go jako inicjatywę budowania wspólnoty dla uczczenia 100-letnich budynków w Budapeszcie, we współpracy z mieszkańcami, organizacjami pozarządowymi, instytucjami publicznymi i dzielnicami. Jego głównym celem je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 zwrócenie uwagi na miejscowe budynki, ich wartość architektoniczną i historię - oraz na moc społeczności lokalnej, która organizuje wspólnoty mieszkaniowe i utrzymuje je razem. Od 2016 r. imprezy są organizowane tematycznie wokół określonego motywu lub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miejsca. Ogólną misją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Budapest100 jest zainicjowanie wspólnej dyskusji o rewitalizacji i zainspirowanie do zakładania i wzmacniania wspólnot mieszkaniowych.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Reboot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Barnsley (UK), Pardubice (CZ), Vilanova i la Geltru (ES)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5">
              <w:r w:rsidR="008606C8">
                <w:rPr>
                  <w:rStyle w:val="czeinternetowe"/>
                  <w:rFonts w:ascii="Calibri" w:hAnsi="Calibri"/>
                </w:rPr>
                <w:t>http://urbact.eu/digital-media-centre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Create more and better local jobs through an inspirational hub space and focused business support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ramach Przedsiębiorczego Barnsley, miasto Barnsley zapewnia progr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 wsparcia biznesowego dla przedsiębiorstw prowadzących inwestycje we własny rozwój, przedsiębiorstw specjalizujących rozwijających się, startupów i centrów inkubacji młodych przedsiębiorstw. Program prowadzony przez zespół doświadczonych specjalistów ds.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rozwoju przedsiębiorstw i zarządzania projektami z sektora prywatnego. Stawia odbiorców (firmy) w centrum procesu, prowadząc do zbudowania silnych relacji z klientami i zapewniając dostosowane, odpowiednie wsparcie. Główny trwały kapitał Digital Media Cen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ter (DMC) ma związek z programami i działaniami wspierającymi, realizowaniem polityki otwartych drzwi i współ-lokowaniem usług wsparcia dla start-upów. DMC to miejskie centrum kreatywnego i cyfrowego biznesu, w którym odbywają się różnorodne wydarzenia i 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egularne spotkania sieci.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Re-Grow City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Altena (DE), Igoumenitsa (EL), Municipality of Isernia (IT)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6">
              <w:r w:rsidR="008606C8">
                <w:rPr>
                  <w:rStyle w:val="czeinternetowe"/>
                  <w:rFonts w:ascii="Calibri" w:hAnsi="Calibri"/>
                </w:rPr>
                <w:t>http://urbact.eu/finding-opportunities-declining-cities</w:t>
              </w:r>
            </w:hyperlink>
          </w:p>
          <w:p w:rsidR="00962026" w:rsidRDefault="00962026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Working with civil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society to reverse decline in small and medium sized towns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Podstawowym tematem tej dobrej praktyki jest zarządzanie strategiczne w kontekście długoterminowego kryzysu i stagnacji. Po zamknięciu lokalnych zakładów pracy populacja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Alteni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(DE) w latach 1975-2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014 zmniejszyła się o 43%. W obliczu zmniejszających się zasobów i coraz bardziej złożonych problemów,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Altena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zmieniła swoje strategiczne cele, koncentrując się na kontrolowaniu upadku, a nie wzroście. Gmina dostosowała swoje priorytety, ściślej współpracu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jąc z mieszkańcami. Działania objęły: restrukturyzację organizacyjną (m.in. redukcję zatrudnienia i podział zasobów), rozwój społeczeństwa obywatelskiego (w tym zaangażowanie setek wolontariuszy), ożywienie gospodarcze (m.in. poprzez turystykę) oraz integr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ację uchodźców.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Rumorless cities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Amadora (PT), Ioannina (EL), Free and Hanseatic City of Hamburg - District Hamburg-Altona (DE)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7">
              <w:r w:rsidR="008606C8">
                <w:rPr>
                  <w:rStyle w:val="czeinternetowe"/>
                  <w:rFonts w:ascii="Calibri" w:hAnsi="Calibri"/>
                </w:rPr>
                <w:t>http://urbact.eu/do-not-feed-rumour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Enhance diversity through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deconstructing stereotypes and prejudices about immigrants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"Imigranci są powiązani z przestępczością i radykalizacją", "imigranci żyją z dotacji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państwowych" lub "dzieci imigrantów tylko przysparzają szkołom problemów ", to tylko niektóre z pogłosek dotycz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ących imigrantów. "Nie zasilaj plotek" jest częścią strategii komunikacyjnej opracowanej przez gminę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Amadora (PT) od 2014 r., w ramach projektu "Komunikacja na rzecz integracji: sieci społecznościowe na rzecz różnorodności (C4I)", promowanego przez Radę Eu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ropy. Jego celem jest lepsze zrozumienie wpływu tych pogłosek na życie ludzi. Przy wsparciu przeszkolonych specjalistów od przeciwdziałania szerzeniu się pogłosek i utworzeniu sieci przeciw przekazywaniu niesprawdzonych wiadomości, opracowano strategię kom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unikacji „przeciwwirusowej”, która już przyniosła dobre wyniki, tj. bardziej pozytywne nastawienie portugalskich rodaków wobec imigrantów.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Rural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Rome (IT), Coruna (ES), Vilnius (LT)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8">
              <w:r w:rsidR="008606C8">
                <w:rPr>
                  <w:rStyle w:val="czeinternetowe"/>
                  <w:rFonts w:ascii="Calibri" w:hAnsi="Calibri"/>
                </w:rPr>
                <w:t>http://urbact.eu/resilient-urban-and-peri-urban-agriculture</w:t>
              </w:r>
            </w:hyperlink>
          </w:p>
          <w:p w:rsidR="00962026" w:rsidRDefault="00962026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 tool for social inclusion and urban regeneration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Wykorzystując duży obszar swojego terytorium, odpowiedni pod uprawy 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olnicze (51,7 ha), miasto Rzym (IT) opracowało z udziałem mieszkańców miejski projekt ogrodniczy. Cel projektu jest dwojaki: walka z wykluczeniem społecznym i ubóstwem oraz umożliwienie rekultywacji środowiska poprzemysłowego. Projekt obejmuje już 27 ha 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stępnych gruntów, promując zrównoważone i ekologiczne podejście do miejskiego ogrodnictwa. Współpracując z organizacjami pozarządowymi, mieszkańcami, osobami w niekorzystnej sytuacji i mniejszościami, miasto wykorzystuje rolnictwo miejskie i podmiejskie ja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 metodę usprawnienia procesów zarządzania. Obok polityki zatrudnienia najważniejszą rolę w projekcie odgrywa dialog społeczny i międzykulturowy. 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Silver cities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Badalona (ES), Tartu (EE), Svendborg (DK)</w:t>
            </w:r>
          </w:p>
          <w:p w:rsidR="00962026" w:rsidRDefault="00962026">
            <w:pPr>
              <w:pStyle w:val="Zawartotabeli"/>
              <w:rPr>
                <w:rFonts w:hint="eastAsia"/>
              </w:rPr>
            </w:pPr>
            <w:hyperlink r:id="rId19">
              <w:r w:rsidR="008606C8">
                <w:rPr>
                  <w:rStyle w:val="czeinternetowe"/>
                  <w:rFonts w:ascii="Calibri" w:hAnsi="Calibri"/>
                </w:rPr>
                <w:t>http://urbact.eu/building-age-friendly-city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The story of how to implement an age-friendly urban strategy to promote citizens' health, inclusion and wellbeing at all stages of life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Zmiany demograficzne są jednym z kluczowych wyzwań społecznych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stojących przed miastami. Liczba osób w podeszłym wieku stale rośnie, a miasta mają trudności z dostosowaniem się i spełnianiem swoich potrzeb. Miasto Badalona (ES) uznało tą sytuację jako mandat na wprowadzenia zmian i wykazało, że możliwe jest przeprojek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towanie lokalnych świadczeń zdrowotnych i socjalnych na rzecz poprawy jakości życia osób starszych.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Dzięki licznym inicjatywom i projektom rozpoczętym w 2012 roku Badalona dąży do sytuacji, w której obywatele zostaną ujęci systemem stałej opieki, tj. zinte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growanej pionowo (między różnymi poziomami opieki) i poziomo (między różnymi lokalnymi świadczeniami, np. świadczeniami socjalnymi, mieszkaniowymi, zatrudnieniowymi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The Playful Paradigm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Udine (IT), Klaipeda (LT), Cork City Council (IE)</w:t>
            </w:r>
          </w:p>
          <w:p w:rsidR="00962026" w:rsidRDefault="00962026">
            <w:pPr>
              <w:spacing w:after="160" w:line="259" w:lineRule="auto"/>
              <w:rPr>
                <w:rFonts w:hint="eastAsia"/>
              </w:rPr>
            </w:pPr>
            <w:hyperlink r:id="rId20">
              <w:r w:rsidR="008606C8">
                <w:rPr>
                  <w:rStyle w:val="czeinternetowe"/>
                  <w:rFonts w:ascii="Calibri" w:eastAsia="Calibri" w:hAnsi="Calibri" w:cs="Calibri"/>
                  <w:sz w:val="22"/>
                  <w:szCs w:val="22"/>
                </w:rPr>
                <w:t>http://urbact.eu/playful-paradigm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Using ‘games’ as a flexible and innovative way for healthy and sustainable place-making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Rekreacyjne działania i gry promują integrację społeczną, umożliwiają pokonanie barier i budują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mosty między ludźmi, pokoleniami i miejscami, opowiadając się tym samym za zmianami i innowacjami. Wszystkie zainteresowane strony, z sektora publicznego oraz przedsiębiorstw i organizacji non-profit, muszą dzielić się odpowiedzialnością za postęp społeczn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y. Rekreacyjne miejsca, takie jak Miejska Biblioteka Zabawek i park publiczny, targi Energy in Play, Travelling ToyBus, Światowy Dzień Igrzysk i Dzień Pi, przyczyniły się do poprawy wielu miejsc w przestrzeni miasta i podniosły świadomość zdrowotną mieszka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ńców a także w zakresie energii i zrównoważonego rozwoju.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Tropa Verde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Santiago de Compostela (ES), Dimos Pavlou Mela (EL), City of Budapest, District 14 Zuglo Municipality (HU)</w:t>
            </w:r>
          </w:p>
          <w:p w:rsidR="00962026" w:rsidRDefault="00962026">
            <w:pPr>
              <w:spacing w:after="160" w:line="259" w:lineRule="auto"/>
              <w:rPr>
                <w:rFonts w:hint="eastAsia"/>
              </w:rPr>
            </w:pPr>
            <w:hyperlink r:id="rId21">
              <w:r w:rsidR="008606C8">
                <w:rPr>
                  <w:rStyle w:val="czeinternetowe"/>
                  <w:rFonts w:ascii="Calibri" w:eastAsia="Calibri" w:hAnsi="Calibri" w:cs="Calibri"/>
                  <w:sz w:val="22"/>
                  <w:szCs w:val="22"/>
                </w:rPr>
                <w:t>http://urbac</w:t>
              </w:r>
              <w:r w:rsidR="008606C8">
                <w:rPr>
                  <w:rStyle w:val="czeinternetowe"/>
                  <w:rFonts w:ascii="Calibri" w:eastAsia="Calibri" w:hAnsi="Calibri" w:cs="Calibri"/>
                  <w:sz w:val="22"/>
                  <w:szCs w:val="22"/>
                </w:rPr>
                <w:t>t.eu/tropa-verde-rewarding-recycling</w:t>
              </w:r>
            </w:hyperlink>
          </w:p>
          <w:p w:rsidR="00962026" w:rsidRDefault="0096202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Boosting environmental responsibility through gaming and rewarding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Tropa Verde to platforma multimedialna stworzona przez miasto Santiago de Compostela w celu wspierania zachowań środowisko odpowiedzialnych. Korzystają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 z platformy internetowej opartej na grze, obywatele mogą wygrywać bony do recyklingu i wymieniać je na nagrody od Rady Miejskiej i lokalnych sprzedawców detalicznych. W ciągu niespełna dwóch lat poziom recyklingu wzrósł znacząco: ponad 115 lokalnych spon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sorów dostarczyło 800 nagród, od zakwaterowania w hotelu po zabiegi kosmetyczne. Obywatele otrzymywali te upominki lub upusty w zamian za 16 000 "działań recyklingowych" w centrach społecznych i obywatelskich oraz zielonych punktach.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Volunteering City 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Athienou (CY), Municipality of Capizzi (IT), Kildare County Council (IE)</w:t>
            </w:r>
          </w:p>
          <w:p w:rsidR="00962026" w:rsidRDefault="00962026">
            <w:pPr>
              <w:spacing w:after="160" w:line="259" w:lineRule="auto"/>
              <w:rPr>
                <w:rFonts w:hint="eastAsia"/>
              </w:rPr>
            </w:pPr>
            <w:hyperlink r:id="rId22">
              <w:r w:rsidR="008606C8">
                <w:rPr>
                  <w:rStyle w:val="czeinternetowe"/>
                  <w:rFonts w:ascii="Calibri" w:eastAsia="Calibri" w:hAnsi="Calibri" w:cs="Calibri"/>
                  <w:sz w:val="22"/>
                  <w:szCs w:val="22"/>
                </w:rPr>
                <w:t>http://urbact.eu/volunteering-council</w:t>
              </w:r>
            </w:hyperlink>
          </w:p>
          <w:p w:rsidR="00962026" w:rsidRDefault="0096202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Creating intergenerational social connections through volunteering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Miejska Rada Wolontari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atu (MRW) w Athienou zapewnia podstawowe potrzeby osób borykających się z ubóstwem i izolacją społeczną. Wolontariat jest narzędziem służącym do łączenia ludzi i usługi, 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maksymalnie 200 wolontariuszami pracującymi w tym samym czasie. Obowiązkiem MRW jest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zrozumienie i zaoferowanie rozwiązań problemów społeczności lokalnej.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W ramach rozwijającej się od 1970 roku MRW, istnieją obecnie cztery programy: opieka nad osobami starszymi, pomoc społeczna i rozrywka, opieka nad żłobkami i pomoc społeczna. Działania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 łączą różne pokolenia i zapewniają bezpośrednią i konkretną pomoc najbardziej potrzebującym.</w:t>
            </w:r>
          </w:p>
        </w:tc>
      </w:tr>
      <w:tr w:rsidR="00962026"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WetrEIN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Viladecans (ES), Tallinn Education Department (EE), Nantes (FR)</w:t>
            </w:r>
          </w:p>
          <w:p w:rsidR="00962026" w:rsidRDefault="00962026">
            <w:pPr>
              <w:spacing w:after="160" w:line="259" w:lineRule="auto"/>
              <w:rPr>
                <w:rFonts w:hint="eastAsia"/>
              </w:rPr>
            </w:pPr>
            <w:hyperlink r:id="rId23">
              <w:r w:rsidR="008606C8">
                <w:rPr>
                  <w:rStyle w:val="czeinternetowe"/>
                  <w:rFonts w:ascii="Calibri" w:eastAsia="Calibri" w:hAnsi="Calibri" w:cs="Calibri"/>
                  <w:sz w:val="22"/>
                  <w:szCs w:val="22"/>
                </w:rPr>
                <w:t>http://urbact.eu/educational-innovation-network</w:t>
              </w:r>
            </w:hyperlink>
          </w:p>
        </w:tc>
        <w:tc>
          <w:tcPr>
            <w:tcW w:w="7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62026" w:rsidRDefault="008606C8">
            <w:pPr>
              <w:pStyle w:val="Zawartotabeli"/>
              <w:spacing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Boosting the renewal of the education in the city by means of involving all relevant stakeholders</w:t>
            </w:r>
          </w:p>
          <w:p w:rsidR="00962026" w:rsidRDefault="008606C8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Od 2013 r. Innowacyjna Sieć na rzecz Edukacji ma na celu poprawę poziomu edukacji miasta poprzez stymulowanie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innowacyjności i kreatywności w szkołach oraz poprzez (1) promowanie projektów ICT oraz (2) współpracę między różnymi lokalnymi interesariuszami. ISE skupia administrację publiczną, placówki edukacyjne, specjalistów, rodziny i przedsiębiorstwa, w celu wspa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rcia i odnowy edukacji. Współpraca między interesariuszami społeczeństwa obywatelskiego i sektora społeczno-gospodarczego ma na celu rozwój innowacyjnych projektów umożliwiających opracowywanie nowych strategii edukacyjnych.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Jedną z głównych zmian, jakie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prowadziła sieć, jest odnowienie urządzeń technologicznych w szkołach oraz ich lepsze wykorzystanie przez nauczycieli, uczniów i rodziny.</w:t>
            </w:r>
          </w:p>
        </w:tc>
      </w:tr>
    </w:tbl>
    <w:p w:rsidR="00962026" w:rsidRDefault="00962026">
      <w:pPr>
        <w:rPr>
          <w:rFonts w:hint="eastAsia"/>
        </w:rPr>
      </w:pPr>
    </w:p>
    <w:p w:rsidR="00962026" w:rsidRDefault="00962026">
      <w:pPr>
        <w:rPr>
          <w:rFonts w:hint="eastAsia"/>
        </w:rPr>
      </w:pPr>
    </w:p>
    <w:p w:rsidR="00962026" w:rsidRDefault="00962026">
      <w:pPr>
        <w:rPr>
          <w:rFonts w:hint="eastAsia"/>
        </w:rPr>
      </w:pPr>
    </w:p>
    <w:sectPr w:rsidR="00962026" w:rsidSect="00962026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225"/>
  <w:hyphenationZone w:val="425"/>
  <w:characterSpacingControl w:val="doNotCompress"/>
  <w:compat>
    <w:useFELayout/>
  </w:compat>
  <w:rsids>
    <w:rsidRoot w:val="00962026"/>
    <w:rsid w:val="008606C8"/>
    <w:rsid w:val="0096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02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62026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96202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62026"/>
    <w:pPr>
      <w:spacing w:after="140" w:line="288" w:lineRule="auto"/>
    </w:pPr>
  </w:style>
  <w:style w:type="paragraph" w:styleId="Lista">
    <w:name w:val="List"/>
    <w:basedOn w:val="Tekstpodstawowy"/>
    <w:rsid w:val="00962026"/>
  </w:style>
  <w:style w:type="paragraph" w:customStyle="1" w:styleId="Caption">
    <w:name w:val="Caption"/>
    <w:basedOn w:val="Normalny"/>
    <w:qFormat/>
    <w:rsid w:val="0096202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62026"/>
    <w:pPr>
      <w:suppressLineNumbers/>
    </w:pPr>
  </w:style>
  <w:style w:type="paragraph" w:customStyle="1" w:styleId="Zawartotabeli">
    <w:name w:val="Zawartość tabeli"/>
    <w:basedOn w:val="Normalny"/>
    <w:qFormat/>
    <w:rsid w:val="009620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ct.eu/citizen-card" TargetMode="External"/><Relationship Id="rId13" Type="http://schemas.openxmlformats.org/officeDocument/2006/relationships/hyperlink" Target="http://urbact.eu/music-school" TargetMode="External"/><Relationship Id="rId18" Type="http://schemas.openxmlformats.org/officeDocument/2006/relationships/hyperlink" Target="http://urbact.eu/resilient-urban-and-peri-urban-agricultu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rbact.eu/tropa-verde-rewarding-recycling" TargetMode="External"/><Relationship Id="rId7" Type="http://schemas.openxmlformats.org/officeDocument/2006/relationships/hyperlink" Target="http://urbact.eu/city-branding-making-invisible-visible" TargetMode="External"/><Relationship Id="rId12" Type="http://schemas.openxmlformats.org/officeDocument/2006/relationships/hyperlink" Target="http://urbact.eu/internationalisation-sustainable-future" TargetMode="External"/><Relationship Id="rId17" Type="http://schemas.openxmlformats.org/officeDocument/2006/relationships/hyperlink" Target="http://urbact.eu/do-not-feed-rumou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rbact.eu/finding-opportunities-declining-cities" TargetMode="External"/><Relationship Id="rId20" Type="http://schemas.openxmlformats.org/officeDocument/2006/relationships/hyperlink" Target="http://urbact.eu/playful-paradigm" TargetMode="External"/><Relationship Id="rId1" Type="http://schemas.openxmlformats.org/officeDocument/2006/relationships/styles" Target="styles.xml"/><Relationship Id="rId6" Type="http://schemas.openxmlformats.org/officeDocument/2006/relationships/hyperlink" Target="http://urbact.eu/collective-school-catering" TargetMode="External"/><Relationship Id="rId11" Type="http://schemas.openxmlformats.org/officeDocument/2006/relationships/hyperlink" Target="http://urbact.eu/progressing-procurement-practice-through-spend-analysi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urbact.eu/promoting-entrepreunership-and-innovation-maritime-economy" TargetMode="External"/><Relationship Id="rId15" Type="http://schemas.openxmlformats.org/officeDocument/2006/relationships/hyperlink" Target="http://urbact.eu/digital-media-centre" TargetMode="External"/><Relationship Id="rId23" Type="http://schemas.openxmlformats.org/officeDocument/2006/relationships/hyperlink" Target="http://urbact.eu/educational-innovation-network" TargetMode="External"/><Relationship Id="rId10" Type="http://schemas.openxmlformats.org/officeDocument/2006/relationships/hyperlink" Target="http://urbact.eu/everyones-innovator" TargetMode="External"/><Relationship Id="rId19" Type="http://schemas.openxmlformats.org/officeDocument/2006/relationships/hyperlink" Target="http://urbact.eu/building-age-friendly-city" TargetMode="External"/><Relationship Id="rId4" Type="http://schemas.openxmlformats.org/officeDocument/2006/relationships/hyperlink" Target="http://urbact.eu/ngo-house" TargetMode="External"/><Relationship Id="rId9" Type="http://schemas.openxmlformats.org/officeDocument/2006/relationships/hyperlink" Target="http://urbact.eu/integrated-toolbox-deprived-neighbourhoods" TargetMode="External"/><Relationship Id="rId14" Type="http://schemas.openxmlformats.org/officeDocument/2006/relationships/hyperlink" Target="http://urbact.eu/weekend-open-houses" TargetMode="External"/><Relationship Id="rId22" Type="http://schemas.openxmlformats.org/officeDocument/2006/relationships/hyperlink" Target="http://urbact.eu/volunteering-counc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2739</Words>
  <Characters>16436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2018-04-05T17:07:00Z</dcterms:created>
  <dcterms:modified xsi:type="dcterms:W3CDTF">2018-04-05T17:07:00Z</dcterms:modified>
  <dc:language>pl-PL</dc:language>
</cp:coreProperties>
</file>