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9634"/>
      </w:tblGrid>
      <w:tr w:rsidR="00785F8E" w:rsidRPr="00785F8E" w:rsidTr="006D6B90">
        <w:tc>
          <w:tcPr>
            <w:tcW w:w="9634" w:type="dxa"/>
          </w:tcPr>
          <w:p w:rsidR="006D6B90" w:rsidRPr="00785F8E" w:rsidRDefault="006D6B90" w:rsidP="006D6B90">
            <w:pPr>
              <w:pStyle w:val="Nagwek1"/>
              <w:spacing w:before="0" w:after="0"/>
              <w:outlineLvl w:val="0"/>
              <w:rPr>
                <w:sz w:val="18"/>
                <w:szCs w:val="18"/>
              </w:rPr>
            </w:pPr>
            <w:r w:rsidRPr="00785F8E">
              <w:rPr>
                <w:sz w:val="18"/>
                <w:szCs w:val="18"/>
              </w:rPr>
              <w:t>Wsparcie kadry jednostek samorządu terytorialnego w zarządzaniu oświatą ukierunkowanym na rozwój szkół i kompetencji kluczowych uczniów  (POWR.02.10.00-IP.02-00-003/15)</w:t>
            </w:r>
          </w:p>
          <w:p w:rsidR="00F47E3B" w:rsidRPr="00785F8E" w:rsidRDefault="00165C51" w:rsidP="00F47E3B">
            <w:pPr>
              <w:pStyle w:val="Nagwek1"/>
              <w:spacing w:before="240" w:after="180"/>
              <w:outlineLvl w:val="0"/>
              <w:rPr>
                <w:sz w:val="36"/>
                <w:szCs w:val="36"/>
              </w:rPr>
            </w:pPr>
            <w:r w:rsidRPr="00785F8E">
              <w:rPr>
                <w:sz w:val="36"/>
                <w:szCs w:val="36"/>
              </w:rPr>
              <w:t>Strategiczny przegląd sytuacji w obszarze</w:t>
            </w:r>
            <w:r w:rsidR="00481FD1" w:rsidRPr="00785F8E">
              <w:rPr>
                <w:sz w:val="36"/>
                <w:szCs w:val="36"/>
              </w:rPr>
              <w:t xml:space="preserve"> </w:t>
            </w:r>
            <w:r w:rsidR="006E267A" w:rsidRPr="00785F8E">
              <w:rPr>
                <w:sz w:val="36"/>
                <w:szCs w:val="36"/>
              </w:rPr>
              <w:t>9</w:t>
            </w:r>
            <w:r w:rsidRPr="00785F8E">
              <w:rPr>
                <w:sz w:val="36"/>
                <w:szCs w:val="36"/>
              </w:rPr>
              <w:t xml:space="preserve">: </w:t>
            </w:r>
          </w:p>
          <w:p w:rsidR="00924C33" w:rsidRPr="00785F8E" w:rsidRDefault="006E267A" w:rsidP="00191846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785F8E">
              <w:rPr>
                <w:rFonts w:cs="Arial"/>
                <w:b/>
                <w:sz w:val="24"/>
                <w:szCs w:val="24"/>
              </w:rPr>
              <w:t>Gospodarowanie zasobami materialnymi, umożliwiającymi realizację wyznaczonych celów edukacyjnych</w:t>
            </w:r>
          </w:p>
        </w:tc>
      </w:tr>
      <w:tr w:rsidR="00785F8E" w:rsidRPr="00785F8E" w:rsidTr="006D6B90">
        <w:tc>
          <w:tcPr>
            <w:tcW w:w="9634" w:type="dxa"/>
          </w:tcPr>
          <w:p w:rsidR="005501B5" w:rsidRPr="00785F8E" w:rsidRDefault="005501B5" w:rsidP="005501B5"/>
        </w:tc>
      </w:tr>
      <w:tr w:rsidR="00785F8E" w:rsidRPr="00785F8E" w:rsidTr="006D6B90">
        <w:tc>
          <w:tcPr>
            <w:tcW w:w="9634" w:type="dxa"/>
          </w:tcPr>
          <w:p w:rsidR="005501B5" w:rsidRPr="00785F8E" w:rsidRDefault="00165C51" w:rsidP="00165C51">
            <w:pPr>
              <w:pStyle w:val="Nagwek2"/>
              <w:numPr>
                <w:ilvl w:val="0"/>
                <w:numId w:val="6"/>
              </w:numPr>
              <w:outlineLvl w:val="1"/>
            </w:pPr>
            <w:r w:rsidRPr="00785F8E">
              <w:t>Podstawa prawna działania samorządu</w:t>
            </w:r>
          </w:p>
        </w:tc>
      </w:tr>
      <w:tr w:rsidR="00785F8E" w:rsidRPr="00785F8E" w:rsidTr="006D6B90">
        <w:tc>
          <w:tcPr>
            <w:tcW w:w="9634" w:type="dxa"/>
            <w:shd w:val="clear" w:color="auto" w:fill="D9D9D9" w:themeFill="background1" w:themeFillShade="D9"/>
          </w:tcPr>
          <w:p w:rsidR="005501B5" w:rsidRPr="00785F8E" w:rsidRDefault="00165C51" w:rsidP="005501B5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>Instrukcja: Omówienie aktualnej podstawy prawnej działania samorządu w analizowanym obszarze, w tym aktualnych regulacji i podejmowanych inicjatyw legislacyjnych (jeśli dotyczy). Jeśli w okresie realizacji zlecenia prowadzone będą prace parlamentarne nad zmianami obowiązującego prawa, ocena ich wpływu na sposób realizacji przez JST zadań oświatowych.</w:t>
            </w:r>
          </w:p>
        </w:tc>
      </w:tr>
      <w:tr w:rsidR="00785F8E" w:rsidRPr="00785F8E" w:rsidTr="00CC1A7C">
        <w:trPr>
          <w:trHeight w:val="3059"/>
        </w:trPr>
        <w:tc>
          <w:tcPr>
            <w:tcW w:w="9634" w:type="dxa"/>
          </w:tcPr>
          <w:p w:rsidR="006E267A" w:rsidRPr="00785F8E" w:rsidRDefault="006E267A" w:rsidP="006E267A">
            <w:r w:rsidRPr="00785F8E">
              <w:t>Punktem wyjścia do analizy podstawy prawnej dla obszaru gospodarowania zasobami materialnymi jest art. 10 ust. 1 ustawy Prawo oświatowe. Określa on obowiązki organu prowadzącego szkołę i placówkę. Dotyczą one zapewnienia: bezpiecznych i higienicznych warunków nauki, wychowania i opieki; warunków umożliwiających stosowanie specjalnej organizacji nauki i metod pracy dla dzieci i młodzieży objętych kształceniem specjalnym; wykonywanie remontów obiektów szkolnych oraz zadań inwestycyjnych w tym zakresie; zapewnienie obsługi administracyjnej, prawnej i finansowej; wyposażanie szkoły w pomoce dydaktyczne i sprzęt niezbędny do pełnej realizacji programów nauczania i wychowawczo-profilaktycznych oraz przeprowadzania egzaminów; wykonywanie czynności w sprawach z zakresu prawa pracy w stosunku do dyrektora szkoły lub placówki.</w:t>
            </w:r>
          </w:p>
          <w:p w:rsidR="006E267A" w:rsidRPr="00785F8E" w:rsidRDefault="006E267A" w:rsidP="006E267A">
            <w:r w:rsidRPr="00785F8E">
              <w:t xml:space="preserve">Z zarządzaniem bazą materialną wiąże się również kształtowanie sieci szkół (art. 39 ustawy Prawo oświatowe). JST racjonalizują sieci, dostosowując je do potrzeb funkcjonowania wspólnot lokalnych. Samorządy zostały przez ustawodawcę wyposażone w kilka instrumentów w tym zakresie, tj. </w:t>
            </w:r>
            <w:r w:rsidR="002036B2" w:rsidRPr="00785F8E">
              <w:t>możliwość</w:t>
            </w:r>
            <w:r w:rsidRPr="00785F8E">
              <w:t xml:space="preserve">: przekazywania prowadzenia szkoły publicznej (art. 9 upo); likwidacji szkoły lub placówki publicznej (art. 89 upo); przekształcenia szkoły lub placówki publicznej (art. 89 upo). </w:t>
            </w:r>
          </w:p>
          <w:p w:rsidR="00745222" w:rsidRDefault="006E267A" w:rsidP="00745222">
            <w:r w:rsidRPr="00785F8E">
              <w:t xml:space="preserve">Jednak swobodę samorządu w tym zakresie ogranicza obowiązek uzyskania pozytywnej opinii kuratora oświaty w szeregu przypadków: </w:t>
            </w:r>
            <w:r w:rsidR="00745222">
              <w:t xml:space="preserve">przy </w:t>
            </w:r>
            <w:r w:rsidRPr="00785F8E">
              <w:t xml:space="preserve">ustalaniu planu sieci publicznych szkół (art. 39 ust. 8 upo), </w:t>
            </w:r>
            <w:r w:rsidR="00745222">
              <w:t xml:space="preserve">przy zatwierdzaniu </w:t>
            </w:r>
            <w:r w:rsidRPr="00785F8E">
              <w:t xml:space="preserve">arkuszy organizacji publicznych szkół i placówek (art. 51 ust. 1 pkt 12 upo); </w:t>
            </w:r>
            <w:r w:rsidR="00745222">
              <w:t>przy przekazywaniu prowadzenia</w:t>
            </w:r>
            <w:r w:rsidRPr="00785F8E">
              <w:t xml:space="preserve"> szkoły podmiotowi prywatnemu (art. 9 ust. 1 upo), </w:t>
            </w:r>
            <w:r w:rsidR="00745222">
              <w:t xml:space="preserve">przy </w:t>
            </w:r>
            <w:r w:rsidRPr="00785F8E">
              <w:t xml:space="preserve">likwidacji szkoły lub placówki publicznej (art. 89 ust. 3 upo). </w:t>
            </w:r>
          </w:p>
          <w:p w:rsidR="000C73B5" w:rsidRDefault="000C73B5" w:rsidP="00745222">
            <w:r w:rsidRPr="00785F8E">
              <w:rPr>
                <w:highlight w:val="yellow"/>
              </w:rPr>
              <w:t>[do weryfikacji / uzupełnienia]</w:t>
            </w:r>
            <w:r w:rsidR="002036B2" w:rsidRPr="00785F8E">
              <w:t xml:space="preserve">  </w:t>
            </w:r>
          </w:p>
          <w:p w:rsidR="00745222" w:rsidRDefault="00745222" w:rsidP="00745222"/>
          <w:p w:rsidR="00745222" w:rsidRPr="00785F8E" w:rsidRDefault="00745222" w:rsidP="00745222"/>
        </w:tc>
        <w:bookmarkStart w:id="0" w:name="_GoBack"/>
        <w:bookmarkEnd w:id="0"/>
      </w:tr>
      <w:tr w:rsidR="00785F8E" w:rsidRPr="00785F8E" w:rsidTr="006D6B90">
        <w:tc>
          <w:tcPr>
            <w:tcW w:w="9634" w:type="dxa"/>
          </w:tcPr>
          <w:p w:rsidR="00165C51" w:rsidRPr="00785F8E" w:rsidRDefault="00165C51" w:rsidP="00165C51">
            <w:pPr>
              <w:pStyle w:val="Nagwek2"/>
              <w:numPr>
                <w:ilvl w:val="0"/>
                <w:numId w:val="6"/>
              </w:numPr>
              <w:outlineLvl w:val="1"/>
            </w:pPr>
            <w:r w:rsidRPr="00785F8E">
              <w:t>Analiza ilościowa</w:t>
            </w:r>
          </w:p>
        </w:tc>
      </w:tr>
      <w:tr w:rsidR="00785F8E" w:rsidRPr="00785F8E" w:rsidTr="006D6B90">
        <w:tc>
          <w:tcPr>
            <w:tcW w:w="9634" w:type="dxa"/>
            <w:shd w:val="clear" w:color="auto" w:fill="D9D9D9" w:themeFill="background1" w:themeFillShade="D9"/>
          </w:tcPr>
          <w:p w:rsidR="00165C51" w:rsidRPr="00785F8E" w:rsidRDefault="00165C51" w:rsidP="00165C51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>Instrukcja: Analiza ilościowa zagadnień związanych z badanym obszarem: Jakie usługi / zadania są realizowane? W jakiej ilości / jakości (parametry obiektywne)? Jakim kosztem (koszty jednostkowe)? Jaka jest ich dostępność dla mieszkańców gminy / powiatu? Zaproponowanie i omówienie wskaźników kontekstowych ważnych dla interpretacji danych ilościowych.</w:t>
            </w:r>
          </w:p>
        </w:tc>
      </w:tr>
      <w:tr w:rsidR="00785F8E" w:rsidRPr="00785F8E" w:rsidTr="0076476C">
        <w:trPr>
          <w:trHeight w:val="2249"/>
        </w:trPr>
        <w:tc>
          <w:tcPr>
            <w:tcW w:w="9634" w:type="dxa"/>
          </w:tcPr>
          <w:p w:rsidR="00745222" w:rsidRDefault="00033ABC" w:rsidP="002036B2">
            <w:r w:rsidRPr="00785F8E">
              <w:lastRenderedPageBreak/>
              <w:t>Możliwości wywiąza</w:t>
            </w:r>
            <w:r w:rsidR="00785F8E">
              <w:t xml:space="preserve">nia się z uwarunkowań prawnych </w:t>
            </w:r>
            <w:r w:rsidRPr="00785F8E">
              <w:t xml:space="preserve">i efektywnego gospodarowania zasobami materialnymi, kształtowane są przez </w:t>
            </w:r>
            <w:r w:rsidR="00785F8E">
              <w:t>wiele czynników</w:t>
            </w:r>
            <w:r w:rsidRPr="00785F8E">
              <w:t xml:space="preserve">. </w:t>
            </w:r>
          </w:p>
          <w:p w:rsidR="00745222" w:rsidRDefault="00033ABC" w:rsidP="002036B2">
            <w:r w:rsidRPr="00785F8E">
              <w:t xml:space="preserve">Kluczowe znaczenie ma aspekt finansowy, w tym wolumen dochodów (a w nim przekazywana z budżetu państwa część oświatowa subwencji ogólnej) oraz analiza wydatków budżetu JST. </w:t>
            </w:r>
          </w:p>
          <w:p w:rsidR="00745222" w:rsidRDefault="00033ABC" w:rsidP="002036B2">
            <w:r w:rsidRPr="00785F8E">
              <w:t xml:space="preserve">Ze względu na temat </w:t>
            </w:r>
            <w:r w:rsidR="00745222">
              <w:t>opracowania</w:t>
            </w:r>
            <w:r w:rsidRPr="00785F8E">
              <w:t xml:space="preserve"> głównym przedmiotem analizy powinny być wydatki majątkowe według obowiązującej klasyfikacji budżetowej, co pozwoli zorientować się co do struktury wydatków i </w:t>
            </w:r>
            <w:r w:rsidR="002036B2" w:rsidRPr="00785F8E">
              <w:t>ich wysokości</w:t>
            </w:r>
            <w:r w:rsidRPr="00785F8E">
              <w:t xml:space="preserve">. </w:t>
            </w:r>
          </w:p>
          <w:p w:rsidR="00744BEE" w:rsidRDefault="00033ABC" w:rsidP="002036B2">
            <w:r w:rsidRPr="00785F8E">
              <w:t xml:space="preserve">Odpowiednie łączenie elementów klasyfikacji budżetowej pozwalana </w:t>
            </w:r>
            <w:r w:rsidR="002036B2" w:rsidRPr="00785F8E">
              <w:t xml:space="preserve">na </w:t>
            </w:r>
            <w:r w:rsidRPr="00785F8E">
              <w:t xml:space="preserve">agregowanie danych porównawczych w różnych konfiguracjach (np. proporcji wydatków majątkowych </w:t>
            </w:r>
            <w:r w:rsidR="002036B2" w:rsidRPr="00785F8E">
              <w:t xml:space="preserve">na oświatę </w:t>
            </w:r>
            <w:r w:rsidRPr="00785F8E">
              <w:t xml:space="preserve">w wydatkach majątkowych </w:t>
            </w:r>
            <w:r w:rsidR="002036B2" w:rsidRPr="00785F8E">
              <w:t xml:space="preserve">JST </w:t>
            </w:r>
            <w:r w:rsidRPr="00785F8E">
              <w:t>ogółem, udziału w wydatkach majątkowych wydat</w:t>
            </w:r>
            <w:r w:rsidR="002036B2" w:rsidRPr="00785F8E">
              <w:t>ków z różnych źródeł (np. własnych, budżetu państwa i unijnych)</w:t>
            </w:r>
            <w:r w:rsidRPr="00785F8E">
              <w:t xml:space="preserve"> </w:t>
            </w:r>
            <w:r w:rsidR="002036B2" w:rsidRPr="00785F8E">
              <w:t xml:space="preserve">oraz </w:t>
            </w:r>
            <w:r w:rsidRPr="00785F8E">
              <w:t xml:space="preserve">analiza </w:t>
            </w:r>
            <w:r w:rsidR="002036B2" w:rsidRPr="00785F8E">
              <w:t xml:space="preserve">w/w </w:t>
            </w:r>
            <w:r w:rsidRPr="00785F8E">
              <w:t>w rozbici</w:t>
            </w:r>
            <w:r w:rsidR="002036B2" w:rsidRPr="00785F8E">
              <w:t>u na poszczególne kategorie JST</w:t>
            </w:r>
            <w:r w:rsidRPr="00785F8E">
              <w:t>.</w:t>
            </w:r>
          </w:p>
          <w:p w:rsidR="00597B2C" w:rsidRPr="00597B2C" w:rsidRDefault="00597B2C" w:rsidP="002036B2">
            <w:pPr>
              <w:rPr>
                <w:u w:val="single"/>
              </w:rPr>
            </w:pPr>
            <w:r w:rsidRPr="00597B2C">
              <w:rPr>
                <w:u w:val="single"/>
              </w:rPr>
              <w:t>Przykładowe wskaźniki:</w:t>
            </w:r>
          </w:p>
          <w:p w:rsidR="00597B2C" w:rsidRDefault="00597B2C" w:rsidP="00597B2C">
            <w:r>
              <w:t>Wykorzystanie pomieszczeń lekcyjnych</w:t>
            </w:r>
          </w:p>
          <w:p w:rsidR="00597B2C" w:rsidRDefault="00597B2C" w:rsidP="00597B2C">
            <w:r>
              <w:t>Bieżące wydatki na zadania oświatowe jako procent otrzymanej subwencji oświatowej</w:t>
            </w:r>
          </w:p>
          <w:p w:rsidR="00597B2C" w:rsidRDefault="00597B2C" w:rsidP="00597B2C">
            <w:r>
              <w:t>Wydatki bieżące na zadania oświatowe w przeliczeniu na jednego ucznia / jeden oddział</w:t>
            </w:r>
          </w:p>
          <w:p w:rsidR="00597B2C" w:rsidRDefault="00597B2C" w:rsidP="00597B2C">
            <w:r>
              <w:t>Wydatki majątkowe w stosunku do całkowitych wydatków na zadania oświatowe i edukacyjną opiekę wychowawczą</w:t>
            </w:r>
          </w:p>
          <w:p w:rsidR="00597B2C" w:rsidRDefault="00597B2C" w:rsidP="00597B2C">
            <w:r>
              <w:t>Wydatki finansowane z funduszy strukturalnych UE i innych środków bezzwrotnych jako procent całkowitych wydatków na zadania oświatowe i edukacyjną opiekę wychowawczą</w:t>
            </w:r>
          </w:p>
          <w:p w:rsidR="001F70D9" w:rsidRDefault="001F70D9" w:rsidP="00597B2C">
            <w:r>
              <w:t>Wydatki majątkowe w oświacie i edukacyjnej opiece wychowawczej w stosunku do całkowitych wydatków majątkowych JST</w:t>
            </w:r>
          </w:p>
          <w:p w:rsidR="002036B2" w:rsidRDefault="001F70D9" w:rsidP="002036B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745222">
              <w:rPr>
                <w:highlight w:val="yellow"/>
              </w:rPr>
              <w:t>[Do uzupełnienia – W poszukiwaniu propozycji wskaźników ilościowych</w:t>
            </w:r>
            <w:r w:rsidR="002036B2" w:rsidRPr="00785F8E">
              <w:rPr>
                <w:highlight w:val="yellow"/>
              </w:rPr>
              <w:t xml:space="preserve"> na ten temat moż</w:t>
            </w:r>
            <w:r w:rsidR="00745222">
              <w:rPr>
                <w:highlight w:val="yellow"/>
              </w:rPr>
              <w:t xml:space="preserve">e pomóc lektura </w:t>
            </w:r>
            <w:r w:rsidR="002036B2" w:rsidRPr="00785F8E">
              <w:rPr>
                <w:highlight w:val="yellow"/>
              </w:rPr>
              <w:t>opracowania M.Tobora i J.M.</w:t>
            </w:r>
            <w:r w:rsidR="00745222">
              <w:rPr>
                <w:highlight w:val="yellow"/>
              </w:rPr>
              <w:t xml:space="preserve"> Czajkowskiego (</w:t>
            </w:r>
            <w:r w:rsidR="00785F8E">
              <w:rPr>
                <w:highlight w:val="yellow"/>
              </w:rPr>
              <w:t>załącznik nr 2</w:t>
            </w:r>
            <w:r w:rsidR="00745222">
              <w:rPr>
                <w:highlight w:val="yellow"/>
              </w:rPr>
              <w:t xml:space="preserve">) oraz opracowania </w:t>
            </w:r>
            <w:hyperlink r:id="rId8" w:history="1">
              <w:r w:rsidR="00745222" w:rsidRPr="00E82563">
                <w:rPr>
                  <w:rStyle w:val="Hipercze"/>
                </w:rPr>
                <w:t>J.Herczyński „Wskaźniki oświatowe”</w:t>
              </w:r>
            </w:hyperlink>
            <w:r w:rsidR="00745222">
              <w:rPr>
                <w:highlight w:val="yellow"/>
              </w:rPr>
              <w:t>]</w:t>
            </w:r>
          </w:p>
          <w:p w:rsidR="00745222" w:rsidRDefault="00745222" w:rsidP="002036B2">
            <w:pPr>
              <w:rPr>
                <w:highlight w:val="yellow"/>
              </w:rPr>
            </w:pPr>
          </w:p>
          <w:p w:rsidR="00745222" w:rsidRPr="00785F8E" w:rsidRDefault="00745222" w:rsidP="002036B2">
            <w:pPr>
              <w:rPr>
                <w:highlight w:val="yellow"/>
              </w:rPr>
            </w:pPr>
          </w:p>
        </w:tc>
      </w:tr>
      <w:tr w:rsidR="00785F8E" w:rsidRPr="00785F8E" w:rsidTr="00483AEF">
        <w:trPr>
          <w:trHeight w:val="584"/>
        </w:trPr>
        <w:tc>
          <w:tcPr>
            <w:tcW w:w="9634" w:type="dxa"/>
          </w:tcPr>
          <w:p w:rsidR="00165C51" w:rsidRPr="00785F8E" w:rsidRDefault="00165C51" w:rsidP="00165C51">
            <w:pPr>
              <w:pStyle w:val="Nagwek2"/>
              <w:numPr>
                <w:ilvl w:val="0"/>
                <w:numId w:val="6"/>
              </w:numPr>
              <w:outlineLvl w:val="1"/>
            </w:pPr>
            <w:r w:rsidRPr="00785F8E">
              <w:t>Rola organu prowadzącego</w:t>
            </w:r>
          </w:p>
        </w:tc>
      </w:tr>
      <w:tr w:rsidR="00785F8E" w:rsidRPr="00785F8E" w:rsidTr="006D6B90">
        <w:tc>
          <w:tcPr>
            <w:tcW w:w="9634" w:type="dxa"/>
            <w:shd w:val="clear" w:color="auto" w:fill="D9D9D9" w:themeFill="background1" w:themeFillShade="D9"/>
          </w:tcPr>
          <w:p w:rsidR="00165C51" w:rsidRPr="00785F8E" w:rsidRDefault="00165C51" w:rsidP="00165C51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>Instrukcja: Prezentacja roli organu prowadzącego w badanym obszarze: cel, zasady i formy możliwego działania wraz z ich charakterystyką oraz przedstawieniem zróżnicowanych podejść i uwarunkowań instytucjonalnych. Wynikiem tej części analizy powinna być lista zadań / funkcji, które powinny być / mogą być realizowane przez JST w tym zakresie.</w:t>
            </w:r>
          </w:p>
        </w:tc>
      </w:tr>
      <w:tr w:rsidR="00785F8E" w:rsidRPr="00785F8E" w:rsidTr="002036B2">
        <w:trPr>
          <w:trHeight w:val="4316"/>
        </w:trPr>
        <w:tc>
          <w:tcPr>
            <w:tcW w:w="9634" w:type="dxa"/>
          </w:tcPr>
          <w:p w:rsidR="002036B2" w:rsidRPr="00785F8E" w:rsidRDefault="002036B2" w:rsidP="002036B2">
            <w:r w:rsidRPr="00785F8E">
              <w:lastRenderedPageBreak/>
              <w:t>Rol</w:t>
            </w:r>
            <w:r w:rsidR="00745222">
              <w:t>a</w:t>
            </w:r>
            <w:r w:rsidRPr="00785F8E">
              <w:t xml:space="preserve"> organu prowadzącego w zakresie gospodarowania zasobami materialnymi lokalnego systemu edukacyjnego </w:t>
            </w:r>
            <w:r w:rsidR="00745222">
              <w:t xml:space="preserve">wiąże się z kilkoma </w:t>
            </w:r>
            <w:r w:rsidRPr="00785F8E">
              <w:t>zasadniczy</w:t>
            </w:r>
            <w:r w:rsidR="00745222">
              <w:t>mi funkcjami / zadaniami</w:t>
            </w:r>
            <w:r w:rsidRPr="00785F8E">
              <w:t>:</w:t>
            </w:r>
          </w:p>
          <w:p w:rsidR="002036B2" w:rsidRPr="00785F8E" w:rsidRDefault="00745222" w:rsidP="006053EC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</w:pPr>
            <w:r>
              <w:t xml:space="preserve">Regularne inwentaryzowanie </w:t>
            </w:r>
            <w:r w:rsidR="00483B9B">
              <w:t xml:space="preserve">posiadanych zasobów </w:t>
            </w:r>
            <w:r w:rsidR="002036B2" w:rsidRPr="00785F8E">
              <w:t>oraz analiz</w:t>
            </w:r>
            <w:r w:rsidR="00483B9B">
              <w:t>a</w:t>
            </w:r>
            <w:r w:rsidR="002036B2" w:rsidRPr="00785F8E">
              <w:t xml:space="preserve"> ich wykorzystania </w:t>
            </w:r>
            <w:r w:rsidR="00483B9B">
              <w:t xml:space="preserve">na poziomie pojedynczych szkół i placówek oraz </w:t>
            </w:r>
            <w:r w:rsidR="002036B2" w:rsidRPr="00785F8E">
              <w:t>na poziom</w:t>
            </w:r>
            <w:r w:rsidR="00483B9B">
              <w:t>ie całej</w:t>
            </w:r>
            <w:r w:rsidR="002036B2" w:rsidRPr="00785F8E">
              <w:t xml:space="preserve"> jednostki samorządu</w:t>
            </w:r>
            <w:r w:rsidR="006053EC">
              <w:t xml:space="preserve"> - Analiza powinna </w:t>
            </w:r>
            <w:r w:rsidR="002036B2" w:rsidRPr="00785F8E">
              <w:t>być prowadzona pod kątem zidentyfikowanych potrzeb lokalnego systemu oraz z uwzględnieniem zmian zachodzących w jego otoczeniu (zwłaszcza</w:t>
            </w:r>
            <w:r w:rsidR="006053EC">
              <w:t xml:space="preserve"> zmiany demograficzne i sytuacji</w:t>
            </w:r>
            <w:r w:rsidR="002036B2" w:rsidRPr="00785F8E">
              <w:t xml:space="preserve"> na rynku pracy).</w:t>
            </w:r>
          </w:p>
          <w:p w:rsidR="002036B2" w:rsidRPr="00785F8E" w:rsidRDefault="006053EC" w:rsidP="006053EC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</w:pPr>
            <w:r>
              <w:t>B</w:t>
            </w:r>
            <w:r w:rsidR="002036B2" w:rsidRPr="00785F8E">
              <w:t>ieżące</w:t>
            </w:r>
            <w:r>
              <w:t xml:space="preserve"> administrowanie zasobami systemu oświaty oraz inicjowanie</w:t>
            </w:r>
            <w:r w:rsidR="002036B2" w:rsidRPr="00785F8E">
              <w:t xml:space="preserve"> działań restrukturyzacyjnych, poprawiających jakoś bazy i</w:t>
            </w:r>
            <w:r>
              <w:t xml:space="preserve"> efektywność jej wykorzystania - Wykorzystanie wniosków z prowadzonych analiz; tworzenie </w:t>
            </w:r>
            <w:r w:rsidR="002036B2" w:rsidRPr="00785F8E">
              <w:t xml:space="preserve">planów inwestycyjnych pod kątem funduszy własnych oraz pozyskiwanych z zewnętrz. </w:t>
            </w:r>
          </w:p>
          <w:p w:rsidR="006053EC" w:rsidRPr="00785F8E" w:rsidRDefault="006053EC" w:rsidP="006053EC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</w:pPr>
            <w:r>
              <w:t xml:space="preserve">Pozyskiwanie </w:t>
            </w:r>
            <w:r w:rsidRPr="00785F8E">
              <w:t>zewnętrznego finansowania</w:t>
            </w:r>
            <w:r>
              <w:t xml:space="preserve"> na realizację celów oświatowych.</w:t>
            </w:r>
          </w:p>
          <w:p w:rsidR="006053EC" w:rsidRDefault="006053EC" w:rsidP="006053EC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</w:pPr>
            <w:r>
              <w:t xml:space="preserve">Rozwijanie kompetencji kadry </w:t>
            </w:r>
            <w:r w:rsidRPr="00785F8E">
              <w:t xml:space="preserve">organów prowadzących </w:t>
            </w:r>
            <w:r>
              <w:t xml:space="preserve">w zakresie </w:t>
            </w:r>
            <w:r w:rsidR="002036B2" w:rsidRPr="00785F8E">
              <w:t xml:space="preserve"> analizy i optymalizacji kosztów oraz prognozowania zapotrzebowania</w:t>
            </w:r>
            <w:r>
              <w:t>.</w:t>
            </w:r>
          </w:p>
          <w:p w:rsidR="002036B2" w:rsidRPr="00785F8E" w:rsidRDefault="006053EC" w:rsidP="002036B2">
            <w:r>
              <w:t xml:space="preserve">W </w:t>
            </w:r>
            <w:r w:rsidR="002036B2" w:rsidRPr="00785F8E">
              <w:t>przypadku działań optymalizujących lokalną sieć</w:t>
            </w:r>
            <w:r>
              <w:t xml:space="preserve"> szkół / placówek</w:t>
            </w:r>
            <w:r w:rsidR="002036B2" w:rsidRPr="00785F8E">
              <w:t xml:space="preserve"> organ prowadzący musi </w:t>
            </w:r>
            <w:r>
              <w:t xml:space="preserve">się </w:t>
            </w:r>
            <w:r w:rsidR="002036B2" w:rsidRPr="00785F8E">
              <w:t>wykazać umiejętnośc</w:t>
            </w:r>
            <w:r>
              <w:t xml:space="preserve">ią </w:t>
            </w:r>
            <w:r w:rsidR="002036B2" w:rsidRPr="00785F8E">
              <w:t>angażowania lokalnych interesariuszy (w tym przede wszystkim uczniów i ich rodziców) i prowadzenia dialogu.</w:t>
            </w:r>
          </w:p>
          <w:p w:rsidR="000C73B5" w:rsidRDefault="0076476C" w:rsidP="006053EC">
            <w:r w:rsidRPr="00785F8E">
              <w:rPr>
                <w:highlight w:val="yellow"/>
              </w:rPr>
              <w:t>[</w:t>
            </w:r>
            <w:r w:rsidR="006053EC" w:rsidRPr="006053EC">
              <w:rPr>
                <w:highlight w:val="yellow"/>
              </w:rPr>
              <w:t>P</w:t>
            </w:r>
            <w:r w:rsidR="00483AEF" w:rsidRPr="006053EC">
              <w:rPr>
                <w:highlight w:val="yellow"/>
              </w:rPr>
              <w:t xml:space="preserve">owyższy tekst </w:t>
            </w:r>
            <w:r w:rsidR="006053EC" w:rsidRPr="006053EC">
              <w:rPr>
                <w:highlight w:val="yellow"/>
              </w:rPr>
              <w:t xml:space="preserve">jedynie </w:t>
            </w:r>
            <w:r w:rsidR="00483AEF" w:rsidRPr="006053EC">
              <w:rPr>
                <w:highlight w:val="yellow"/>
              </w:rPr>
              <w:t>sygnalizuj</w:t>
            </w:r>
            <w:r w:rsidR="00C42DAD" w:rsidRPr="006053EC">
              <w:rPr>
                <w:highlight w:val="yellow"/>
              </w:rPr>
              <w:t xml:space="preserve">e przykładowe kierunki </w:t>
            </w:r>
            <w:r w:rsidR="00483AEF" w:rsidRPr="006053EC">
              <w:rPr>
                <w:highlight w:val="yellow"/>
              </w:rPr>
              <w:t>analizy</w:t>
            </w:r>
            <w:r w:rsidR="006053EC" w:rsidRPr="006053EC">
              <w:rPr>
                <w:highlight w:val="yellow"/>
              </w:rPr>
              <w:t>. Prosimy o rozwinięcie m.in. wątku dot. likwidacji szkół oraz zarządzania majątkiem po zlikwidowanych szkołach. - D</w:t>
            </w:r>
            <w:r w:rsidR="00483AEF" w:rsidRPr="006053EC">
              <w:rPr>
                <w:highlight w:val="yellow"/>
              </w:rPr>
              <w:t>o weryfikacji / uzupełnienia</w:t>
            </w:r>
            <w:r w:rsidR="00483AEF" w:rsidRPr="00785F8E">
              <w:rPr>
                <w:highlight w:val="yellow"/>
              </w:rPr>
              <w:t>]</w:t>
            </w:r>
          </w:p>
          <w:p w:rsidR="006053EC" w:rsidRDefault="006053EC" w:rsidP="006053EC"/>
          <w:p w:rsidR="006053EC" w:rsidRPr="00785F8E" w:rsidRDefault="006053EC" w:rsidP="006053EC"/>
        </w:tc>
      </w:tr>
      <w:tr w:rsidR="00785F8E" w:rsidRPr="00785F8E" w:rsidTr="006D6B90">
        <w:tc>
          <w:tcPr>
            <w:tcW w:w="9634" w:type="dxa"/>
          </w:tcPr>
          <w:p w:rsidR="00165C51" w:rsidRPr="00785F8E" w:rsidRDefault="00645008" w:rsidP="00645008">
            <w:pPr>
              <w:pStyle w:val="Nagwek2"/>
              <w:numPr>
                <w:ilvl w:val="0"/>
                <w:numId w:val="6"/>
              </w:numPr>
              <w:outlineLvl w:val="1"/>
            </w:pPr>
            <w:r w:rsidRPr="00785F8E">
              <w:t>Narzędzia i rozwiązania zarządcze</w:t>
            </w:r>
          </w:p>
        </w:tc>
      </w:tr>
      <w:tr w:rsidR="00785F8E" w:rsidRPr="00785F8E" w:rsidTr="006D6B90">
        <w:tc>
          <w:tcPr>
            <w:tcW w:w="9634" w:type="dxa"/>
            <w:shd w:val="clear" w:color="auto" w:fill="D9D9D9" w:themeFill="background1" w:themeFillShade="D9"/>
          </w:tcPr>
          <w:p w:rsidR="00165C51" w:rsidRPr="00785F8E" w:rsidRDefault="00165C51" w:rsidP="006B396D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>Instrukcja: Wykonawca powinien systematycznie opisać znane mu narzędzia i rozwiązania zarządcze wykorzystywane w celu realizacji kluczowych zadań i funkcji organu prowadzącego w danym obszarze</w:t>
            </w:r>
            <w:r w:rsidR="008D7973" w:rsidRPr="00785F8E">
              <w:rPr>
                <w:i/>
                <w:sz w:val="18"/>
                <w:szCs w:val="18"/>
              </w:rPr>
              <w:t xml:space="preserve">. Oczekujemy, że każdej z funkcji wspomnianych w </w:t>
            </w:r>
            <w:r w:rsidRPr="00785F8E">
              <w:rPr>
                <w:i/>
                <w:sz w:val="18"/>
                <w:szCs w:val="18"/>
              </w:rPr>
              <w:t>pkt. 3</w:t>
            </w:r>
            <w:r w:rsidR="008D7973" w:rsidRPr="00785F8E">
              <w:rPr>
                <w:i/>
                <w:sz w:val="18"/>
                <w:szCs w:val="18"/>
              </w:rPr>
              <w:t xml:space="preserve"> zostaną przypisane co najmniej 2 </w:t>
            </w:r>
            <w:r w:rsidR="006D6B90" w:rsidRPr="00785F8E">
              <w:rPr>
                <w:i/>
                <w:sz w:val="18"/>
                <w:szCs w:val="18"/>
              </w:rPr>
              <w:t xml:space="preserve">różne </w:t>
            </w:r>
            <w:r w:rsidR="008D7973" w:rsidRPr="00785F8E">
              <w:rPr>
                <w:i/>
                <w:sz w:val="18"/>
                <w:szCs w:val="18"/>
              </w:rPr>
              <w:t>rozwiązania zarządcze.</w:t>
            </w:r>
          </w:p>
        </w:tc>
      </w:tr>
      <w:tr w:rsidR="00785F8E" w:rsidRPr="00785F8E" w:rsidTr="000C73B5">
        <w:trPr>
          <w:trHeight w:val="28"/>
        </w:trPr>
        <w:tc>
          <w:tcPr>
            <w:tcW w:w="9634" w:type="dxa"/>
          </w:tcPr>
          <w:p w:rsidR="000C73B5" w:rsidRPr="00785F8E" w:rsidRDefault="000C73B5" w:rsidP="000C73B5">
            <w:r w:rsidRPr="00785F8E">
              <w:rPr>
                <w:highlight w:val="yellow"/>
              </w:rPr>
              <w:t>[do uzupełnienia]</w:t>
            </w:r>
          </w:p>
          <w:p w:rsidR="00165C51" w:rsidRPr="00785F8E" w:rsidRDefault="00165C51" w:rsidP="005501B5"/>
          <w:p w:rsidR="000C73B5" w:rsidRPr="00785F8E" w:rsidRDefault="000C73B5" w:rsidP="005501B5"/>
        </w:tc>
      </w:tr>
      <w:tr w:rsidR="00785F8E" w:rsidRPr="00785F8E" w:rsidTr="006D6B90">
        <w:tc>
          <w:tcPr>
            <w:tcW w:w="9634" w:type="dxa"/>
          </w:tcPr>
          <w:p w:rsidR="00165C51" w:rsidRPr="00785F8E" w:rsidRDefault="008D7973" w:rsidP="008D7973">
            <w:pPr>
              <w:pStyle w:val="Nagwek2"/>
              <w:numPr>
                <w:ilvl w:val="0"/>
                <w:numId w:val="6"/>
              </w:numPr>
              <w:outlineLvl w:val="1"/>
            </w:pPr>
            <w:r w:rsidRPr="00785F8E">
              <w:t>Dobre praktyki</w:t>
            </w:r>
          </w:p>
        </w:tc>
      </w:tr>
      <w:tr w:rsidR="00785F8E" w:rsidRPr="00785F8E" w:rsidTr="006D6B90">
        <w:tc>
          <w:tcPr>
            <w:tcW w:w="9634" w:type="dxa"/>
            <w:shd w:val="clear" w:color="auto" w:fill="D9D9D9" w:themeFill="background1" w:themeFillShade="D9"/>
          </w:tcPr>
          <w:p w:rsidR="008D7973" w:rsidRPr="00785F8E" w:rsidRDefault="00165C51" w:rsidP="008D7973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 xml:space="preserve">Instrukcja: </w:t>
            </w:r>
            <w:r w:rsidR="008D7973" w:rsidRPr="00785F8E">
              <w:rPr>
                <w:i/>
                <w:sz w:val="18"/>
                <w:szCs w:val="18"/>
              </w:rPr>
              <w:t>- Nie zakładamy tworzenia nowych opisów dobrej praktyki. Wykonawca powinien natomiast dokonać przeglądu i analizy dostępnych opracowań oraz dobrać przykłady prezentujące wzorcowe podejście samorządów do zarządzania oświatą w badanym obszarze</w:t>
            </w:r>
            <w:r w:rsidR="002C5FBA" w:rsidRPr="00785F8E">
              <w:rPr>
                <w:i/>
                <w:sz w:val="18"/>
                <w:szCs w:val="18"/>
              </w:rPr>
              <w:t>*</w:t>
            </w:r>
            <w:r w:rsidR="008D7973" w:rsidRPr="00785F8E">
              <w:rPr>
                <w:i/>
                <w:sz w:val="18"/>
                <w:szCs w:val="18"/>
              </w:rPr>
              <w:t>. Wybrane praktyki powinny zostać opatrzone komentarzem, wyjaśniającym: Jakiego zadania dotyczą? W jakiej mierze są ilustracją omówionych wcześniej narzędzi? Kto i dlaczego powinien się zapoznać z opisem? Na co ma zwrócić uwagę?</w:t>
            </w:r>
          </w:p>
          <w:p w:rsidR="008D7973" w:rsidRPr="00785F8E" w:rsidRDefault="002C5FBA" w:rsidP="008D7973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 xml:space="preserve">Oczekujemy, że każde z narzędzi zarządczych omawianych w ramach pkt 4 zostanie zilustrowane odniesieniem do co najmniej dwóch przykładów jego </w:t>
            </w:r>
            <w:r w:rsidR="008D7973" w:rsidRPr="00785F8E">
              <w:rPr>
                <w:i/>
                <w:sz w:val="18"/>
                <w:szCs w:val="18"/>
              </w:rPr>
              <w:t>s</w:t>
            </w:r>
            <w:r w:rsidRPr="00785F8E">
              <w:rPr>
                <w:i/>
                <w:sz w:val="18"/>
                <w:szCs w:val="18"/>
              </w:rPr>
              <w:t>kutecznego zastosowania</w:t>
            </w:r>
            <w:r w:rsidR="006B396D" w:rsidRPr="00785F8E">
              <w:rPr>
                <w:i/>
                <w:sz w:val="18"/>
                <w:szCs w:val="18"/>
              </w:rPr>
              <w:t xml:space="preserve"> w samorządach różnego typu</w:t>
            </w:r>
            <w:r w:rsidRPr="00785F8E">
              <w:rPr>
                <w:i/>
                <w:sz w:val="18"/>
                <w:szCs w:val="18"/>
              </w:rPr>
              <w:t xml:space="preserve">. Jeśli dane rozwiązanie nie doczekało się jeszcze pełnej adaptacji w polskich warunkach, możliwe jest podanie wdrożeń częściowych i </w:t>
            </w:r>
            <w:r w:rsidR="006B396D" w:rsidRPr="00785F8E">
              <w:rPr>
                <w:i/>
                <w:sz w:val="18"/>
                <w:szCs w:val="18"/>
              </w:rPr>
              <w:t>wzorców zagranicznych.</w:t>
            </w:r>
          </w:p>
          <w:p w:rsidR="00165C51" w:rsidRPr="00785F8E" w:rsidRDefault="002C5FBA" w:rsidP="006B396D">
            <w:pPr>
              <w:rPr>
                <w:i/>
                <w:sz w:val="16"/>
                <w:szCs w:val="16"/>
              </w:rPr>
            </w:pPr>
            <w:r w:rsidRPr="00785F8E">
              <w:rPr>
                <w:i/>
                <w:sz w:val="16"/>
                <w:szCs w:val="16"/>
              </w:rPr>
              <w:t xml:space="preserve">* </w:t>
            </w:r>
            <w:r w:rsidR="008D7973" w:rsidRPr="00785F8E">
              <w:rPr>
                <w:i/>
                <w:sz w:val="16"/>
                <w:szCs w:val="16"/>
              </w:rPr>
              <w:t xml:space="preserve">Wykonawca może również wskazać znane </w:t>
            </w:r>
            <w:r w:rsidRPr="00785F8E">
              <w:rPr>
                <w:i/>
                <w:sz w:val="16"/>
                <w:szCs w:val="16"/>
              </w:rPr>
              <w:t>mu</w:t>
            </w:r>
            <w:r w:rsidR="008D7973" w:rsidRPr="00785F8E">
              <w:rPr>
                <w:i/>
                <w:sz w:val="16"/>
                <w:szCs w:val="16"/>
              </w:rPr>
              <w:t xml:space="preserve"> ośrodki, gdzie wdrażane są innowacyjne rozwiązania, nawet jeśli nie doczekały się one jeszcze publikacji w formie opisu dobrej praktyki. W takim przypadku oczekujemy podania namiarów na osobę kontaktową, która może dostarczyć szczegó</w:t>
            </w:r>
            <w:r w:rsidR="006B396D" w:rsidRPr="00785F8E">
              <w:rPr>
                <w:i/>
                <w:sz w:val="16"/>
                <w:szCs w:val="16"/>
              </w:rPr>
              <w:t>łowych informacji na ten temat.</w:t>
            </w:r>
          </w:p>
        </w:tc>
      </w:tr>
      <w:tr w:rsidR="00785F8E" w:rsidRPr="00785F8E" w:rsidTr="000C73B5">
        <w:trPr>
          <w:trHeight w:val="28"/>
        </w:trPr>
        <w:tc>
          <w:tcPr>
            <w:tcW w:w="9634" w:type="dxa"/>
          </w:tcPr>
          <w:p w:rsidR="000C73B5" w:rsidRPr="00785F8E" w:rsidRDefault="000C73B5" w:rsidP="000C73B5">
            <w:r w:rsidRPr="00785F8E">
              <w:rPr>
                <w:highlight w:val="yellow"/>
              </w:rPr>
              <w:t>[do uzupełnienia]</w:t>
            </w:r>
          </w:p>
          <w:p w:rsidR="000C73B5" w:rsidRPr="00785F8E" w:rsidRDefault="000C73B5" w:rsidP="005501B5"/>
          <w:p w:rsidR="00483AEF" w:rsidRPr="00785F8E" w:rsidRDefault="00483AEF" w:rsidP="005501B5"/>
        </w:tc>
      </w:tr>
      <w:tr w:rsidR="00785F8E" w:rsidRPr="00785F8E" w:rsidTr="006D6B90">
        <w:tc>
          <w:tcPr>
            <w:tcW w:w="9634" w:type="dxa"/>
          </w:tcPr>
          <w:p w:rsidR="00165C51" w:rsidRPr="00785F8E" w:rsidRDefault="006B396D" w:rsidP="006B396D">
            <w:pPr>
              <w:pStyle w:val="Nagwek2"/>
              <w:numPr>
                <w:ilvl w:val="0"/>
                <w:numId w:val="6"/>
              </w:numPr>
              <w:outlineLvl w:val="1"/>
            </w:pPr>
            <w:r w:rsidRPr="00785F8E">
              <w:lastRenderedPageBreak/>
              <w:t>Analiza kluczowych problemów</w:t>
            </w:r>
          </w:p>
        </w:tc>
      </w:tr>
      <w:tr w:rsidR="00785F8E" w:rsidRPr="00785F8E" w:rsidTr="006D6B90">
        <w:tc>
          <w:tcPr>
            <w:tcW w:w="9634" w:type="dxa"/>
            <w:shd w:val="clear" w:color="auto" w:fill="D9D9D9" w:themeFill="background1" w:themeFillShade="D9"/>
          </w:tcPr>
          <w:p w:rsidR="00165C51" w:rsidRPr="00785F8E" w:rsidRDefault="00165C51" w:rsidP="006B396D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 xml:space="preserve">Instrukcja: </w:t>
            </w:r>
            <w:r w:rsidR="006B396D" w:rsidRPr="00785F8E">
              <w:rPr>
                <w:i/>
                <w:sz w:val="18"/>
                <w:szCs w:val="18"/>
              </w:rPr>
              <w:t>Wykonawca powinien wskazać kluczowe bariery utrudniające prawidłową realizację funkcji i zadań wymienionych pkt 3. (np. Ograniczenia mogą wynikać z uwarunkowań prawnych i systemowych, wiązać się z postawami lub kompetencjami kadry zarządzającej, brakiem odpowiednich zasobów, uwarunkowaniami instytucjonalnymi, itp.) Oczekuje się, że Wykonawca oceni względną wagę danego problemu, zidentyfikuje jego źródła oraz zaproponuje kierunki działań, które należałoby podjąć w celu jego rozwiązania.</w:t>
            </w:r>
          </w:p>
        </w:tc>
      </w:tr>
      <w:tr w:rsidR="00785F8E" w:rsidRPr="00785F8E" w:rsidTr="000C73B5">
        <w:trPr>
          <w:trHeight w:val="28"/>
        </w:trPr>
        <w:tc>
          <w:tcPr>
            <w:tcW w:w="9634" w:type="dxa"/>
          </w:tcPr>
          <w:p w:rsidR="000C73B5" w:rsidRPr="00785F8E" w:rsidRDefault="000C73B5" w:rsidP="000C73B5">
            <w:r w:rsidRPr="00785F8E">
              <w:rPr>
                <w:highlight w:val="yellow"/>
              </w:rPr>
              <w:t>[do uzupełnienia]</w:t>
            </w:r>
          </w:p>
          <w:p w:rsidR="00165C51" w:rsidRPr="00785F8E" w:rsidRDefault="00165C51" w:rsidP="005501B5"/>
          <w:p w:rsidR="00483AEF" w:rsidRPr="00785F8E" w:rsidRDefault="00483AEF" w:rsidP="005501B5"/>
        </w:tc>
      </w:tr>
      <w:tr w:rsidR="00785F8E" w:rsidRPr="00785F8E" w:rsidTr="006D6B90">
        <w:tc>
          <w:tcPr>
            <w:tcW w:w="9634" w:type="dxa"/>
          </w:tcPr>
          <w:p w:rsidR="00165C51" w:rsidRPr="00785F8E" w:rsidRDefault="006B396D" w:rsidP="00165C51">
            <w:pPr>
              <w:pStyle w:val="Nagwek2"/>
              <w:numPr>
                <w:ilvl w:val="0"/>
                <w:numId w:val="6"/>
              </w:numPr>
              <w:outlineLvl w:val="1"/>
            </w:pPr>
            <w:r w:rsidRPr="00785F8E">
              <w:t>Trendy i tendencje w rozwoju obszaru</w:t>
            </w:r>
          </w:p>
        </w:tc>
      </w:tr>
      <w:tr w:rsidR="00785F8E" w:rsidRPr="00785F8E" w:rsidTr="006D6B90">
        <w:tc>
          <w:tcPr>
            <w:tcW w:w="9634" w:type="dxa"/>
            <w:shd w:val="clear" w:color="auto" w:fill="D9D9D9" w:themeFill="background1" w:themeFillShade="D9"/>
          </w:tcPr>
          <w:p w:rsidR="00165C51" w:rsidRPr="00785F8E" w:rsidRDefault="006B396D" w:rsidP="006B396D">
            <w:pPr>
              <w:rPr>
                <w:i/>
                <w:sz w:val="18"/>
                <w:szCs w:val="18"/>
              </w:rPr>
            </w:pPr>
            <w:r w:rsidRPr="00785F8E">
              <w:rPr>
                <w:i/>
                <w:sz w:val="18"/>
                <w:szCs w:val="18"/>
              </w:rPr>
              <w:t>Instrukcja: W oparciu o przegląd dostępnej literatury Wykonawca zaprezentuje krótko najciekawsze zjawiska, tendencje i prawidłowości obserwowane w Polsce i za granicą w zakresie zarządzania oświatą w analizowanym obszarze. Porówna je między sobą i z dominującą w kraju praktyką. Oczekuje się, że przegląd zostanie uzupełniony bibliografią wykorzystanych publikacji oraz linkami do witryn ośrodków – aktywnych w zakresie wspomnianych w tekście innowacji i prac koncepcyjnych.</w:t>
            </w:r>
          </w:p>
        </w:tc>
      </w:tr>
      <w:tr w:rsidR="00165C51" w:rsidRPr="00785F8E" w:rsidTr="000C73B5">
        <w:trPr>
          <w:trHeight w:val="268"/>
        </w:trPr>
        <w:tc>
          <w:tcPr>
            <w:tcW w:w="9634" w:type="dxa"/>
          </w:tcPr>
          <w:p w:rsidR="000C73B5" w:rsidRPr="00785F8E" w:rsidRDefault="000C73B5" w:rsidP="000C73B5">
            <w:r w:rsidRPr="00785F8E">
              <w:rPr>
                <w:highlight w:val="yellow"/>
              </w:rPr>
              <w:t>[do uzupełnienia]</w:t>
            </w:r>
          </w:p>
          <w:p w:rsidR="00165C51" w:rsidRPr="00785F8E" w:rsidRDefault="00165C51" w:rsidP="005501B5"/>
          <w:p w:rsidR="000C73B5" w:rsidRPr="00785F8E" w:rsidRDefault="000C73B5" w:rsidP="005501B5"/>
        </w:tc>
      </w:tr>
    </w:tbl>
    <w:p w:rsidR="005501B5" w:rsidRPr="00785F8E" w:rsidRDefault="005501B5" w:rsidP="00826F75">
      <w:pPr>
        <w:rPr>
          <w:sz w:val="24"/>
          <w:szCs w:val="24"/>
        </w:rPr>
      </w:pPr>
    </w:p>
    <w:sectPr w:rsidR="005501B5" w:rsidRPr="00785F8E" w:rsidSect="00826F75">
      <w:headerReference w:type="default" r:id="rId9"/>
      <w:pgSz w:w="11906" w:h="16838"/>
      <w:pgMar w:top="1531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F5" w:rsidRDefault="006748F5" w:rsidP="005501B5">
      <w:pPr>
        <w:spacing w:after="0"/>
      </w:pPr>
      <w:r>
        <w:separator/>
      </w:r>
    </w:p>
  </w:endnote>
  <w:endnote w:type="continuationSeparator" w:id="1">
    <w:p w:rsidR="006748F5" w:rsidRDefault="006748F5" w:rsidP="005501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F5" w:rsidRDefault="006748F5" w:rsidP="005501B5">
      <w:pPr>
        <w:spacing w:after="0"/>
      </w:pPr>
      <w:r>
        <w:separator/>
      </w:r>
    </w:p>
  </w:footnote>
  <w:footnote w:type="continuationSeparator" w:id="1">
    <w:p w:rsidR="006748F5" w:rsidRDefault="006748F5" w:rsidP="005501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4F" w:rsidRDefault="002D1C4F">
    <w:pPr>
      <w:pStyle w:val="Nagwek"/>
    </w:pPr>
    <w:r>
      <w:rPr>
        <w:noProof/>
        <w:lang w:eastAsia="pl-PL"/>
      </w:rPr>
      <w:drawing>
        <wp:inline distT="0" distB="0" distL="0" distR="0">
          <wp:extent cx="576072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 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1B0"/>
    <w:multiLevelType w:val="hybridMultilevel"/>
    <w:tmpl w:val="5756F97A"/>
    <w:lvl w:ilvl="0" w:tplc="88189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81449"/>
    <w:multiLevelType w:val="hybridMultilevel"/>
    <w:tmpl w:val="CD8E794A"/>
    <w:lvl w:ilvl="0" w:tplc="9182D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822C">
      <w:start w:val="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4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09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AD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E2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2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8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A0645"/>
    <w:multiLevelType w:val="hybridMultilevel"/>
    <w:tmpl w:val="89A87A26"/>
    <w:lvl w:ilvl="0" w:tplc="A288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8152">
      <w:start w:val="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A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9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2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4A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A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A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2B3DE7"/>
    <w:multiLevelType w:val="hybridMultilevel"/>
    <w:tmpl w:val="1EC49B6E"/>
    <w:lvl w:ilvl="0" w:tplc="B3AC7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025A2"/>
    <w:multiLevelType w:val="hybridMultilevel"/>
    <w:tmpl w:val="A6B04F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253C0"/>
    <w:multiLevelType w:val="hybridMultilevel"/>
    <w:tmpl w:val="740EAA06"/>
    <w:lvl w:ilvl="0" w:tplc="B3AC7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F86A">
      <w:start w:val="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C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C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4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A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2B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86336"/>
    <w:multiLevelType w:val="hybridMultilevel"/>
    <w:tmpl w:val="DB480430"/>
    <w:lvl w:ilvl="0" w:tplc="06BA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F86A">
      <w:start w:val="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C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C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4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A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2B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091B2A"/>
    <w:multiLevelType w:val="hybridMultilevel"/>
    <w:tmpl w:val="81EA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A1E9F"/>
    <w:multiLevelType w:val="hybridMultilevel"/>
    <w:tmpl w:val="C82831FA"/>
    <w:lvl w:ilvl="0" w:tplc="B3AC7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CB76DD"/>
    <w:multiLevelType w:val="hybridMultilevel"/>
    <w:tmpl w:val="C73AA0B6"/>
    <w:lvl w:ilvl="0" w:tplc="8B6A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052DD"/>
    <w:multiLevelType w:val="hybridMultilevel"/>
    <w:tmpl w:val="CFEAF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B5A2F"/>
    <w:multiLevelType w:val="hybridMultilevel"/>
    <w:tmpl w:val="13842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501B5"/>
    <w:rsid w:val="00025F22"/>
    <w:rsid w:val="000319F5"/>
    <w:rsid w:val="00033ABC"/>
    <w:rsid w:val="000C73B5"/>
    <w:rsid w:val="000D67B6"/>
    <w:rsid w:val="001444D0"/>
    <w:rsid w:val="00165C51"/>
    <w:rsid w:val="00191846"/>
    <w:rsid w:val="001D69FC"/>
    <w:rsid w:val="001F42D4"/>
    <w:rsid w:val="001F70D9"/>
    <w:rsid w:val="002036B2"/>
    <w:rsid w:val="0021790C"/>
    <w:rsid w:val="0026415B"/>
    <w:rsid w:val="002903F7"/>
    <w:rsid w:val="00293D5E"/>
    <w:rsid w:val="002C5FBA"/>
    <w:rsid w:val="002D1C4F"/>
    <w:rsid w:val="002F0643"/>
    <w:rsid w:val="0034379C"/>
    <w:rsid w:val="00344F62"/>
    <w:rsid w:val="00351A7B"/>
    <w:rsid w:val="00354B3C"/>
    <w:rsid w:val="00355964"/>
    <w:rsid w:val="0038012F"/>
    <w:rsid w:val="00386412"/>
    <w:rsid w:val="003C7EDE"/>
    <w:rsid w:val="003F4BCB"/>
    <w:rsid w:val="004003A4"/>
    <w:rsid w:val="00444028"/>
    <w:rsid w:val="00481FD1"/>
    <w:rsid w:val="00483AEF"/>
    <w:rsid w:val="00483B9B"/>
    <w:rsid w:val="004B1D26"/>
    <w:rsid w:val="004C0336"/>
    <w:rsid w:val="005102E4"/>
    <w:rsid w:val="005501B5"/>
    <w:rsid w:val="00563477"/>
    <w:rsid w:val="00570917"/>
    <w:rsid w:val="00597B2C"/>
    <w:rsid w:val="0060381B"/>
    <w:rsid w:val="006053EC"/>
    <w:rsid w:val="00615FC6"/>
    <w:rsid w:val="00645008"/>
    <w:rsid w:val="006748F5"/>
    <w:rsid w:val="006B396D"/>
    <w:rsid w:val="006B6CA9"/>
    <w:rsid w:val="006D61E5"/>
    <w:rsid w:val="006D6B90"/>
    <w:rsid w:val="006E267A"/>
    <w:rsid w:val="00744BEE"/>
    <w:rsid w:val="00745222"/>
    <w:rsid w:val="0076476C"/>
    <w:rsid w:val="00782B57"/>
    <w:rsid w:val="007837B1"/>
    <w:rsid w:val="00785F8E"/>
    <w:rsid w:val="007A247D"/>
    <w:rsid w:val="007B526A"/>
    <w:rsid w:val="007C7A44"/>
    <w:rsid w:val="00826F75"/>
    <w:rsid w:val="00873E4B"/>
    <w:rsid w:val="008A38F7"/>
    <w:rsid w:val="008B392B"/>
    <w:rsid w:val="008D7973"/>
    <w:rsid w:val="00911CD5"/>
    <w:rsid w:val="00914239"/>
    <w:rsid w:val="00924C33"/>
    <w:rsid w:val="00940622"/>
    <w:rsid w:val="00941B9D"/>
    <w:rsid w:val="0096298F"/>
    <w:rsid w:val="009C1F10"/>
    <w:rsid w:val="00A00C04"/>
    <w:rsid w:val="00A172DA"/>
    <w:rsid w:val="00AE0D4D"/>
    <w:rsid w:val="00AF442D"/>
    <w:rsid w:val="00B50035"/>
    <w:rsid w:val="00BB72A5"/>
    <w:rsid w:val="00C00DF5"/>
    <w:rsid w:val="00C42DAD"/>
    <w:rsid w:val="00CA4A7D"/>
    <w:rsid w:val="00CC1A7C"/>
    <w:rsid w:val="00CE471C"/>
    <w:rsid w:val="00D63B1A"/>
    <w:rsid w:val="00D90AF5"/>
    <w:rsid w:val="00E535FA"/>
    <w:rsid w:val="00E710B7"/>
    <w:rsid w:val="00E859DF"/>
    <w:rsid w:val="00EB7941"/>
    <w:rsid w:val="00EF23EB"/>
    <w:rsid w:val="00F47E3B"/>
    <w:rsid w:val="00F8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43"/>
    <w:pPr>
      <w:spacing w:after="120" w:line="24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643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6B90"/>
    <w:pPr>
      <w:keepNext/>
      <w:keepLines/>
      <w:spacing w:before="240" w:after="18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F0643"/>
    <w:pPr>
      <w:keepNext/>
      <w:keepLines/>
      <w:spacing w:before="240" w:after="180"/>
      <w:outlineLvl w:val="2"/>
    </w:pPr>
    <w:rPr>
      <w:rFonts w:eastAsiaTheme="majorEastAsia" w:cstheme="majorBidi"/>
      <w:b/>
      <w:bCs/>
      <w:i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F0643"/>
    <w:pPr>
      <w:keepNext/>
      <w:keepLines/>
      <w:spacing w:before="180"/>
      <w:outlineLvl w:val="3"/>
    </w:pPr>
    <w:rPr>
      <w:rFonts w:eastAsiaTheme="majorEastAsia" w:cstheme="majorBidi"/>
      <w:bCs/>
      <w:iCs/>
      <w:u w:val="singl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F0643"/>
    <w:pPr>
      <w:keepNext/>
      <w:keepLines/>
      <w:spacing w:before="180"/>
      <w:outlineLvl w:val="4"/>
    </w:pPr>
    <w:rPr>
      <w:rFonts w:eastAsiaTheme="majorEastAsia" w:cstheme="majorBid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64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6B90"/>
    <w:rPr>
      <w:rFonts w:ascii="Arial" w:eastAsiaTheme="majorEastAsia" w:hAnsi="Arial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0643"/>
    <w:rPr>
      <w:rFonts w:ascii="Arial" w:eastAsiaTheme="majorEastAsia" w:hAnsi="Arial" w:cstheme="majorBidi"/>
      <w:b/>
      <w:bCs/>
      <w:i/>
    </w:rPr>
  </w:style>
  <w:style w:type="character" w:customStyle="1" w:styleId="Nagwek4Znak">
    <w:name w:val="Nagłówek 4 Znak"/>
    <w:basedOn w:val="Domylnaczcionkaakapitu"/>
    <w:link w:val="Nagwek4"/>
    <w:uiPriority w:val="9"/>
    <w:rsid w:val="002F0643"/>
    <w:rPr>
      <w:rFonts w:ascii="Arial" w:eastAsiaTheme="majorEastAsia" w:hAnsi="Arial" w:cstheme="majorBidi"/>
      <w:bCs/>
      <w:iCs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2F0643"/>
    <w:rPr>
      <w:rFonts w:ascii="Arial" w:eastAsiaTheme="majorEastAsia" w:hAnsi="Arial" w:cstheme="majorBidi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2F0643"/>
    <w:pPr>
      <w:spacing w:before="480" w:after="360"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064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643"/>
    <w:pPr>
      <w:numPr>
        <w:ilvl w:val="1"/>
      </w:numPr>
      <w:spacing w:before="240"/>
    </w:pPr>
    <w:rPr>
      <w:rFonts w:eastAsiaTheme="majorEastAsia" w:cstheme="majorBidi"/>
      <w:b/>
      <w:iCs/>
      <w:color w:val="17365D" w:themeColor="text2" w:themeShade="BF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0643"/>
    <w:rPr>
      <w:rFonts w:ascii="Arial" w:eastAsiaTheme="majorEastAsia" w:hAnsi="Arial" w:cstheme="majorBidi"/>
      <w:b/>
      <w:iCs/>
      <w:color w:val="17365D" w:themeColor="text2" w:themeShade="BF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unhideWhenUsed/>
    <w:qFormat/>
    <w:rsid w:val="002F0643"/>
    <w:rPr>
      <w:i/>
      <w:iCs/>
    </w:rPr>
  </w:style>
  <w:style w:type="paragraph" w:styleId="Bezodstpw">
    <w:name w:val="No Spacing"/>
    <w:uiPriority w:val="1"/>
    <w:unhideWhenUsed/>
    <w:qFormat/>
    <w:rsid w:val="002F0643"/>
    <w:pPr>
      <w:spacing w:after="0" w:line="240" w:lineRule="auto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unhideWhenUsed/>
    <w:qFormat/>
    <w:rsid w:val="002F0643"/>
    <w:pPr>
      <w:spacing w:after="60"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2F0643"/>
    <w:pPr>
      <w:spacing w:before="60" w:after="60"/>
      <w:ind w:left="113" w:right="113"/>
    </w:pPr>
    <w:rPr>
      <w:i/>
      <w:iCs/>
      <w:color w:val="365F91" w:themeColor="accent1" w:themeShade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2F0643"/>
    <w:rPr>
      <w:rFonts w:ascii="Arial" w:hAnsi="Arial"/>
      <w:i/>
      <w:iCs/>
      <w:color w:val="365F91" w:themeColor="accent1" w:themeShade="BF"/>
      <w:sz w:val="18"/>
    </w:rPr>
  </w:style>
  <w:style w:type="paragraph" w:styleId="Cytatintensywny">
    <w:name w:val="Intense Quote"/>
    <w:aliases w:val="Pod obrazkiem"/>
    <w:basedOn w:val="Normalny"/>
    <w:next w:val="Normalny"/>
    <w:link w:val="CytatintensywnyZnak"/>
    <w:uiPriority w:val="30"/>
    <w:qFormat/>
    <w:rsid w:val="002F0643"/>
    <w:pPr>
      <w:spacing w:before="80" w:after="80"/>
      <w:jc w:val="center"/>
    </w:pPr>
    <w:rPr>
      <w:bCs/>
      <w:iCs/>
      <w:sz w:val="16"/>
    </w:rPr>
  </w:style>
  <w:style w:type="character" w:customStyle="1" w:styleId="CytatintensywnyZnak">
    <w:name w:val="Cytat intensywny Znak"/>
    <w:aliases w:val="Pod obrazkiem Znak"/>
    <w:basedOn w:val="Domylnaczcionkaakapitu"/>
    <w:link w:val="Cytatintensywny"/>
    <w:uiPriority w:val="30"/>
    <w:rsid w:val="002F0643"/>
    <w:rPr>
      <w:rFonts w:ascii="Arial" w:hAnsi="Arial"/>
      <w:bCs/>
      <w:iCs/>
      <w:sz w:val="16"/>
    </w:rPr>
  </w:style>
  <w:style w:type="character" w:styleId="Wyrnieniedelikatne">
    <w:name w:val="Subtle Emphasis"/>
    <w:basedOn w:val="Domylnaczcionkaakapitu"/>
    <w:uiPriority w:val="19"/>
    <w:unhideWhenUsed/>
    <w:qFormat/>
    <w:rsid w:val="002F0643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unhideWhenUsed/>
    <w:qFormat/>
    <w:rsid w:val="002F0643"/>
    <w:rPr>
      <w:smallCaps/>
      <w:color w:val="C0504D" w:themeColor="accent2"/>
      <w:u w:val="single"/>
    </w:rPr>
  </w:style>
  <w:style w:type="character" w:styleId="Hipercze">
    <w:name w:val="Hyperlink"/>
    <w:basedOn w:val="Domylnaczcionkaakapitu"/>
    <w:uiPriority w:val="99"/>
    <w:unhideWhenUsed/>
    <w:rsid w:val="00A172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1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01B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501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501B5"/>
    <w:rPr>
      <w:rFonts w:ascii="Arial" w:hAnsi="Arial"/>
    </w:rPr>
  </w:style>
  <w:style w:type="table" w:styleId="Tabela-Siatka">
    <w:name w:val="Table Grid"/>
    <w:basedOn w:val="Standardowy"/>
    <w:uiPriority w:val="39"/>
    <w:rsid w:val="0055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C1A7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5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B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B5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43"/>
    <w:pPr>
      <w:spacing w:after="120" w:line="24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643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6B90"/>
    <w:pPr>
      <w:keepNext/>
      <w:keepLines/>
      <w:spacing w:before="240" w:after="18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F0643"/>
    <w:pPr>
      <w:keepNext/>
      <w:keepLines/>
      <w:spacing w:before="240" w:after="180"/>
      <w:outlineLvl w:val="2"/>
    </w:pPr>
    <w:rPr>
      <w:rFonts w:eastAsiaTheme="majorEastAsia" w:cstheme="majorBidi"/>
      <w:b/>
      <w:bCs/>
      <w:i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F0643"/>
    <w:pPr>
      <w:keepNext/>
      <w:keepLines/>
      <w:spacing w:before="180"/>
      <w:outlineLvl w:val="3"/>
    </w:pPr>
    <w:rPr>
      <w:rFonts w:eastAsiaTheme="majorEastAsia" w:cstheme="majorBidi"/>
      <w:bCs/>
      <w:iCs/>
      <w:u w:val="singl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F0643"/>
    <w:pPr>
      <w:keepNext/>
      <w:keepLines/>
      <w:spacing w:before="180"/>
      <w:outlineLvl w:val="4"/>
    </w:pPr>
    <w:rPr>
      <w:rFonts w:eastAsiaTheme="majorEastAsia" w:cstheme="majorBid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64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6B90"/>
    <w:rPr>
      <w:rFonts w:ascii="Arial" w:eastAsiaTheme="majorEastAsia" w:hAnsi="Arial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0643"/>
    <w:rPr>
      <w:rFonts w:ascii="Arial" w:eastAsiaTheme="majorEastAsia" w:hAnsi="Arial" w:cstheme="majorBidi"/>
      <w:b/>
      <w:bCs/>
      <w:i/>
    </w:rPr>
  </w:style>
  <w:style w:type="character" w:customStyle="1" w:styleId="Nagwek4Znak">
    <w:name w:val="Nagłówek 4 Znak"/>
    <w:basedOn w:val="Domylnaczcionkaakapitu"/>
    <w:link w:val="Nagwek4"/>
    <w:uiPriority w:val="9"/>
    <w:rsid w:val="002F0643"/>
    <w:rPr>
      <w:rFonts w:ascii="Arial" w:eastAsiaTheme="majorEastAsia" w:hAnsi="Arial" w:cstheme="majorBidi"/>
      <w:bCs/>
      <w:iCs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2F0643"/>
    <w:rPr>
      <w:rFonts w:ascii="Arial" w:eastAsiaTheme="majorEastAsia" w:hAnsi="Arial" w:cstheme="majorBidi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2F0643"/>
    <w:pPr>
      <w:spacing w:before="480" w:after="360"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064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643"/>
    <w:pPr>
      <w:numPr>
        <w:ilvl w:val="1"/>
      </w:numPr>
      <w:spacing w:before="240"/>
    </w:pPr>
    <w:rPr>
      <w:rFonts w:eastAsiaTheme="majorEastAsia" w:cstheme="majorBidi"/>
      <w:b/>
      <w:iCs/>
      <w:color w:val="17365D" w:themeColor="text2" w:themeShade="BF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0643"/>
    <w:rPr>
      <w:rFonts w:ascii="Arial" w:eastAsiaTheme="majorEastAsia" w:hAnsi="Arial" w:cstheme="majorBidi"/>
      <w:b/>
      <w:iCs/>
      <w:color w:val="17365D" w:themeColor="text2" w:themeShade="BF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unhideWhenUsed/>
    <w:qFormat/>
    <w:rsid w:val="002F0643"/>
    <w:rPr>
      <w:i/>
      <w:iCs/>
    </w:rPr>
  </w:style>
  <w:style w:type="paragraph" w:styleId="Bezodstpw">
    <w:name w:val="No Spacing"/>
    <w:uiPriority w:val="1"/>
    <w:unhideWhenUsed/>
    <w:qFormat/>
    <w:rsid w:val="002F0643"/>
    <w:pPr>
      <w:spacing w:after="0" w:line="240" w:lineRule="auto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unhideWhenUsed/>
    <w:qFormat/>
    <w:rsid w:val="002F0643"/>
    <w:pPr>
      <w:spacing w:after="60"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2F0643"/>
    <w:pPr>
      <w:spacing w:before="60" w:after="60"/>
      <w:ind w:left="113" w:right="113"/>
    </w:pPr>
    <w:rPr>
      <w:i/>
      <w:iCs/>
      <w:color w:val="365F91" w:themeColor="accent1" w:themeShade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2F0643"/>
    <w:rPr>
      <w:rFonts w:ascii="Arial" w:hAnsi="Arial"/>
      <w:i/>
      <w:iCs/>
      <w:color w:val="365F91" w:themeColor="accent1" w:themeShade="BF"/>
      <w:sz w:val="18"/>
    </w:rPr>
  </w:style>
  <w:style w:type="paragraph" w:styleId="Cytatintensywny">
    <w:name w:val="Intense Quote"/>
    <w:aliases w:val="Pod obrazkiem"/>
    <w:basedOn w:val="Normalny"/>
    <w:next w:val="Normalny"/>
    <w:link w:val="CytatintensywnyZnak"/>
    <w:uiPriority w:val="30"/>
    <w:qFormat/>
    <w:rsid w:val="002F0643"/>
    <w:pPr>
      <w:spacing w:before="80" w:after="80"/>
      <w:jc w:val="center"/>
    </w:pPr>
    <w:rPr>
      <w:bCs/>
      <w:iCs/>
      <w:sz w:val="16"/>
    </w:rPr>
  </w:style>
  <w:style w:type="character" w:customStyle="1" w:styleId="CytatintensywnyZnak">
    <w:name w:val="Cytat intensywny Znak"/>
    <w:aliases w:val="Pod obrazkiem Znak"/>
    <w:basedOn w:val="Domylnaczcionkaakapitu"/>
    <w:link w:val="Cytatintensywny"/>
    <w:uiPriority w:val="30"/>
    <w:rsid w:val="002F0643"/>
    <w:rPr>
      <w:rFonts w:ascii="Arial" w:hAnsi="Arial"/>
      <w:bCs/>
      <w:iCs/>
      <w:sz w:val="16"/>
    </w:rPr>
  </w:style>
  <w:style w:type="character" w:styleId="Wyrnieniedelikatne">
    <w:name w:val="Subtle Emphasis"/>
    <w:basedOn w:val="Domylnaczcionkaakapitu"/>
    <w:uiPriority w:val="19"/>
    <w:unhideWhenUsed/>
    <w:qFormat/>
    <w:rsid w:val="002F0643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unhideWhenUsed/>
    <w:qFormat/>
    <w:rsid w:val="002F0643"/>
    <w:rPr>
      <w:smallCaps/>
      <w:color w:val="C0504D" w:themeColor="accent2"/>
      <w:u w:val="single"/>
    </w:rPr>
  </w:style>
  <w:style w:type="character" w:styleId="Hipercze">
    <w:name w:val="Hyperlink"/>
    <w:basedOn w:val="Domylnaczcionkaakapitu"/>
    <w:uiPriority w:val="99"/>
    <w:unhideWhenUsed/>
    <w:rsid w:val="00A172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1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01B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501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501B5"/>
    <w:rPr>
      <w:rFonts w:ascii="Arial" w:hAnsi="Arial"/>
    </w:rPr>
  </w:style>
  <w:style w:type="table" w:styleId="Tabela-Siatka">
    <w:name w:val="Table Grid"/>
    <w:basedOn w:val="Standardowy"/>
    <w:uiPriority w:val="39"/>
    <w:rsid w:val="0055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C1A7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5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B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B5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0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6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5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0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5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9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4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2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9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0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1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7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6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component/phocadownload/category/114-publikacje?download=939:wskaniki-owiatow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cuments\Niestandardowe%20szablony%20pakietu%20Office\M&#243;j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1982-9BEE-42F3-A08D-3E295E7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Mój szablon</Template>
  <TotalTime>2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Jaszczot</dc:creator>
  <cp:lastModifiedBy>ala</cp:lastModifiedBy>
  <cp:revision>2</cp:revision>
  <dcterms:created xsi:type="dcterms:W3CDTF">2018-01-12T10:14:00Z</dcterms:created>
  <dcterms:modified xsi:type="dcterms:W3CDTF">2018-01-12T10:14:00Z</dcterms:modified>
</cp:coreProperties>
</file>