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29" w:rsidRDefault="00E56B11" w:rsidP="002D7FC9">
      <w:pPr>
        <w:spacing w:after="0"/>
        <w:jc w:val="center"/>
      </w:pPr>
      <w:r>
        <w:t>Stanowisko</w:t>
      </w:r>
      <w:r w:rsidR="002D7FC9">
        <w:t xml:space="preserve"> </w:t>
      </w:r>
    </w:p>
    <w:p w:rsidR="00E56B11" w:rsidRDefault="00E56B11" w:rsidP="002D7FC9">
      <w:pPr>
        <w:spacing w:after="0"/>
        <w:jc w:val="center"/>
      </w:pPr>
      <w:r>
        <w:t>Zarządu Związku Miast Polskich</w:t>
      </w:r>
    </w:p>
    <w:p w:rsidR="003129B4" w:rsidRPr="00E56B11" w:rsidRDefault="00E56B11" w:rsidP="00EA0E7A">
      <w:pPr>
        <w:spacing w:after="0" w:line="252" w:lineRule="auto"/>
        <w:jc w:val="center"/>
        <w:rPr>
          <w:b/>
          <w:sz w:val="24"/>
          <w:szCs w:val="23"/>
        </w:rPr>
      </w:pPr>
      <w:r>
        <w:t>w sprawie</w:t>
      </w:r>
      <w:r>
        <w:br/>
      </w:r>
      <w:r w:rsidRPr="007D6AFB">
        <w:rPr>
          <w:b/>
          <w:sz w:val="24"/>
          <w:szCs w:val="23"/>
        </w:rPr>
        <w:t>niesłusznych roszczeń o</w:t>
      </w:r>
      <w:r w:rsidRPr="00E56B11">
        <w:rPr>
          <w:b/>
          <w:sz w:val="24"/>
          <w:szCs w:val="23"/>
        </w:rPr>
        <w:t xml:space="preserve"> dotacje dla przedszkoli niepublicznych</w:t>
      </w:r>
    </w:p>
    <w:p w:rsidR="00E56B11" w:rsidRDefault="00E56B11" w:rsidP="00EA0E7A">
      <w:pPr>
        <w:spacing w:after="0" w:line="252" w:lineRule="auto"/>
        <w:jc w:val="center"/>
        <w:rPr>
          <w:sz w:val="24"/>
          <w:szCs w:val="23"/>
        </w:rPr>
      </w:pPr>
      <w:r w:rsidRPr="00E56B11">
        <w:rPr>
          <w:b/>
          <w:sz w:val="24"/>
          <w:szCs w:val="23"/>
        </w:rPr>
        <w:t>za lata sprzed</w:t>
      </w:r>
      <w:r w:rsidR="005108BC">
        <w:rPr>
          <w:b/>
          <w:sz w:val="24"/>
          <w:szCs w:val="23"/>
        </w:rPr>
        <w:t xml:space="preserve"> zmiany przepisów dotyczących finansowania oświaty</w:t>
      </w:r>
    </w:p>
    <w:p w:rsidR="00E56B11" w:rsidRPr="002D7FC9" w:rsidRDefault="00E56B11" w:rsidP="00EA0E7A">
      <w:pPr>
        <w:spacing w:after="0" w:line="252" w:lineRule="auto"/>
        <w:jc w:val="center"/>
        <w:rPr>
          <w:sz w:val="16"/>
          <w:szCs w:val="16"/>
        </w:rPr>
      </w:pPr>
    </w:p>
    <w:p w:rsidR="00E56B11" w:rsidRPr="0090019C" w:rsidRDefault="005108BC" w:rsidP="00EA0E7A">
      <w:pPr>
        <w:pStyle w:val="Akapitzlist"/>
        <w:numPr>
          <w:ilvl w:val="6"/>
          <w:numId w:val="8"/>
        </w:numPr>
        <w:spacing w:after="60" w:line="252" w:lineRule="auto"/>
        <w:ind w:left="357" w:hanging="357"/>
        <w:contextualSpacing w:val="0"/>
        <w:jc w:val="both"/>
        <w:rPr>
          <w:spacing w:val="-4"/>
          <w:sz w:val="24"/>
          <w:szCs w:val="23"/>
        </w:rPr>
      </w:pPr>
      <w:r w:rsidRPr="0090019C">
        <w:rPr>
          <w:spacing w:val="-4"/>
          <w:sz w:val="24"/>
          <w:szCs w:val="23"/>
        </w:rPr>
        <w:t xml:space="preserve">Związek wyraża </w:t>
      </w:r>
      <w:r w:rsidR="0090019C" w:rsidRPr="0090019C">
        <w:rPr>
          <w:spacing w:val="-4"/>
          <w:sz w:val="24"/>
          <w:szCs w:val="23"/>
        </w:rPr>
        <w:t xml:space="preserve">zaniepokojenie </w:t>
      </w:r>
      <w:r w:rsidR="002D7FC9">
        <w:rPr>
          <w:spacing w:val="-4"/>
          <w:sz w:val="24"/>
          <w:szCs w:val="23"/>
        </w:rPr>
        <w:t>występującym niekiedy,</w:t>
      </w:r>
      <w:r w:rsidR="00257616" w:rsidRPr="0090019C">
        <w:rPr>
          <w:b/>
          <w:bCs/>
          <w:spacing w:val="-4"/>
          <w:sz w:val="24"/>
          <w:szCs w:val="23"/>
        </w:rPr>
        <w:t> </w:t>
      </w:r>
      <w:r w:rsidR="00386801" w:rsidRPr="0090019C">
        <w:rPr>
          <w:b/>
          <w:bCs/>
          <w:spacing w:val="-4"/>
          <w:sz w:val="24"/>
          <w:szCs w:val="23"/>
        </w:rPr>
        <w:t xml:space="preserve">pomijającym </w:t>
      </w:r>
      <w:r w:rsidRPr="0090019C">
        <w:rPr>
          <w:b/>
          <w:spacing w:val="-4"/>
          <w:sz w:val="24"/>
          <w:szCs w:val="23"/>
        </w:rPr>
        <w:t>zasad</w:t>
      </w:r>
      <w:r w:rsidR="00386801" w:rsidRPr="0090019C">
        <w:rPr>
          <w:b/>
          <w:spacing w:val="-4"/>
          <w:sz w:val="24"/>
          <w:szCs w:val="23"/>
        </w:rPr>
        <w:t>y</w:t>
      </w:r>
      <w:r w:rsidRPr="0090019C">
        <w:rPr>
          <w:b/>
          <w:spacing w:val="-4"/>
          <w:sz w:val="24"/>
          <w:szCs w:val="23"/>
        </w:rPr>
        <w:t xml:space="preserve"> prowadzenia fi</w:t>
      </w:r>
      <w:r w:rsidR="002D7FC9">
        <w:rPr>
          <w:b/>
          <w:spacing w:val="-4"/>
          <w:sz w:val="24"/>
          <w:szCs w:val="23"/>
        </w:rPr>
        <w:softHyphen/>
      </w:r>
      <w:r w:rsidRPr="0090019C">
        <w:rPr>
          <w:b/>
          <w:spacing w:val="-4"/>
          <w:sz w:val="24"/>
          <w:szCs w:val="23"/>
        </w:rPr>
        <w:t>nan</w:t>
      </w:r>
      <w:r w:rsidR="0090019C">
        <w:rPr>
          <w:b/>
          <w:spacing w:val="-4"/>
          <w:sz w:val="24"/>
          <w:szCs w:val="23"/>
        </w:rPr>
        <w:softHyphen/>
      </w:r>
      <w:r w:rsidRPr="0090019C">
        <w:rPr>
          <w:b/>
          <w:spacing w:val="-4"/>
          <w:sz w:val="24"/>
          <w:szCs w:val="23"/>
        </w:rPr>
        <w:t>sów publicznych</w:t>
      </w:r>
      <w:r w:rsidR="00386801" w:rsidRPr="0090019C">
        <w:rPr>
          <w:b/>
          <w:spacing w:val="-4"/>
          <w:sz w:val="24"/>
          <w:szCs w:val="23"/>
        </w:rPr>
        <w:t>,</w:t>
      </w:r>
      <w:r w:rsidRPr="0090019C">
        <w:rPr>
          <w:b/>
          <w:spacing w:val="-4"/>
          <w:sz w:val="24"/>
          <w:szCs w:val="23"/>
        </w:rPr>
        <w:t xml:space="preserve"> orzecznictwem w tym zakresie</w:t>
      </w:r>
      <w:r w:rsidRPr="0090019C">
        <w:rPr>
          <w:spacing w:val="-4"/>
          <w:sz w:val="24"/>
          <w:szCs w:val="23"/>
        </w:rPr>
        <w:t xml:space="preserve">. </w:t>
      </w:r>
      <w:r w:rsidR="002D7FC9">
        <w:rPr>
          <w:spacing w:val="-4"/>
          <w:sz w:val="24"/>
          <w:szCs w:val="23"/>
        </w:rPr>
        <w:t>Niektóre sądy, uznając argumenty</w:t>
      </w:r>
      <w:r w:rsidRPr="0090019C">
        <w:rPr>
          <w:spacing w:val="-4"/>
          <w:sz w:val="24"/>
          <w:szCs w:val="23"/>
        </w:rPr>
        <w:t xml:space="preserve"> kan</w:t>
      </w:r>
      <w:r w:rsidR="002D7FC9">
        <w:rPr>
          <w:spacing w:val="-4"/>
          <w:sz w:val="24"/>
          <w:szCs w:val="23"/>
        </w:rPr>
        <w:softHyphen/>
      </w:r>
      <w:r w:rsidRPr="0090019C">
        <w:rPr>
          <w:spacing w:val="-4"/>
          <w:sz w:val="24"/>
          <w:szCs w:val="23"/>
        </w:rPr>
        <w:t>ce</w:t>
      </w:r>
      <w:r w:rsidR="002D7FC9">
        <w:rPr>
          <w:spacing w:val="-4"/>
          <w:sz w:val="24"/>
          <w:szCs w:val="23"/>
        </w:rPr>
        <w:softHyphen/>
      </w:r>
      <w:r w:rsidRPr="0090019C">
        <w:rPr>
          <w:spacing w:val="-4"/>
          <w:sz w:val="24"/>
          <w:szCs w:val="23"/>
        </w:rPr>
        <w:t xml:space="preserve">larii prawnych, </w:t>
      </w:r>
      <w:r w:rsidR="00386801" w:rsidRPr="0090019C">
        <w:rPr>
          <w:spacing w:val="-4"/>
          <w:sz w:val="24"/>
          <w:szCs w:val="23"/>
        </w:rPr>
        <w:t xml:space="preserve">komercyjnie </w:t>
      </w:r>
      <w:r w:rsidRPr="0090019C">
        <w:rPr>
          <w:spacing w:val="-4"/>
          <w:sz w:val="24"/>
          <w:szCs w:val="23"/>
        </w:rPr>
        <w:t xml:space="preserve">wspierających podmioty prywatne </w:t>
      </w:r>
      <w:r w:rsidR="002D7FC9">
        <w:rPr>
          <w:spacing w:val="-4"/>
          <w:sz w:val="24"/>
          <w:szCs w:val="23"/>
        </w:rPr>
        <w:t>przy</w:t>
      </w:r>
      <w:r w:rsidR="00386801" w:rsidRPr="0090019C">
        <w:rPr>
          <w:spacing w:val="-4"/>
          <w:sz w:val="24"/>
          <w:szCs w:val="23"/>
        </w:rPr>
        <w:t> </w:t>
      </w:r>
      <w:r w:rsidR="002D7FC9">
        <w:rPr>
          <w:spacing w:val="-4"/>
          <w:sz w:val="24"/>
          <w:szCs w:val="23"/>
        </w:rPr>
        <w:t>zgłaszaniu</w:t>
      </w:r>
      <w:r w:rsidRPr="0090019C">
        <w:rPr>
          <w:spacing w:val="-4"/>
          <w:sz w:val="24"/>
          <w:szCs w:val="23"/>
        </w:rPr>
        <w:t xml:space="preserve"> tych rosz</w:t>
      </w:r>
      <w:r w:rsidR="002D7FC9">
        <w:rPr>
          <w:spacing w:val="-4"/>
          <w:sz w:val="24"/>
          <w:szCs w:val="23"/>
        </w:rPr>
        <w:softHyphen/>
      </w:r>
      <w:r w:rsidRPr="0090019C">
        <w:rPr>
          <w:spacing w:val="-4"/>
          <w:sz w:val="24"/>
          <w:szCs w:val="23"/>
        </w:rPr>
        <w:t>czeń, stosują litera</w:t>
      </w:r>
      <w:r w:rsidR="002D7FC9">
        <w:rPr>
          <w:spacing w:val="-4"/>
          <w:sz w:val="24"/>
          <w:szCs w:val="23"/>
        </w:rPr>
        <w:t xml:space="preserve">lną interpretację przepisu art. </w:t>
      </w:r>
      <w:r w:rsidRPr="0090019C">
        <w:rPr>
          <w:spacing w:val="-4"/>
          <w:sz w:val="24"/>
          <w:szCs w:val="23"/>
        </w:rPr>
        <w:t>90 ust. 2b ust</w:t>
      </w:r>
      <w:r w:rsidR="002D7FC9">
        <w:rPr>
          <w:spacing w:val="-4"/>
          <w:sz w:val="24"/>
          <w:szCs w:val="23"/>
        </w:rPr>
        <w:t>awy z dnia 7 wrześ</w:t>
      </w:r>
      <w:r w:rsidR="002D7FC9">
        <w:rPr>
          <w:spacing w:val="-4"/>
          <w:sz w:val="24"/>
          <w:szCs w:val="23"/>
        </w:rPr>
        <w:softHyphen/>
        <w:t>nia 1991 r.</w:t>
      </w:r>
      <w:r w:rsidRPr="0090019C">
        <w:rPr>
          <w:spacing w:val="-4"/>
          <w:sz w:val="24"/>
          <w:szCs w:val="23"/>
        </w:rPr>
        <w:t xml:space="preserve"> o syste</w:t>
      </w:r>
      <w:r w:rsidR="002D7FC9">
        <w:rPr>
          <w:spacing w:val="-4"/>
          <w:sz w:val="24"/>
          <w:szCs w:val="23"/>
        </w:rPr>
        <w:softHyphen/>
        <w:t>mie oświaty w brzmieniu nada</w:t>
      </w:r>
      <w:r w:rsidRPr="0090019C">
        <w:rPr>
          <w:spacing w:val="-4"/>
          <w:sz w:val="24"/>
          <w:szCs w:val="23"/>
        </w:rPr>
        <w:t xml:space="preserve">nym nowelizacją </w:t>
      </w:r>
      <w:r w:rsidR="002D7FC9">
        <w:rPr>
          <w:spacing w:val="-4"/>
          <w:sz w:val="24"/>
          <w:szCs w:val="23"/>
        </w:rPr>
        <w:t>z dnia 11 kwietnia 2007 r.</w:t>
      </w:r>
      <w:r w:rsidRPr="0090019C">
        <w:rPr>
          <w:spacing w:val="-4"/>
          <w:sz w:val="24"/>
          <w:szCs w:val="23"/>
        </w:rPr>
        <w:t>, nie bio</w:t>
      </w:r>
      <w:r w:rsidR="002D7FC9">
        <w:rPr>
          <w:spacing w:val="-4"/>
          <w:sz w:val="24"/>
          <w:szCs w:val="23"/>
        </w:rPr>
        <w:softHyphen/>
      </w:r>
      <w:r w:rsidRPr="0090019C">
        <w:rPr>
          <w:spacing w:val="-4"/>
          <w:sz w:val="24"/>
          <w:szCs w:val="23"/>
        </w:rPr>
        <w:t>rąc pod uwagę powszechnie uznanych zasad prowadzenia gospodarki finansowej w sektorze pub</w:t>
      </w:r>
      <w:r w:rsidR="002D7FC9">
        <w:rPr>
          <w:spacing w:val="-4"/>
          <w:sz w:val="24"/>
          <w:szCs w:val="23"/>
        </w:rPr>
        <w:softHyphen/>
      </w:r>
      <w:r w:rsidRPr="0090019C">
        <w:rPr>
          <w:spacing w:val="-4"/>
          <w:sz w:val="24"/>
          <w:szCs w:val="23"/>
        </w:rPr>
        <w:t>licz</w:t>
      </w:r>
      <w:r w:rsidRPr="0090019C">
        <w:rPr>
          <w:spacing w:val="-4"/>
          <w:sz w:val="24"/>
          <w:szCs w:val="23"/>
        </w:rPr>
        <w:softHyphen/>
        <w:t>nym, określonych zarówno w ustawie o finansach publicznych jak i w innych przepisach prawa.</w:t>
      </w:r>
    </w:p>
    <w:p w:rsidR="005108BC" w:rsidRPr="002B1603" w:rsidRDefault="005108BC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 w:rsidRPr="002B1603">
        <w:rPr>
          <w:spacing w:val="-4"/>
          <w:sz w:val="24"/>
          <w:szCs w:val="23"/>
        </w:rPr>
        <w:t xml:space="preserve">Literalne brzmienie wymienionego przepisu stanowiło, że </w:t>
      </w:r>
      <w:r w:rsidR="002B1603">
        <w:t>dotacje dla przedszkoli niepublicz</w:t>
      </w:r>
      <w:r w:rsidR="002B1603">
        <w:softHyphen/>
        <w:t xml:space="preserve">nych przysługiwały na każdego ucznia w wysokości nie niższej niż 75 proc. ustalonych w budżecie danej gminy wydatków bieżących, ponoszonych w przedszkolach publicznych w przeliczeniu na jednego ucznia. Roszczenia opierają się na interpretacji, że z literalnego brzmienia tego przepisu wynika, iż dotacja powinna wynosić 75% </w:t>
      </w:r>
      <w:r w:rsidR="002B1603" w:rsidRPr="002B1603">
        <w:rPr>
          <w:u w:val="single"/>
        </w:rPr>
        <w:t>wszystkich</w:t>
      </w:r>
      <w:r w:rsidR="002B1603">
        <w:t xml:space="preserve"> wydatków bieżących gminy, ponoszo</w:t>
      </w:r>
      <w:r w:rsidR="002B1603">
        <w:softHyphen/>
        <w:t>nych na przedszkola.</w:t>
      </w:r>
    </w:p>
    <w:p w:rsidR="002B1603" w:rsidRDefault="002B1603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>Wszystkie wydatki bieżące, ponoszone przez gminy na przedszkola, obejmują różne składniki, w tym na p</w:t>
      </w:r>
      <w:r w:rsidR="009B5562">
        <w:rPr>
          <w:spacing w:val="-4"/>
          <w:sz w:val="24"/>
          <w:szCs w:val="23"/>
        </w:rPr>
        <w:t>rzykład zwiększone koszty przedszkoli, oddziałów lub miejsc</w:t>
      </w:r>
      <w:r>
        <w:rPr>
          <w:spacing w:val="-4"/>
          <w:sz w:val="24"/>
          <w:szCs w:val="23"/>
        </w:rPr>
        <w:t xml:space="preserve"> dla dzieci niepełno</w:t>
      </w:r>
      <w:r w:rsidR="009B5562">
        <w:rPr>
          <w:spacing w:val="-4"/>
          <w:sz w:val="24"/>
          <w:szCs w:val="23"/>
        </w:rPr>
        <w:softHyphen/>
      </w:r>
      <w:r>
        <w:rPr>
          <w:spacing w:val="-4"/>
          <w:sz w:val="24"/>
          <w:szCs w:val="23"/>
        </w:rPr>
        <w:t>sprawnych</w:t>
      </w:r>
      <w:r w:rsidR="009B5562">
        <w:rPr>
          <w:spacing w:val="-4"/>
          <w:sz w:val="24"/>
          <w:szCs w:val="23"/>
        </w:rPr>
        <w:t>, a także inne, specyficzne dla poszczególnych gminnych placówek</w:t>
      </w:r>
      <w:r w:rsidR="00060983">
        <w:rPr>
          <w:spacing w:val="-4"/>
          <w:sz w:val="24"/>
          <w:szCs w:val="23"/>
        </w:rPr>
        <w:t xml:space="preserve"> elementy</w:t>
      </w:r>
      <w:r w:rsidR="00CD3BA0">
        <w:rPr>
          <w:spacing w:val="-4"/>
          <w:sz w:val="24"/>
          <w:szCs w:val="23"/>
        </w:rPr>
        <w:t>. Przy obecnej, nie</w:t>
      </w:r>
      <w:r w:rsidR="00CD3BA0">
        <w:rPr>
          <w:spacing w:val="-4"/>
          <w:sz w:val="24"/>
          <w:szCs w:val="23"/>
        </w:rPr>
        <w:softHyphen/>
        <w:t>słusznej</w:t>
      </w:r>
      <w:r w:rsidR="009B5562">
        <w:rPr>
          <w:spacing w:val="-4"/>
          <w:sz w:val="24"/>
          <w:szCs w:val="23"/>
        </w:rPr>
        <w:t xml:space="preserve"> interpretacji przepisu, na którą powołują się wnoszący roszczenia, </w:t>
      </w:r>
      <w:r w:rsidR="009B5562" w:rsidRPr="0090019C">
        <w:rPr>
          <w:b/>
          <w:spacing w:val="-4"/>
          <w:sz w:val="24"/>
          <w:szCs w:val="23"/>
        </w:rPr>
        <w:t>żąda</w:t>
      </w:r>
      <w:r w:rsidR="00060983" w:rsidRPr="0090019C">
        <w:rPr>
          <w:b/>
          <w:spacing w:val="-4"/>
          <w:sz w:val="24"/>
          <w:szCs w:val="23"/>
        </w:rPr>
        <w:t>nia</w:t>
      </w:r>
      <w:r w:rsidR="009B5562" w:rsidRPr="0090019C">
        <w:rPr>
          <w:b/>
          <w:spacing w:val="-4"/>
          <w:sz w:val="24"/>
          <w:szCs w:val="23"/>
        </w:rPr>
        <w:t xml:space="preserve"> </w:t>
      </w:r>
      <w:r w:rsidR="00060983" w:rsidRPr="0090019C">
        <w:rPr>
          <w:b/>
          <w:spacing w:val="-4"/>
          <w:sz w:val="24"/>
          <w:szCs w:val="23"/>
        </w:rPr>
        <w:t xml:space="preserve">wyrównania </w:t>
      </w:r>
      <w:r w:rsidR="009B5562" w:rsidRPr="0090019C">
        <w:rPr>
          <w:b/>
          <w:spacing w:val="-4"/>
          <w:sz w:val="24"/>
          <w:szCs w:val="23"/>
        </w:rPr>
        <w:t>dotacji uwzgl</w:t>
      </w:r>
      <w:r w:rsidR="00F652D7" w:rsidRPr="0090019C">
        <w:rPr>
          <w:b/>
          <w:spacing w:val="-4"/>
          <w:sz w:val="24"/>
          <w:szCs w:val="23"/>
        </w:rPr>
        <w:t>ę</w:t>
      </w:r>
      <w:r w:rsidR="009B5562" w:rsidRPr="0090019C">
        <w:rPr>
          <w:b/>
          <w:spacing w:val="-4"/>
          <w:sz w:val="24"/>
          <w:szCs w:val="23"/>
        </w:rPr>
        <w:t xml:space="preserve">dniają </w:t>
      </w:r>
      <w:r w:rsidR="00F652D7" w:rsidRPr="0090019C">
        <w:rPr>
          <w:b/>
          <w:spacing w:val="-4"/>
          <w:sz w:val="24"/>
          <w:szCs w:val="23"/>
        </w:rPr>
        <w:t xml:space="preserve">niejednokrotnie </w:t>
      </w:r>
      <w:r w:rsidR="009B5562" w:rsidRPr="0090019C">
        <w:rPr>
          <w:b/>
          <w:spacing w:val="-4"/>
          <w:sz w:val="24"/>
          <w:szCs w:val="23"/>
        </w:rPr>
        <w:t>wydatki</w:t>
      </w:r>
      <w:r w:rsidR="009E4074" w:rsidRPr="00F652D7">
        <w:rPr>
          <w:b/>
          <w:spacing w:val="-4"/>
          <w:sz w:val="24"/>
          <w:szCs w:val="23"/>
        </w:rPr>
        <w:t>, których</w:t>
      </w:r>
      <w:r w:rsidR="009E4074">
        <w:rPr>
          <w:b/>
          <w:spacing w:val="-4"/>
          <w:sz w:val="24"/>
          <w:szCs w:val="23"/>
        </w:rPr>
        <w:t xml:space="preserve"> </w:t>
      </w:r>
      <w:r w:rsidR="00060983">
        <w:rPr>
          <w:b/>
          <w:spacing w:val="-4"/>
          <w:sz w:val="24"/>
          <w:szCs w:val="23"/>
        </w:rPr>
        <w:t xml:space="preserve">udokumentowania </w:t>
      </w:r>
      <w:r w:rsidR="009E4074">
        <w:rPr>
          <w:b/>
          <w:spacing w:val="-4"/>
          <w:sz w:val="24"/>
          <w:szCs w:val="23"/>
        </w:rPr>
        <w:t xml:space="preserve">nie </w:t>
      </w:r>
      <w:r w:rsidR="00060983">
        <w:rPr>
          <w:b/>
          <w:spacing w:val="-4"/>
          <w:sz w:val="24"/>
          <w:szCs w:val="23"/>
        </w:rPr>
        <w:t>przedstawiono</w:t>
      </w:r>
      <w:r w:rsidR="0090019C">
        <w:rPr>
          <w:spacing w:val="-4"/>
          <w:sz w:val="24"/>
          <w:szCs w:val="23"/>
        </w:rPr>
        <w:t>, a istnieją poważne poszlaki, że nie zostały poniesione.</w:t>
      </w:r>
    </w:p>
    <w:p w:rsidR="009B5562" w:rsidRDefault="009B5562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 xml:space="preserve">Zgodnie z art. 44 ust. 3 ustawy o finansach publicznych gminy prowadzą gospodarkę finansową </w:t>
      </w:r>
      <w:r w:rsidRPr="009B5562">
        <w:rPr>
          <w:spacing w:val="-5"/>
          <w:sz w:val="24"/>
          <w:szCs w:val="23"/>
        </w:rPr>
        <w:t xml:space="preserve">w sposób </w:t>
      </w:r>
      <w:r w:rsidRPr="009B5562">
        <w:rPr>
          <w:b/>
          <w:spacing w:val="-5"/>
          <w:sz w:val="24"/>
          <w:szCs w:val="23"/>
        </w:rPr>
        <w:t>celowy i oszczędny</w:t>
      </w:r>
      <w:r w:rsidRPr="009B5562">
        <w:rPr>
          <w:spacing w:val="-5"/>
          <w:sz w:val="24"/>
          <w:szCs w:val="23"/>
        </w:rPr>
        <w:t xml:space="preserve">. Wydatki bieżące </w:t>
      </w:r>
      <w:r>
        <w:rPr>
          <w:spacing w:val="-5"/>
          <w:sz w:val="24"/>
          <w:szCs w:val="23"/>
        </w:rPr>
        <w:t xml:space="preserve">każdego z </w:t>
      </w:r>
      <w:r w:rsidRPr="009B5562">
        <w:rPr>
          <w:spacing w:val="-5"/>
          <w:sz w:val="24"/>
          <w:szCs w:val="23"/>
        </w:rPr>
        <w:t>przedszkoli prowadzonych przez gmin</w:t>
      </w:r>
      <w:r>
        <w:rPr>
          <w:spacing w:val="-5"/>
          <w:sz w:val="24"/>
          <w:szCs w:val="23"/>
        </w:rPr>
        <w:t>ę</w:t>
      </w:r>
      <w:r>
        <w:rPr>
          <w:spacing w:val="-4"/>
          <w:sz w:val="24"/>
          <w:szCs w:val="23"/>
        </w:rPr>
        <w:t xml:space="preserve"> obejmują tylko te koszty, które zostały w nim rzeczywiście poniesione. Jeśli w danym przed</w:t>
      </w:r>
      <w:r w:rsidR="00CD3BA0">
        <w:rPr>
          <w:spacing w:val="-4"/>
          <w:sz w:val="24"/>
          <w:szCs w:val="23"/>
        </w:rPr>
        <w:softHyphen/>
      </w:r>
      <w:r>
        <w:rPr>
          <w:spacing w:val="-4"/>
          <w:sz w:val="24"/>
          <w:szCs w:val="23"/>
        </w:rPr>
        <w:t>szkolu nie ma dzieci niepełnosprawnych albo nie występują inne koszty specyficzne dla danej placówki</w:t>
      </w:r>
      <w:r w:rsidR="00FB687B">
        <w:rPr>
          <w:spacing w:val="-4"/>
          <w:sz w:val="24"/>
          <w:szCs w:val="23"/>
        </w:rPr>
        <w:t>, nie otrzymuje ona oczywiście środków na wydatki bieżące w takiej wysokości, w jakiej otrzymuje je np. przedszkole z oddziałem integracyjnym</w:t>
      </w:r>
      <w:r w:rsidR="00CD3BA0">
        <w:rPr>
          <w:spacing w:val="-4"/>
          <w:sz w:val="24"/>
          <w:szCs w:val="23"/>
        </w:rPr>
        <w:t xml:space="preserve"> lub z inną specyfiką lokalną</w:t>
      </w:r>
      <w:r w:rsidR="00FB687B">
        <w:rPr>
          <w:spacing w:val="-4"/>
          <w:sz w:val="24"/>
          <w:szCs w:val="23"/>
        </w:rPr>
        <w:t>.</w:t>
      </w:r>
    </w:p>
    <w:p w:rsidR="00060983" w:rsidRDefault="00060983" w:rsidP="00060983">
      <w:pPr>
        <w:pStyle w:val="Akapitzlist"/>
        <w:shd w:val="clear" w:color="auto" w:fill="FFFFFF"/>
        <w:spacing w:after="60" w:line="252" w:lineRule="auto"/>
        <w:ind w:left="357"/>
        <w:contextualSpacing w:val="0"/>
        <w:jc w:val="both"/>
        <w:outlineLvl w:val="2"/>
        <w:rPr>
          <w:spacing w:val="-4"/>
          <w:sz w:val="24"/>
          <w:szCs w:val="23"/>
        </w:rPr>
      </w:pPr>
      <w:r w:rsidRPr="0090019C">
        <w:rPr>
          <w:spacing w:val="-4"/>
          <w:sz w:val="24"/>
          <w:szCs w:val="23"/>
        </w:rPr>
        <w:t>Wspomniane zasady obowiąz</w:t>
      </w:r>
      <w:r w:rsidR="00151053" w:rsidRPr="0090019C">
        <w:rPr>
          <w:spacing w:val="-4"/>
          <w:sz w:val="24"/>
          <w:szCs w:val="23"/>
        </w:rPr>
        <w:t xml:space="preserve">ywać winny wszelkie podmioty, w tym prowadzące przedszkola niepubliczne, </w:t>
      </w:r>
      <w:r w:rsidRPr="0090019C">
        <w:rPr>
          <w:spacing w:val="-4"/>
          <w:sz w:val="24"/>
          <w:szCs w:val="23"/>
        </w:rPr>
        <w:t xml:space="preserve">jako gospodarujące </w:t>
      </w:r>
      <w:r w:rsidR="00151053" w:rsidRPr="0090019C">
        <w:rPr>
          <w:spacing w:val="-4"/>
          <w:sz w:val="24"/>
          <w:szCs w:val="23"/>
        </w:rPr>
        <w:t xml:space="preserve">powierzonymi </w:t>
      </w:r>
      <w:r w:rsidRPr="0090019C">
        <w:rPr>
          <w:spacing w:val="-4"/>
          <w:sz w:val="24"/>
          <w:szCs w:val="23"/>
        </w:rPr>
        <w:t>środkami publicznymi</w:t>
      </w:r>
      <w:r w:rsidR="00151053" w:rsidRPr="0090019C">
        <w:rPr>
          <w:spacing w:val="-4"/>
          <w:sz w:val="24"/>
          <w:szCs w:val="23"/>
        </w:rPr>
        <w:t>.</w:t>
      </w:r>
      <w:r w:rsidR="00151053">
        <w:rPr>
          <w:spacing w:val="-4"/>
          <w:sz w:val="24"/>
          <w:szCs w:val="23"/>
        </w:rPr>
        <w:t xml:space="preserve"> </w:t>
      </w:r>
    </w:p>
    <w:p w:rsidR="00CD3BA0" w:rsidRPr="00A27890" w:rsidRDefault="00FB687B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5"/>
          <w:sz w:val="24"/>
          <w:szCs w:val="23"/>
        </w:rPr>
      </w:pPr>
      <w:r w:rsidRPr="00A27890">
        <w:rPr>
          <w:spacing w:val="-5"/>
          <w:sz w:val="24"/>
          <w:szCs w:val="23"/>
        </w:rPr>
        <w:t>Interpretacja przyjęta przez podmioty zgłaszające obecne roszczenia za okresy sprzed zmiany przepisów</w:t>
      </w:r>
      <w:r w:rsidR="008C5129" w:rsidRPr="00A27890">
        <w:rPr>
          <w:spacing w:val="-5"/>
          <w:sz w:val="24"/>
          <w:szCs w:val="23"/>
        </w:rPr>
        <w:t xml:space="preserve"> w 2017 r.</w:t>
      </w:r>
      <w:r w:rsidRPr="00A27890">
        <w:rPr>
          <w:spacing w:val="-5"/>
          <w:sz w:val="24"/>
          <w:szCs w:val="23"/>
        </w:rPr>
        <w:t xml:space="preserve">, uznawana przez niektóre sądy, powoduje, że podmioty te </w:t>
      </w:r>
      <w:r w:rsidRPr="00A27890">
        <w:rPr>
          <w:b/>
          <w:spacing w:val="-5"/>
          <w:sz w:val="24"/>
          <w:szCs w:val="23"/>
        </w:rPr>
        <w:t>otrzymują środki pub</w:t>
      </w:r>
      <w:r w:rsidRPr="00A27890">
        <w:rPr>
          <w:b/>
          <w:spacing w:val="-5"/>
          <w:sz w:val="24"/>
          <w:szCs w:val="23"/>
        </w:rPr>
        <w:softHyphen/>
        <w:t>licz</w:t>
      </w:r>
      <w:r w:rsidRPr="00A27890">
        <w:rPr>
          <w:b/>
          <w:spacing w:val="-5"/>
          <w:sz w:val="24"/>
          <w:szCs w:val="23"/>
        </w:rPr>
        <w:softHyphen/>
        <w:t xml:space="preserve">ne na wydatki, których nie </w:t>
      </w:r>
      <w:r w:rsidR="00060983" w:rsidRPr="00A27890">
        <w:rPr>
          <w:b/>
          <w:spacing w:val="-5"/>
          <w:sz w:val="24"/>
          <w:szCs w:val="23"/>
        </w:rPr>
        <w:t>udokumentowały</w:t>
      </w:r>
      <w:r w:rsidRPr="00A27890">
        <w:rPr>
          <w:spacing w:val="-5"/>
          <w:sz w:val="24"/>
          <w:szCs w:val="23"/>
        </w:rPr>
        <w:t xml:space="preserve">. Uważamy, że </w:t>
      </w:r>
      <w:r w:rsidRPr="00A27890">
        <w:rPr>
          <w:b/>
          <w:spacing w:val="-5"/>
          <w:sz w:val="24"/>
          <w:szCs w:val="23"/>
        </w:rPr>
        <w:t>interpre</w:t>
      </w:r>
      <w:r w:rsidR="0090019C" w:rsidRPr="00A27890">
        <w:rPr>
          <w:b/>
          <w:spacing w:val="-5"/>
          <w:sz w:val="24"/>
          <w:szCs w:val="23"/>
        </w:rPr>
        <w:softHyphen/>
      </w:r>
      <w:r w:rsidRPr="00A27890">
        <w:rPr>
          <w:b/>
          <w:spacing w:val="-5"/>
          <w:sz w:val="24"/>
          <w:szCs w:val="23"/>
        </w:rPr>
        <w:t>tacja igno</w:t>
      </w:r>
      <w:r w:rsidRPr="00A27890">
        <w:rPr>
          <w:b/>
          <w:spacing w:val="-5"/>
          <w:sz w:val="24"/>
          <w:szCs w:val="23"/>
        </w:rPr>
        <w:softHyphen/>
        <w:t xml:space="preserve">rująca </w:t>
      </w:r>
      <w:r w:rsidR="001D5C3A" w:rsidRPr="00A27890">
        <w:rPr>
          <w:b/>
          <w:spacing w:val="-5"/>
          <w:sz w:val="24"/>
          <w:szCs w:val="23"/>
        </w:rPr>
        <w:t>wyk</w:t>
      </w:r>
      <w:r w:rsidR="001D5C3A" w:rsidRPr="00A27890">
        <w:rPr>
          <w:b/>
          <w:spacing w:val="-5"/>
          <w:sz w:val="24"/>
          <w:szCs w:val="23"/>
        </w:rPr>
        <w:softHyphen/>
        <w:t>ładnię</w:t>
      </w:r>
      <w:r w:rsidRPr="00A27890">
        <w:rPr>
          <w:b/>
          <w:spacing w:val="-5"/>
          <w:sz w:val="24"/>
          <w:szCs w:val="23"/>
        </w:rPr>
        <w:t xml:space="preserve"> celowości</w:t>
      </w:r>
      <w:r w:rsidR="001D5C3A" w:rsidRPr="00A27890">
        <w:rPr>
          <w:b/>
          <w:spacing w:val="-5"/>
          <w:sz w:val="24"/>
          <w:szCs w:val="23"/>
        </w:rPr>
        <w:t>ową</w:t>
      </w:r>
      <w:r w:rsidRPr="00A27890">
        <w:rPr>
          <w:b/>
          <w:spacing w:val="-5"/>
          <w:sz w:val="24"/>
          <w:szCs w:val="23"/>
        </w:rPr>
        <w:t xml:space="preserve"> wydatków pub</w:t>
      </w:r>
      <w:bookmarkStart w:id="0" w:name="_GoBack"/>
      <w:bookmarkEnd w:id="0"/>
      <w:r w:rsidRPr="00A27890">
        <w:rPr>
          <w:b/>
          <w:spacing w:val="-5"/>
          <w:sz w:val="24"/>
          <w:szCs w:val="23"/>
        </w:rPr>
        <w:t>licznych, jest niesprawiedliwa spo</w:t>
      </w:r>
      <w:r w:rsidR="0090019C" w:rsidRPr="00A27890">
        <w:rPr>
          <w:b/>
          <w:spacing w:val="-5"/>
          <w:sz w:val="24"/>
          <w:szCs w:val="23"/>
        </w:rPr>
        <w:softHyphen/>
      </w:r>
      <w:r w:rsidRPr="00A27890">
        <w:rPr>
          <w:b/>
          <w:spacing w:val="-5"/>
          <w:sz w:val="24"/>
          <w:szCs w:val="23"/>
        </w:rPr>
        <w:t>łecznie</w:t>
      </w:r>
      <w:r w:rsidRPr="00A27890">
        <w:rPr>
          <w:spacing w:val="-5"/>
          <w:sz w:val="24"/>
          <w:szCs w:val="23"/>
        </w:rPr>
        <w:t>, po</w:t>
      </w:r>
      <w:r w:rsidR="008C5129" w:rsidRPr="00A27890">
        <w:rPr>
          <w:spacing w:val="-5"/>
          <w:sz w:val="24"/>
          <w:szCs w:val="23"/>
        </w:rPr>
        <w:softHyphen/>
      </w:r>
      <w:r w:rsidRPr="00A27890">
        <w:rPr>
          <w:spacing w:val="-5"/>
          <w:sz w:val="24"/>
          <w:szCs w:val="23"/>
        </w:rPr>
        <w:t>nieważ pozbawia społeczności lokalne środków, które</w:t>
      </w:r>
      <w:r w:rsidR="008977D7" w:rsidRPr="00A27890">
        <w:rPr>
          <w:spacing w:val="-5"/>
          <w:sz w:val="24"/>
          <w:szCs w:val="23"/>
        </w:rPr>
        <w:t xml:space="preserve"> - zgodnie z prawem - powinny być wyko</w:t>
      </w:r>
      <w:r w:rsidR="008C5129" w:rsidRPr="00A27890">
        <w:rPr>
          <w:spacing w:val="-5"/>
          <w:sz w:val="24"/>
          <w:szCs w:val="23"/>
        </w:rPr>
        <w:softHyphen/>
      </w:r>
      <w:r w:rsidR="008977D7" w:rsidRPr="00A27890">
        <w:rPr>
          <w:spacing w:val="-5"/>
          <w:sz w:val="24"/>
          <w:szCs w:val="23"/>
        </w:rPr>
        <w:t>rzysta</w:t>
      </w:r>
      <w:r w:rsidR="008977D7" w:rsidRPr="00A27890">
        <w:rPr>
          <w:spacing w:val="-5"/>
          <w:sz w:val="24"/>
          <w:szCs w:val="23"/>
        </w:rPr>
        <w:softHyphen/>
        <w:t>n</w:t>
      </w:r>
      <w:r w:rsidRPr="00A27890">
        <w:rPr>
          <w:spacing w:val="-5"/>
          <w:sz w:val="24"/>
          <w:szCs w:val="23"/>
        </w:rPr>
        <w:t xml:space="preserve">e </w:t>
      </w:r>
      <w:r w:rsidR="008977D7" w:rsidRPr="00A27890">
        <w:rPr>
          <w:spacing w:val="-5"/>
          <w:sz w:val="24"/>
          <w:szCs w:val="23"/>
        </w:rPr>
        <w:t xml:space="preserve">do zaspokojenia </w:t>
      </w:r>
      <w:r w:rsidRPr="00A27890">
        <w:rPr>
          <w:spacing w:val="-5"/>
          <w:sz w:val="24"/>
          <w:szCs w:val="23"/>
        </w:rPr>
        <w:t xml:space="preserve">zbiorowych potrzeb wspólnoty, a nie </w:t>
      </w:r>
      <w:r w:rsidR="008977D7" w:rsidRPr="00A27890">
        <w:rPr>
          <w:spacing w:val="-5"/>
          <w:sz w:val="24"/>
          <w:szCs w:val="23"/>
        </w:rPr>
        <w:t xml:space="preserve">nieuzasadnionych roszczeń </w:t>
      </w:r>
      <w:r w:rsidR="00002006" w:rsidRPr="00A27890">
        <w:rPr>
          <w:spacing w:val="-5"/>
          <w:sz w:val="24"/>
          <w:szCs w:val="23"/>
        </w:rPr>
        <w:t xml:space="preserve">innych </w:t>
      </w:r>
      <w:r w:rsidR="008977D7" w:rsidRPr="00A27890">
        <w:rPr>
          <w:spacing w:val="-5"/>
          <w:sz w:val="24"/>
          <w:szCs w:val="23"/>
        </w:rPr>
        <w:t>osób</w:t>
      </w:r>
      <w:r w:rsidR="00060983" w:rsidRPr="00A27890">
        <w:rPr>
          <w:spacing w:val="-5"/>
          <w:sz w:val="24"/>
          <w:szCs w:val="23"/>
        </w:rPr>
        <w:t>.</w:t>
      </w:r>
      <w:r w:rsidR="008977D7" w:rsidRPr="00A27890">
        <w:rPr>
          <w:spacing w:val="-5"/>
          <w:sz w:val="24"/>
          <w:szCs w:val="23"/>
        </w:rPr>
        <w:t xml:space="preserve"> </w:t>
      </w:r>
    </w:p>
    <w:p w:rsidR="00FB687B" w:rsidRPr="008977D7" w:rsidRDefault="00386C21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5"/>
          <w:sz w:val="24"/>
          <w:szCs w:val="23"/>
        </w:rPr>
      </w:pPr>
      <w:r>
        <w:rPr>
          <w:spacing w:val="-5"/>
          <w:sz w:val="24"/>
          <w:szCs w:val="23"/>
        </w:rPr>
        <w:t xml:space="preserve">Interpretacja ta </w:t>
      </w:r>
      <w:r w:rsidR="0090019C">
        <w:rPr>
          <w:spacing w:val="-5"/>
          <w:sz w:val="24"/>
          <w:szCs w:val="23"/>
        </w:rPr>
        <w:t>całkowicie pomija</w:t>
      </w:r>
      <w:r>
        <w:rPr>
          <w:spacing w:val="-5"/>
          <w:sz w:val="24"/>
          <w:szCs w:val="23"/>
        </w:rPr>
        <w:t xml:space="preserve"> także prawo</w:t>
      </w:r>
      <w:r w:rsidR="0090019C">
        <w:rPr>
          <w:spacing w:val="-5"/>
          <w:sz w:val="24"/>
          <w:szCs w:val="23"/>
        </w:rPr>
        <w:t xml:space="preserve"> i obowiązek</w:t>
      </w:r>
      <w:r>
        <w:rPr>
          <w:spacing w:val="-5"/>
          <w:sz w:val="24"/>
          <w:szCs w:val="23"/>
        </w:rPr>
        <w:t xml:space="preserve"> gmin do ustalania w sposób zgodny z prawem lokalnych zasad prowadzenia gospodarki finansowej w zakresie zadań własnych.</w:t>
      </w:r>
    </w:p>
    <w:p w:rsidR="008977D7" w:rsidRDefault="008977D7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>Ustawodawca, biorąc pod uwagę zgłaszane przez nas od lat postulaty dotyczące rozliczania dotacji dla przedszkoli i szkół niepublicznych, dostrzegł i stopniowo uszczegółowi</w:t>
      </w:r>
      <w:r w:rsidR="00060983">
        <w:rPr>
          <w:spacing w:val="-4"/>
          <w:sz w:val="24"/>
          <w:szCs w:val="23"/>
        </w:rPr>
        <w:t>ł</w:t>
      </w:r>
      <w:r>
        <w:rPr>
          <w:spacing w:val="-4"/>
          <w:sz w:val="24"/>
          <w:szCs w:val="23"/>
        </w:rPr>
        <w:t xml:space="preserve"> </w:t>
      </w:r>
      <w:r w:rsidR="00060983">
        <w:rPr>
          <w:spacing w:val="-4"/>
          <w:sz w:val="24"/>
          <w:szCs w:val="23"/>
        </w:rPr>
        <w:t xml:space="preserve">oraz </w:t>
      </w:r>
      <w:r w:rsidR="00060983">
        <w:rPr>
          <w:spacing w:val="-4"/>
          <w:sz w:val="24"/>
          <w:szCs w:val="23"/>
        </w:rPr>
        <w:lastRenderedPageBreak/>
        <w:t>doprecy</w:t>
      </w:r>
      <w:r w:rsidR="002D7FC9">
        <w:rPr>
          <w:spacing w:val="-4"/>
          <w:sz w:val="24"/>
          <w:szCs w:val="23"/>
        </w:rPr>
        <w:softHyphen/>
      </w:r>
      <w:r w:rsidR="00060983">
        <w:rPr>
          <w:spacing w:val="-4"/>
          <w:sz w:val="24"/>
          <w:szCs w:val="23"/>
        </w:rPr>
        <w:t xml:space="preserve">zował </w:t>
      </w:r>
      <w:r>
        <w:rPr>
          <w:spacing w:val="-4"/>
          <w:sz w:val="24"/>
          <w:szCs w:val="23"/>
        </w:rPr>
        <w:t xml:space="preserve">sposób ustalania tych dotacji </w:t>
      </w:r>
      <w:r w:rsidRPr="009E4074">
        <w:rPr>
          <w:b/>
          <w:spacing w:val="-4"/>
          <w:sz w:val="24"/>
          <w:szCs w:val="23"/>
        </w:rPr>
        <w:t>zgodnie z zasadami celowości i oszczęd</w:t>
      </w:r>
      <w:r w:rsidRPr="009E4074">
        <w:rPr>
          <w:b/>
          <w:spacing w:val="-4"/>
          <w:sz w:val="24"/>
          <w:szCs w:val="23"/>
        </w:rPr>
        <w:softHyphen/>
        <w:t>ności</w:t>
      </w:r>
      <w:r>
        <w:rPr>
          <w:spacing w:val="-4"/>
          <w:sz w:val="24"/>
          <w:szCs w:val="23"/>
        </w:rPr>
        <w:t xml:space="preserve">. Jednak </w:t>
      </w:r>
      <w:r w:rsidR="00EB2AF9">
        <w:rPr>
          <w:spacing w:val="-4"/>
          <w:sz w:val="24"/>
          <w:szCs w:val="23"/>
        </w:rPr>
        <w:t>te</w:t>
      </w:r>
      <w:r>
        <w:rPr>
          <w:spacing w:val="-4"/>
          <w:sz w:val="24"/>
          <w:szCs w:val="23"/>
        </w:rPr>
        <w:t xml:space="preserve"> zasady gosp</w:t>
      </w:r>
      <w:r w:rsidR="00EB2AF9">
        <w:rPr>
          <w:spacing w:val="-4"/>
          <w:sz w:val="24"/>
          <w:szCs w:val="23"/>
        </w:rPr>
        <w:t>odarowania środkami publicznymi</w:t>
      </w:r>
      <w:r>
        <w:rPr>
          <w:spacing w:val="-4"/>
          <w:sz w:val="24"/>
          <w:szCs w:val="23"/>
        </w:rPr>
        <w:t xml:space="preserve"> </w:t>
      </w:r>
      <w:r w:rsidRPr="00EB2AF9">
        <w:rPr>
          <w:b/>
          <w:spacing w:val="-4"/>
          <w:sz w:val="24"/>
          <w:szCs w:val="23"/>
        </w:rPr>
        <w:t>były zapisane w prawie już wcześniej i obowią</w:t>
      </w:r>
      <w:r w:rsidR="002D7FC9">
        <w:rPr>
          <w:b/>
          <w:spacing w:val="-4"/>
          <w:sz w:val="24"/>
          <w:szCs w:val="23"/>
        </w:rPr>
        <w:softHyphen/>
      </w:r>
      <w:r w:rsidRPr="00EB2AF9">
        <w:rPr>
          <w:b/>
          <w:spacing w:val="-4"/>
          <w:sz w:val="24"/>
          <w:szCs w:val="23"/>
        </w:rPr>
        <w:t>zywały także w czasie, którego dotyczą zgłaszane obecnie roszczenia</w:t>
      </w:r>
      <w:r w:rsidR="00386C21">
        <w:rPr>
          <w:spacing w:val="-4"/>
          <w:sz w:val="24"/>
          <w:szCs w:val="23"/>
        </w:rPr>
        <w:t>. Igno</w:t>
      </w:r>
      <w:r w:rsidR="009E4074">
        <w:rPr>
          <w:spacing w:val="-4"/>
          <w:sz w:val="24"/>
          <w:szCs w:val="23"/>
        </w:rPr>
        <w:softHyphen/>
      </w:r>
      <w:r w:rsidR="00386C21">
        <w:rPr>
          <w:spacing w:val="-4"/>
          <w:sz w:val="24"/>
          <w:szCs w:val="23"/>
        </w:rPr>
        <w:t xml:space="preserve">rowanie tego </w:t>
      </w:r>
      <w:r w:rsidR="009E4074">
        <w:rPr>
          <w:spacing w:val="-4"/>
          <w:sz w:val="24"/>
          <w:szCs w:val="23"/>
        </w:rPr>
        <w:t>bez</w:t>
      </w:r>
      <w:r w:rsidR="002D7FC9">
        <w:rPr>
          <w:spacing w:val="-4"/>
          <w:sz w:val="24"/>
          <w:szCs w:val="23"/>
        </w:rPr>
        <w:softHyphen/>
      </w:r>
      <w:r w:rsidR="009E4074">
        <w:rPr>
          <w:spacing w:val="-4"/>
          <w:sz w:val="24"/>
          <w:szCs w:val="23"/>
        </w:rPr>
        <w:t xml:space="preserve">spornego faktu </w:t>
      </w:r>
      <w:r w:rsidR="00386C21">
        <w:rPr>
          <w:spacing w:val="-4"/>
          <w:sz w:val="24"/>
          <w:szCs w:val="23"/>
        </w:rPr>
        <w:t xml:space="preserve">przez </w:t>
      </w:r>
      <w:r w:rsidR="002D7FC9">
        <w:rPr>
          <w:spacing w:val="-4"/>
          <w:sz w:val="24"/>
          <w:szCs w:val="23"/>
        </w:rPr>
        <w:t xml:space="preserve">niektóre </w:t>
      </w:r>
      <w:r w:rsidR="00386C21">
        <w:rPr>
          <w:spacing w:val="-4"/>
          <w:sz w:val="24"/>
          <w:szCs w:val="23"/>
        </w:rPr>
        <w:t>sądy cywilne budzi nasze zdumienie i rozgoryczenie.</w:t>
      </w:r>
    </w:p>
    <w:p w:rsidR="00386C21" w:rsidRDefault="00386C21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>Oczywiście nasze stanowisko nie dotyczy przypadków rozmyślnego lub wynikającego z błędów zaniżenia dotacji dla podmiotów prowadzących przedszkola niepubliczne.</w:t>
      </w:r>
    </w:p>
    <w:p w:rsidR="00386C21" w:rsidRDefault="00386C21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 xml:space="preserve">Zarząd Związku </w:t>
      </w:r>
      <w:r w:rsidR="00EA0E7A">
        <w:rPr>
          <w:spacing w:val="-4"/>
          <w:sz w:val="24"/>
          <w:szCs w:val="23"/>
        </w:rPr>
        <w:t>w</w:t>
      </w:r>
      <w:r w:rsidR="002D7FC9">
        <w:rPr>
          <w:spacing w:val="-4"/>
          <w:sz w:val="24"/>
          <w:szCs w:val="23"/>
        </w:rPr>
        <w:t>esprze</w:t>
      </w:r>
      <w:r w:rsidR="00EA0E7A">
        <w:rPr>
          <w:spacing w:val="-4"/>
          <w:sz w:val="24"/>
          <w:szCs w:val="23"/>
        </w:rPr>
        <w:t xml:space="preserve"> </w:t>
      </w:r>
      <w:r w:rsidR="008C5129">
        <w:rPr>
          <w:spacing w:val="-4"/>
          <w:sz w:val="24"/>
          <w:szCs w:val="23"/>
        </w:rPr>
        <w:t xml:space="preserve">przyjęty przez Sąd Najwyższy </w:t>
      </w:r>
      <w:r w:rsidR="00EA0E7A">
        <w:rPr>
          <w:spacing w:val="-4"/>
          <w:sz w:val="24"/>
          <w:szCs w:val="23"/>
        </w:rPr>
        <w:t>wnios</w:t>
      </w:r>
      <w:r w:rsidR="002D7FC9">
        <w:rPr>
          <w:spacing w:val="-4"/>
          <w:sz w:val="24"/>
          <w:szCs w:val="23"/>
        </w:rPr>
        <w:t>ek Wałbrzycha</w:t>
      </w:r>
      <w:r w:rsidR="00EA0E7A">
        <w:rPr>
          <w:spacing w:val="-4"/>
          <w:sz w:val="24"/>
          <w:szCs w:val="23"/>
        </w:rPr>
        <w:t xml:space="preserve"> </w:t>
      </w:r>
      <w:r w:rsidR="002D7FC9">
        <w:rPr>
          <w:spacing w:val="-4"/>
          <w:sz w:val="24"/>
          <w:szCs w:val="23"/>
        </w:rPr>
        <w:t xml:space="preserve">oraz ewentualne wnioski innych miast </w:t>
      </w:r>
      <w:r w:rsidR="00EA0E7A">
        <w:rPr>
          <w:spacing w:val="-4"/>
          <w:sz w:val="24"/>
          <w:szCs w:val="23"/>
        </w:rPr>
        <w:t>o</w:t>
      </w:r>
      <w:r>
        <w:rPr>
          <w:spacing w:val="-4"/>
          <w:sz w:val="24"/>
          <w:szCs w:val="23"/>
        </w:rPr>
        <w:t xml:space="preserve"> kasa</w:t>
      </w:r>
      <w:r>
        <w:rPr>
          <w:spacing w:val="-4"/>
          <w:sz w:val="24"/>
          <w:szCs w:val="23"/>
        </w:rPr>
        <w:softHyphen/>
        <w:t>cję niesprawiedliwych</w:t>
      </w:r>
      <w:r w:rsidR="002D7FC9">
        <w:rPr>
          <w:spacing w:val="-4"/>
          <w:sz w:val="24"/>
          <w:szCs w:val="23"/>
        </w:rPr>
        <w:t xml:space="preserve"> wyroków</w:t>
      </w:r>
      <w:r>
        <w:rPr>
          <w:spacing w:val="-4"/>
          <w:sz w:val="24"/>
          <w:szCs w:val="23"/>
        </w:rPr>
        <w:t>.</w:t>
      </w:r>
    </w:p>
    <w:p w:rsidR="00386C21" w:rsidRDefault="00386C21" w:rsidP="00EA0E7A">
      <w:pPr>
        <w:pStyle w:val="Akapitzlist"/>
        <w:numPr>
          <w:ilvl w:val="6"/>
          <w:numId w:val="8"/>
        </w:numPr>
        <w:shd w:val="clear" w:color="auto" w:fill="FFFFFF"/>
        <w:spacing w:after="6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>Zarząd</w:t>
      </w:r>
      <w:r w:rsidR="00CD3BA0">
        <w:rPr>
          <w:spacing w:val="-4"/>
          <w:sz w:val="24"/>
          <w:szCs w:val="23"/>
        </w:rPr>
        <w:t>, po przeanalizowaniu przez prawników otrzymanych z miast materiałów,</w:t>
      </w:r>
      <w:r>
        <w:rPr>
          <w:spacing w:val="-4"/>
          <w:sz w:val="24"/>
          <w:szCs w:val="23"/>
        </w:rPr>
        <w:t xml:space="preserve"> zwraca uwagę miastom, które wciąż są w trakcie procesów sądowych</w:t>
      </w:r>
      <w:r w:rsidR="00EA0E7A">
        <w:rPr>
          <w:spacing w:val="-4"/>
          <w:sz w:val="24"/>
          <w:szCs w:val="23"/>
        </w:rPr>
        <w:t>,</w:t>
      </w:r>
      <w:r>
        <w:rPr>
          <w:spacing w:val="-4"/>
          <w:sz w:val="24"/>
          <w:szCs w:val="23"/>
        </w:rPr>
        <w:t xml:space="preserve"> doty</w:t>
      </w:r>
      <w:r>
        <w:rPr>
          <w:spacing w:val="-4"/>
          <w:sz w:val="24"/>
          <w:szCs w:val="23"/>
        </w:rPr>
        <w:softHyphen/>
        <w:t>czących tych roszczeń, na:</w:t>
      </w:r>
    </w:p>
    <w:p w:rsidR="00386C21" w:rsidRDefault="00386C21" w:rsidP="00EA0E7A">
      <w:pPr>
        <w:pStyle w:val="Akapitzlist"/>
        <w:numPr>
          <w:ilvl w:val="0"/>
          <w:numId w:val="22"/>
        </w:numPr>
        <w:shd w:val="clear" w:color="auto" w:fill="FFFFFF"/>
        <w:spacing w:after="60" w:line="252" w:lineRule="auto"/>
        <w:ind w:left="851" w:hanging="284"/>
        <w:contextualSpacing w:val="0"/>
        <w:jc w:val="both"/>
        <w:outlineLvl w:val="2"/>
        <w:rPr>
          <w:spacing w:val="-4"/>
          <w:sz w:val="24"/>
          <w:szCs w:val="23"/>
        </w:rPr>
      </w:pPr>
      <w:r w:rsidRPr="00CD3BA0">
        <w:rPr>
          <w:spacing w:val="-5"/>
          <w:sz w:val="24"/>
          <w:szCs w:val="23"/>
        </w:rPr>
        <w:t xml:space="preserve">konieczność </w:t>
      </w:r>
      <w:r w:rsidR="00CD3BA0" w:rsidRPr="00CD3BA0">
        <w:rPr>
          <w:spacing w:val="-5"/>
          <w:sz w:val="24"/>
          <w:szCs w:val="23"/>
        </w:rPr>
        <w:t xml:space="preserve">realnego </w:t>
      </w:r>
      <w:r w:rsidRPr="00CD3BA0">
        <w:rPr>
          <w:spacing w:val="-5"/>
          <w:sz w:val="24"/>
          <w:szCs w:val="23"/>
        </w:rPr>
        <w:t>wykazywania w trakcie przewodu sądowego braku zasadności</w:t>
      </w:r>
      <w:r>
        <w:rPr>
          <w:spacing w:val="-4"/>
          <w:sz w:val="24"/>
          <w:szCs w:val="23"/>
        </w:rPr>
        <w:t xml:space="preserve"> rosz</w:t>
      </w:r>
      <w:r w:rsidR="00CD3BA0">
        <w:rPr>
          <w:spacing w:val="-4"/>
          <w:sz w:val="24"/>
          <w:szCs w:val="23"/>
        </w:rPr>
        <w:softHyphen/>
      </w:r>
      <w:r>
        <w:rPr>
          <w:spacing w:val="-4"/>
          <w:sz w:val="24"/>
          <w:szCs w:val="23"/>
        </w:rPr>
        <w:t>czeń,</w:t>
      </w:r>
      <w:r w:rsidR="00EA0E7A">
        <w:rPr>
          <w:spacing w:val="-4"/>
          <w:sz w:val="24"/>
          <w:szCs w:val="23"/>
        </w:rPr>
        <w:t xml:space="preserve"> jeśli taka sytuacja ma rzeczywiście miejsce</w:t>
      </w:r>
      <w:r w:rsidR="00CD3BA0">
        <w:rPr>
          <w:spacing w:val="-4"/>
          <w:sz w:val="24"/>
          <w:szCs w:val="23"/>
        </w:rPr>
        <w:t>;</w:t>
      </w:r>
    </w:p>
    <w:p w:rsidR="00386C21" w:rsidRDefault="009E4074" w:rsidP="00EA0E7A">
      <w:pPr>
        <w:pStyle w:val="Akapitzlist"/>
        <w:numPr>
          <w:ilvl w:val="0"/>
          <w:numId w:val="22"/>
        </w:numPr>
        <w:shd w:val="clear" w:color="auto" w:fill="FFFFFF"/>
        <w:spacing w:after="60" w:line="252" w:lineRule="auto"/>
        <w:ind w:left="851" w:hanging="284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 xml:space="preserve">prawo </w:t>
      </w:r>
      <w:r w:rsidR="00EA0E7A">
        <w:rPr>
          <w:spacing w:val="-4"/>
          <w:sz w:val="24"/>
          <w:szCs w:val="23"/>
        </w:rPr>
        <w:t>żądania rzetelnego udokumentowania roszczeń i wykazania rzeczywiście po</w:t>
      </w:r>
      <w:r w:rsidR="00EA0E7A">
        <w:rPr>
          <w:spacing w:val="-4"/>
          <w:sz w:val="24"/>
          <w:szCs w:val="23"/>
        </w:rPr>
        <w:softHyphen/>
        <w:t>niesio</w:t>
      </w:r>
      <w:r>
        <w:rPr>
          <w:spacing w:val="-4"/>
          <w:sz w:val="24"/>
          <w:szCs w:val="23"/>
        </w:rPr>
        <w:softHyphen/>
      </w:r>
      <w:r w:rsidR="00EA0E7A">
        <w:rPr>
          <w:spacing w:val="-4"/>
          <w:sz w:val="24"/>
          <w:szCs w:val="23"/>
        </w:rPr>
        <w:t xml:space="preserve">nych wydatków, zgodnych z kryteriami wydawania środków publicznych (patrz: </w:t>
      </w:r>
      <w:r w:rsidR="008C5129">
        <w:rPr>
          <w:color w:val="000000" w:themeColor="text1"/>
          <w:spacing w:val="-4"/>
          <w:sz w:val="24"/>
          <w:szCs w:val="23"/>
        </w:rPr>
        <w:t>opinie</w:t>
      </w:r>
      <w:r w:rsidR="00EA0E7A" w:rsidRPr="0090019C">
        <w:rPr>
          <w:color w:val="000000" w:themeColor="text1"/>
          <w:spacing w:val="-4"/>
          <w:sz w:val="24"/>
          <w:szCs w:val="23"/>
        </w:rPr>
        <w:t xml:space="preserve"> RIO w Olsztynie</w:t>
      </w:r>
      <w:r w:rsidR="00EA0E7A">
        <w:rPr>
          <w:spacing w:val="-4"/>
          <w:sz w:val="24"/>
          <w:szCs w:val="23"/>
        </w:rPr>
        <w:t>); podkreślamy, że prawo to ustaje po wydaniu prawo</w:t>
      </w:r>
      <w:r w:rsidR="00EA0E7A">
        <w:rPr>
          <w:spacing w:val="-4"/>
          <w:sz w:val="24"/>
          <w:szCs w:val="23"/>
        </w:rPr>
        <w:softHyphen/>
        <w:t xml:space="preserve">mocnego wyroku. </w:t>
      </w:r>
    </w:p>
    <w:p w:rsidR="00386C21" w:rsidRDefault="00EA0E7A" w:rsidP="008C5129">
      <w:pPr>
        <w:pStyle w:val="Akapitzlist"/>
        <w:numPr>
          <w:ilvl w:val="6"/>
          <w:numId w:val="8"/>
        </w:numPr>
        <w:shd w:val="clear" w:color="auto" w:fill="FFFFFF"/>
        <w:spacing w:after="120" w:line="252" w:lineRule="auto"/>
        <w:ind w:left="357" w:hanging="357"/>
        <w:contextualSpacing w:val="0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 xml:space="preserve">Związek stawia do dyspozycji </w:t>
      </w:r>
      <w:r w:rsidR="00CD3BA0">
        <w:rPr>
          <w:spacing w:val="-4"/>
          <w:sz w:val="24"/>
          <w:szCs w:val="23"/>
        </w:rPr>
        <w:t xml:space="preserve">zainteresowanych </w:t>
      </w:r>
      <w:r>
        <w:rPr>
          <w:spacing w:val="-4"/>
          <w:sz w:val="24"/>
          <w:szCs w:val="23"/>
        </w:rPr>
        <w:t xml:space="preserve">miast członkowskich </w:t>
      </w:r>
      <w:r w:rsidR="00CD3BA0">
        <w:rPr>
          <w:spacing w:val="-4"/>
          <w:sz w:val="24"/>
          <w:szCs w:val="23"/>
        </w:rPr>
        <w:t xml:space="preserve">szczegółową </w:t>
      </w:r>
      <w:r>
        <w:rPr>
          <w:spacing w:val="-4"/>
          <w:sz w:val="24"/>
          <w:szCs w:val="23"/>
        </w:rPr>
        <w:t>informację prawną</w:t>
      </w:r>
      <w:r w:rsidR="00CD3BA0">
        <w:rPr>
          <w:spacing w:val="-4"/>
          <w:sz w:val="24"/>
          <w:szCs w:val="23"/>
        </w:rPr>
        <w:t>, która może pomóc w prowadzeniu toczących się obecnie spraw. Informacji udziela Biuro Związku.</w:t>
      </w:r>
    </w:p>
    <w:p w:rsidR="00CD3BA0" w:rsidRPr="00CD3BA0" w:rsidRDefault="00CD3BA0" w:rsidP="00CD3BA0">
      <w:pPr>
        <w:shd w:val="clear" w:color="auto" w:fill="FFFFFF"/>
        <w:spacing w:after="60" w:line="252" w:lineRule="auto"/>
        <w:jc w:val="both"/>
        <w:outlineLvl w:val="2"/>
        <w:rPr>
          <w:spacing w:val="-4"/>
          <w:sz w:val="24"/>
          <w:szCs w:val="23"/>
        </w:rPr>
      </w:pPr>
      <w:r>
        <w:rPr>
          <w:spacing w:val="-4"/>
          <w:sz w:val="24"/>
          <w:szCs w:val="23"/>
        </w:rPr>
        <w:t>Szczawno Zdrój, 17 stycznia 2020 r.</w:t>
      </w:r>
    </w:p>
    <w:sectPr w:rsidR="00CD3BA0" w:rsidRPr="00CD3BA0" w:rsidSect="00EA0E7A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8A" w:rsidRDefault="00E1558A" w:rsidP="00C96893">
      <w:pPr>
        <w:spacing w:after="0" w:line="240" w:lineRule="auto"/>
      </w:pPr>
      <w:r>
        <w:separator/>
      </w:r>
    </w:p>
  </w:endnote>
  <w:endnote w:type="continuationSeparator" w:id="0">
    <w:p w:rsidR="00E1558A" w:rsidRDefault="00E1558A" w:rsidP="00C9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8A" w:rsidRDefault="00E1558A" w:rsidP="00C96893">
      <w:pPr>
        <w:spacing w:after="0" w:line="240" w:lineRule="auto"/>
      </w:pPr>
      <w:r>
        <w:separator/>
      </w:r>
    </w:p>
  </w:footnote>
  <w:footnote w:type="continuationSeparator" w:id="0">
    <w:p w:rsidR="00E1558A" w:rsidRDefault="00E1558A" w:rsidP="00C96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75C"/>
    <w:multiLevelType w:val="hybridMultilevel"/>
    <w:tmpl w:val="17B040B0"/>
    <w:lvl w:ilvl="0" w:tplc="5E765F6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0E4473D"/>
    <w:multiLevelType w:val="hybridMultilevel"/>
    <w:tmpl w:val="CE5652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5DA4"/>
    <w:multiLevelType w:val="hybridMultilevel"/>
    <w:tmpl w:val="3792603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3853CE5"/>
    <w:multiLevelType w:val="hybridMultilevel"/>
    <w:tmpl w:val="22E2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971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B24121B"/>
    <w:multiLevelType w:val="hybridMultilevel"/>
    <w:tmpl w:val="599AE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0FA8"/>
    <w:multiLevelType w:val="hybridMultilevel"/>
    <w:tmpl w:val="9460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D69D8"/>
    <w:multiLevelType w:val="hybridMultilevel"/>
    <w:tmpl w:val="B7CEF8D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39D7279F"/>
    <w:multiLevelType w:val="hybridMultilevel"/>
    <w:tmpl w:val="88FCC1AC"/>
    <w:lvl w:ilvl="0" w:tplc="310AC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499F29D7"/>
    <w:multiLevelType w:val="hybridMultilevel"/>
    <w:tmpl w:val="C6EC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11612"/>
    <w:multiLevelType w:val="multilevel"/>
    <w:tmpl w:val="8BA4AABA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AA159A1"/>
    <w:multiLevelType w:val="hybridMultilevel"/>
    <w:tmpl w:val="69B48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82B06"/>
    <w:multiLevelType w:val="hybridMultilevel"/>
    <w:tmpl w:val="6B46BA3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39F372D"/>
    <w:multiLevelType w:val="hybridMultilevel"/>
    <w:tmpl w:val="F74CC77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558C197B"/>
    <w:multiLevelType w:val="multilevel"/>
    <w:tmpl w:val="A3520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A5A050B"/>
    <w:multiLevelType w:val="hybridMultilevel"/>
    <w:tmpl w:val="53BA8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843B25"/>
    <w:multiLevelType w:val="hybridMultilevel"/>
    <w:tmpl w:val="622A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4749B"/>
    <w:multiLevelType w:val="hybridMultilevel"/>
    <w:tmpl w:val="3FDA17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70E5135"/>
    <w:multiLevelType w:val="hybridMultilevel"/>
    <w:tmpl w:val="F57E69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61FAA"/>
    <w:multiLevelType w:val="hybridMultilevel"/>
    <w:tmpl w:val="00D0A43E"/>
    <w:lvl w:ilvl="0" w:tplc="D7CA02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7B512C68"/>
    <w:multiLevelType w:val="hybridMultilevel"/>
    <w:tmpl w:val="BFAEF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B45F55"/>
    <w:multiLevelType w:val="hybridMultilevel"/>
    <w:tmpl w:val="F710B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18"/>
  </w:num>
  <w:num w:numId="8">
    <w:abstractNumId w:val="4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7"/>
  </w:num>
  <w:num w:numId="14">
    <w:abstractNumId w:val="0"/>
  </w:num>
  <w:num w:numId="15">
    <w:abstractNumId w:val="12"/>
  </w:num>
  <w:num w:numId="16">
    <w:abstractNumId w:val="8"/>
  </w:num>
  <w:num w:numId="17">
    <w:abstractNumId w:val="17"/>
  </w:num>
  <w:num w:numId="18">
    <w:abstractNumId w:val="19"/>
  </w:num>
  <w:num w:numId="19">
    <w:abstractNumId w:val="21"/>
  </w:num>
  <w:num w:numId="20">
    <w:abstractNumId w:val="16"/>
  </w:num>
  <w:num w:numId="21">
    <w:abstractNumId w:val="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4270"/>
    <w:rsid w:val="00002006"/>
    <w:rsid w:val="00060983"/>
    <w:rsid w:val="00075F75"/>
    <w:rsid w:val="00151053"/>
    <w:rsid w:val="001D5C3A"/>
    <w:rsid w:val="00257616"/>
    <w:rsid w:val="002B1603"/>
    <w:rsid w:val="002D7FC9"/>
    <w:rsid w:val="003129B4"/>
    <w:rsid w:val="00342C21"/>
    <w:rsid w:val="00386801"/>
    <w:rsid w:val="00386C21"/>
    <w:rsid w:val="003E1AD3"/>
    <w:rsid w:val="00436A87"/>
    <w:rsid w:val="005108BC"/>
    <w:rsid w:val="005E2567"/>
    <w:rsid w:val="00664854"/>
    <w:rsid w:val="007054CE"/>
    <w:rsid w:val="00743BB0"/>
    <w:rsid w:val="007D6AFB"/>
    <w:rsid w:val="008977D7"/>
    <w:rsid w:val="008C5129"/>
    <w:rsid w:val="008D6B15"/>
    <w:rsid w:val="0090019C"/>
    <w:rsid w:val="00996320"/>
    <w:rsid w:val="009B5562"/>
    <w:rsid w:val="009E4074"/>
    <w:rsid w:val="009F0FEE"/>
    <w:rsid w:val="00A213EC"/>
    <w:rsid w:val="00A27890"/>
    <w:rsid w:val="00B27A0B"/>
    <w:rsid w:val="00B3414F"/>
    <w:rsid w:val="00C82287"/>
    <w:rsid w:val="00C96893"/>
    <w:rsid w:val="00CA162C"/>
    <w:rsid w:val="00CD3BA0"/>
    <w:rsid w:val="00DC30D9"/>
    <w:rsid w:val="00E1558A"/>
    <w:rsid w:val="00E56B11"/>
    <w:rsid w:val="00EA0E7A"/>
    <w:rsid w:val="00EB2AF9"/>
    <w:rsid w:val="00EE52BB"/>
    <w:rsid w:val="00F006BD"/>
    <w:rsid w:val="00F04270"/>
    <w:rsid w:val="00F652D7"/>
    <w:rsid w:val="00FB687B"/>
    <w:rsid w:val="00FD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6BD"/>
  </w:style>
  <w:style w:type="paragraph" w:styleId="Nagwek3">
    <w:name w:val="heading 3"/>
    <w:basedOn w:val="Normalny"/>
    <w:link w:val="Nagwek3Znak"/>
    <w:uiPriority w:val="9"/>
    <w:qFormat/>
    <w:rsid w:val="003129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04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427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129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29B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29B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893"/>
  </w:style>
  <w:style w:type="paragraph" w:styleId="Stopka">
    <w:name w:val="footer"/>
    <w:basedOn w:val="Normalny"/>
    <w:link w:val="StopkaZnak"/>
    <w:uiPriority w:val="99"/>
    <w:unhideWhenUsed/>
    <w:rsid w:val="00C9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893"/>
  </w:style>
  <w:style w:type="paragraph" w:styleId="Tekstdymka">
    <w:name w:val="Balloon Text"/>
    <w:basedOn w:val="Normalny"/>
    <w:link w:val="TekstdymkaZnak"/>
    <w:uiPriority w:val="99"/>
    <w:semiHidden/>
    <w:unhideWhenUsed/>
    <w:rsid w:val="00EE5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2B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52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52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52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2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2B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1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01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01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6922"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EAEAEA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7C4E-10CD-42BE-A6DC-8AEFD1AE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Porawski</dc:creator>
  <cp:lastModifiedBy>asia</cp:lastModifiedBy>
  <cp:revision>2</cp:revision>
  <dcterms:created xsi:type="dcterms:W3CDTF">2020-01-20T10:07:00Z</dcterms:created>
  <dcterms:modified xsi:type="dcterms:W3CDTF">2020-01-20T10:07:00Z</dcterms:modified>
</cp:coreProperties>
</file>