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C0" w:rsidRPr="00BA24C0" w:rsidRDefault="00BA24C0" w:rsidP="00BA24C0">
      <w:pPr>
        <w:spacing w:after="0"/>
        <w:jc w:val="both"/>
        <w:rPr>
          <w:rFonts w:ascii="Bookman Old Style" w:hAnsi="Bookman Old Style" w:cs="Times New Roman"/>
          <w:b/>
          <w:sz w:val="24"/>
          <w:szCs w:val="24"/>
        </w:rPr>
      </w:pPr>
      <w:r w:rsidRPr="00BA24C0">
        <w:rPr>
          <w:rFonts w:ascii="Bookman Old Style" w:hAnsi="Bookman Old Style" w:cs="Times New Roman"/>
          <w:b/>
          <w:sz w:val="24"/>
          <w:szCs w:val="24"/>
        </w:rPr>
        <w:t>Uzasadnienie dla zmian przepisów prawa regulującego zasady przyznawania datacji przedszkolom niepublicznym.</w:t>
      </w:r>
    </w:p>
    <w:p w:rsidR="0046702C" w:rsidRPr="00BA24C0" w:rsidRDefault="00C617A2" w:rsidP="00BA24C0">
      <w:pPr>
        <w:spacing w:after="0"/>
        <w:jc w:val="both"/>
        <w:rPr>
          <w:rFonts w:ascii="Bookman Old Style" w:hAnsi="Bookman Old Style" w:cs="Times New Roman"/>
          <w:sz w:val="24"/>
          <w:szCs w:val="24"/>
        </w:rPr>
      </w:pPr>
      <w:r w:rsidRPr="00BA24C0">
        <w:rPr>
          <w:rFonts w:ascii="Bookman Old Style" w:hAnsi="Bookman Old Style" w:cs="Times New Roman"/>
          <w:sz w:val="24"/>
          <w:szCs w:val="24"/>
        </w:rPr>
        <w:t xml:space="preserve"> </w:t>
      </w:r>
    </w:p>
    <w:p w:rsidR="00816151" w:rsidRPr="00BA24C0" w:rsidRDefault="00816151" w:rsidP="00BA24C0">
      <w:pPr>
        <w:spacing w:after="0"/>
        <w:ind w:firstLine="708"/>
        <w:jc w:val="both"/>
        <w:rPr>
          <w:rFonts w:ascii="Bookman Old Style" w:hAnsi="Bookman Old Style" w:cs="Times New Roman"/>
          <w:sz w:val="24"/>
          <w:szCs w:val="24"/>
        </w:rPr>
      </w:pPr>
      <w:r w:rsidRPr="00BA24C0">
        <w:rPr>
          <w:rFonts w:ascii="Bookman Old Style" w:hAnsi="Bookman Old Style" w:cs="Times New Roman"/>
          <w:sz w:val="24"/>
          <w:szCs w:val="24"/>
        </w:rPr>
        <w:t xml:space="preserve">Istotne z punktu widzenia interesów jednostek samorządu terytorialnego jest uregulowanie zagadnień związanych z udzielaniem </w:t>
      </w:r>
      <w:r w:rsidR="00BA24C0">
        <w:rPr>
          <w:rFonts w:ascii="Bookman Old Style" w:hAnsi="Bookman Old Style" w:cs="Times New Roman"/>
          <w:sz w:val="24"/>
          <w:szCs w:val="24"/>
        </w:rPr>
        <w:br/>
      </w:r>
      <w:r w:rsidRPr="00BA24C0">
        <w:rPr>
          <w:rFonts w:ascii="Bookman Old Style" w:hAnsi="Bookman Old Style" w:cs="Times New Roman"/>
          <w:sz w:val="24"/>
          <w:szCs w:val="24"/>
        </w:rPr>
        <w:t xml:space="preserve">i rozliczaniem dotacji, które otrzymują osoby prowadzące niepubliczne przedszkola, w </w:t>
      </w:r>
      <w:r w:rsidR="00621C77" w:rsidRPr="00BA24C0">
        <w:rPr>
          <w:rFonts w:ascii="Bookman Old Style" w:hAnsi="Bookman Old Style" w:cs="Times New Roman"/>
          <w:sz w:val="24"/>
          <w:szCs w:val="24"/>
        </w:rPr>
        <w:t>szczególności:</w:t>
      </w:r>
    </w:p>
    <w:p w:rsidR="0046702C" w:rsidRPr="00BA24C0" w:rsidRDefault="00816151" w:rsidP="00BA24C0">
      <w:pPr>
        <w:pStyle w:val="Akapitzlist"/>
        <w:numPr>
          <w:ilvl w:val="0"/>
          <w:numId w:val="3"/>
        </w:numPr>
        <w:spacing w:after="0"/>
        <w:jc w:val="both"/>
        <w:rPr>
          <w:rFonts w:ascii="Bookman Old Style" w:hAnsi="Bookman Old Style" w:cs="Times New Roman"/>
          <w:sz w:val="24"/>
          <w:szCs w:val="24"/>
        </w:rPr>
      </w:pPr>
      <w:r w:rsidRPr="00BA24C0">
        <w:rPr>
          <w:rFonts w:ascii="Bookman Old Style" w:hAnsi="Bookman Old Style" w:cs="Times New Roman"/>
          <w:sz w:val="24"/>
          <w:szCs w:val="24"/>
        </w:rPr>
        <w:t>właściwość sądów rozstrzygaj</w:t>
      </w:r>
      <w:r w:rsidR="0061423B" w:rsidRPr="00BA24C0">
        <w:rPr>
          <w:rFonts w:ascii="Bookman Old Style" w:hAnsi="Bookman Old Style" w:cs="Times New Roman"/>
          <w:sz w:val="24"/>
          <w:szCs w:val="24"/>
        </w:rPr>
        <w:t xml:space="preserve">ących spory dotyczące roszczeń </w:t>
      </w:r>
      <w:r w:rsidRPr="00BA24C0">
        <w:rPr>
          <w:rFonts w:ascii="Bookman Old Style" w:hAnsi="Bookman Old Style" w:cs="Times New Roman"/>
          <w:sz w:val="24"/>
          <w:szCs w:val="24"/>
        </w:rPr>
        <w:t xml:space="preserve">przed 01.01.2017r. </w:t>
      </w:r>
    </w:p>
    <w:p w:rsidR="00816151" w:rsidRPr="00BA24C0" w:rsidRDefault="00621C77" w:rsidP="00BA24C0">
      <w:pPr>
        <w:pStyle w:val="Akapitzlist"/>
        <w:numPr>
          <w:ilvl w:val="0"/>
          <w:numId w:val="3"/>
        </w:numPr>
        <w:spacing w:after="0"/>
        <w:jc w:val="both"/>
        <w:rPr>
          <w:rFonts w:ascii="Bookman Old Style" w:hAnsi="Bookman Old Style" w:cs="Times New Roman"/>
          <w:sz w:val="24"/>
          <w:szCs w:val="24"/>
        </w:rPr>
      </w:pPr>
      <w:r w:rsidRPr="00BA24C0">
        <w:rPr>
          <w:rFonts w:ascii="Bookman Old Style" w:hAnsi="Bookman Old Style" w:cs="Times New Roman"/>
          <w:sz w:val="24"/>
          <w:szCs w:val="24"/>
        </w:rPr>
        <w:t>okres, za jaki</w:t>
      </w:r>
      <w:r w:rsidR="00816151" w:rsidRPr="00BA24C0">
        <w:rPr>
          <w:rFonts w:ascii="Bookman Old Style" w:hAnsi="Bookman Old Style" w:cs="Times New Roman"/>
          <w:sz w:val="24"/>
          <w:szCs w:val="24"/>
        </w:rPr>
        <w:t xml:space="preserve"> podmioty prowadzące w/w przedszkola, mogą dochodzić roszczeń o jst</w:t>
      </w:r>
    </w:p>
    <w:p w:rsidR="00816151" w:rsidRPr="00BA24C0" w:rsidRDefault="00621C77" w:rsidP="00BA24C0">
      <w:pPr>
        <w:pStyle w:val="Akapitzlist"/>
        <w:numPr>
          <w:ilvl w:val="0"/>
          <w:numId w:val="3"/>
        </w:numPr>
        <w:spacing w:after="0"/>
        <w:jc w:val="both"/>
        <w:rPr>
          <w:rFonts w:ascii="Bookman Old Style" w:hAnsi="Bookman Old Style" w:cs="Times New Roman"/>
          <w:sz w:val="24"/>
          <w:szCs w:val="24"/>
        </w:rPr>
      </w:pPr>
      <w:r w:rsidRPr="00BA24C0">
        <w:rPr>
          <w:rFonts w:ascii="Bookman Old Style" w:hAnsi="Bookman Old Style" w:cs="Times New Roman"/>
          <w:sz w:val="24"/>
          <w:szCs w:val="24"/>
        </w:rPr>
        <w:t>ustalenie, jaki</w:t>
      </w:r>
      <w:r w:rsidR="00816151" w:rsidRPr="00BA24C0">
        <w:rPr>
          <w:rFonts w:ascii="Bookman Old Style" w:hAnsi="Bookman Old Style" w:cs="Times New Roman"/>
          <w:sz w:val="24"/>
          <w:szCs w:val="24"/>
        </w:rPr>
        <w:t xml:space="preserve"> charakter mają roszczenia zasądzone w drodze wyroków od jst, w szczególności czy mają one charakter odszkodowania czy dotacji. </w:t>
      </w:r>
    </w:p>
    <w:p w:rsidR="00816151" w:rsidRPr="00BA24C0" w:rsidRDefault="00816151" w:rsidP="00BA24C0">
      <w:pPr>
        <w:spacing w:after="0"/>
        <w:jc w:val="both"/>
        <w:rPr>
          <w:rFonts w:ascii="Bookman Old Style" w:hAnsi="Bookman Old Style" w:cs="Times New Roman"/>
          <w:sz w:val="24"/>
          <w:szCs w:val="24"/>
        </w:rPr>
      </w:pPr>
    </w:p>
    <w:p w:rsidR="00BB669D" w:rsidRPr="00BA24C0" w:rsidRDefault="00816151" w:rsidP="00BA24C0">
      <w:pPr>
        <w:spacing w:after="0"/>
        <w:ind w:firstLine="708"/>
        <w:jc w:val="both"/>
        <w:rPr>
          <w:rFonts w:ascii="Bookman Old Style" w:hAnsi="Bookman Old Style" w:cs="Times New Roman"/>
          <w:sz w:val="24"/>
          <w:szCs w:val="24"/>
        </w:rPr>
      </w:pPr>
      <w:r w:rsidRPr="00BA24C0">
        <w:rPr>
          <w:rFonts w:ascii="Bookman Old Style" w:hAnsi="Bookman Old Style" w:cs="Times New Roman"/>
          <w:sz w:val="24"/>
          <w:szCs w:val="24"/>
        </w:rPr>
        <w:t xml:space="preserve">Zgodnie z art. 90 ust. 11 ustawy z dnia 7.09.1991r. o systemie oświaty </w:t>
      </w:r>
      <w:r w:rsidR="0061423B" w:rsidRPr="00BA24C0">
        <w:rPr>
          <w:rFonts w:ascii="Bookman Old Style" w:hAnsi="Bookman Old Style" w:cs="Times New Roman"/>
          <w:sz w:val="24"/>
          <w:szCs w:val="24"/>
        </w:rPr>
        <w:t>p</w:t>
      </w:r>
      <w:r w:rsidR="00D11FAF" w:rsidRPr="00BA24C0">
        <w:rPr>
          <w:rFonts w:ascii="Bookman Old Style" w:hAnsi="Bookman Old Style" w:cs="Times New Roman"/>
          <w:sz w:val="24"/>
          <w:szCs w:val="24"/>
        </w:rPr>
        <w:t>rzyznanie dotacji, o których mowa wart.90 ust.1a–8, stanowi czynność z zakresu administracji publicznej, o której mowa wart.3§2 pkt4 ustawy z dnia 30sierpnia 2002r. –Prawo o postępowaniu przed sądami administracyjnymi</w:t>
      </w:r>
      <w:r w:rsidRPr="00BA24C0">
        <w:rPr>
          <w:rFonts w:ascii="Bookman Old Style" w:hAnsi="Bookman Old Style" w:cs="Times New Roman"/>
          <w:sz w:val="24"/>
          <w:szCs w:val="24"/>
        </w:rPr>
        <w:t>. Z kolei ustawa z dnia 27.10.2017r. o finansowaniu zadań oświatowych w art. 91 ust. 1 wskazuje, iż d</w:t>
      </w:r>
      <w:r w:rsidR="00D11FAF" w:rsidRPr="00BA24C0">
        <w:rPr>
          <w:rFonts w:ascii="Bookman Old Style" w:hAnsi="Bookman Old Style" w:cs="Times New Roman"/>
          <w:sz w:val="24"/>
          <w:szCs w:val="24"/>
        </w:rPr>
        <w:t>o czynności podejmowanych w związku z udzieleniem dotacji, o których mowa wart.15–21, art.25, art.26, art.28–32, art.40 iart.41, na rok 2018, stosuje się przepisy rozdziału 3, o ile przepisy szczegól</w:t>
      </w:r>
      <w:r w:rsidRPr="00BA24C0">
        <w:rPr>
          <w:rFonts w:ascii="Bookman Old Style" w:hAnsi="Bookman Old Style" w:cs="Times New Roman"/>
          <w:sz w:val="24"/>
          <w:szCs w:val="24"/>
        </w:rPr>
        <w:t>ne</w:t>
      </w:r>
      <w:r w:rsidR="00A638BE" w:rsidRPr="00BA24C0">
        <w:rPr>
          <w:rFonts w:ascii="Bookman Old Style" w:hAnsi="Bookman Old Style" w:cs="Times New Roman"/>
          <w:sz w:val="24"/>
          <w:szCs w:val="24"/>
        </w:rPr>
        <w:t xml:space="preserve"> nie stanowią inaczej. Z</w:t>
      </w:r>
      <w:r w:rsidRPr="00BA24C0">
        <w:rPr>
          <w:rFonts w:ascii="Bookman Old Style" w:hAnsi="Bookman Old Style" w:cs="Times New Roman"/>
          <w:sz w:val="24"/>
          <w:szCs w:val="24"/>
        </w:rPr>
        <w:t xml:space="preserve"> ust. 2 </w:t>
      </w:r>
      <w:r w:rsidR="00A638BE" w:rsidRPr="00BA24C0">
        <w:rPr>
          <w:rFonts w:ascii="Bookman Old Style" w:hAnsi="Bookman Old Style" w:cs="Times New Roman"/>
          <w:sz w:val="24"/>
          <w:szCs w:val="24"/>
        </w:rPr>
        <w:t>wynika, iż d</w:t>
      </w:r>
      <w:r w:rsidR="00D11FAF" w:rsidRPr="00BA24C0">
        <w:rPr>
          <w:rFonts w:ascii="Bookman Old Style" w:hAnsi="Bookman Old Style" w:cs="Times New Roman"/>
          <w:sz w:val="24"/>
          <w:szCs w:val="24"/>
        </w:rPr>
        <w:t>o wszczętych i niezakończonych przed dniem 1stycznia 2018r. postępowań w przedmiocie ustalenia wysokości lub przekazania dotacji na rok 2017 lub lata wcześniejsze stosuje się przepisy dotychczasowe</w:t>
      </w:r>
      <w:r w:rsidR="00A638BE" w:rsidRPr="00BA24C0">
        <w:rPr>
          <w:rFonts w:ascii="Bookman Old Style" w:hAnsi="Bookman Old Style" w:cs="Times New Roman"/>
          <w:sz w:val="24"/>
          <w:szCs w:val="24"/>
        </w:rPr>
        <w:t xml:space="preserve">. Ponadto zgodnie z art. 47 </w:t>
      </w:r>
      <w:r w:rsidR="00D11FAF" w:rsidRPr="00BA24C0">
        <w:rPr>
          <w:rFonts w:ascii="Bookman Old Style" w:hAnsi="Bookman Old Style" w:cs="Times New Roman"/>
          <w:sz w:val="24"/>
          <w:szCs w:val="24"/>
        </w:rPr>
        <w:t>Czynności podejmowane przez organ dotujący, o którym mowa wart.15–21, art.25, art.26, art. 28–32 iart.40–41a, w celu ustalenia wysokości lub przekazania dotacji, o których mowa wart.15–21, art.25, art.26, art.28–32, art.40 iart.41, stanowią czynności z zakresu administracji publicznej, o których mowa wart.3§2pkt4 ustawy z dnia 30</w:t>
      </w:r>
      <w:r w:rsidR="00A638BE" w:rsidRPr="00BA24C0">
        <w:rPr>
          <w:rFonts w:ascii="Bookman Old Style" w:hAnsi="Bookman Old Style" w:cs="Times New Roman"/>
          <w:sz w:val="24"/>
          <w:szCs w:val="24"/>
        </w:rPr>
        <w:t xml:space="preserve"> </w:t>
      </w:r>
      <w:r w:rsidR="00D11FAF" w:rsidRPr="00BA24C0">
        <w:rPr>
          <w:rFonts w:ascii="Bookman Old Style" w:hAnsi="Bookman Old Style" w:cs="Times New Roman"/>
          <w:sz w:val="24"/>
          <w:szCs w:val="24"/>
        </w:rPr>
        <w:t>sierpnia 2002r. –</w:t>
      </w:r>
      <w:r w:rsidR="00A638BE" w:rsidRPr="00BA24C0">
        <w:rPr>
          <w:rFonts w:ascii="Bookman Old Style" w:hAnsi="Bookman Old Style" w:cs="Times New Roman"/>
          <w:sz w:val="24"/>
          <w:szCs w:val="24"/>
        </w:rPr>
        <w:t xml:space="preserve"> </w:t>
      </w:r>
      <w:r w:rsidR="00D11FAF" w:rsidRPr="00BA24C0">
        <w:rPr>
          <w:rFonts w:ascii="Bookman Old Style" w:hAnsi="Bookman Old Style" w:cs="Times New Roman"/>
          <w:sz w:val="24"/>
          <w:szCs w:val="24"/>
        </w:rPr>
        <w:t>Prawo o postępowaniu przed s</w:t>
      </w:r>
      <w:r w:rsidR="00AA4697" w:rsidRPr="00BA24C0">
        <w:rPr>
          <w:rFonts w:ascii="Bookman Old Style" w:hAnsi="Bookman Old Style" w:cs="Times New Roman"/>
          <w:sz w:val="24"/>
          <w:szCs w:val="24"/>
        </w:rPr>
        <w:t xml:space="preserve">ądami administracyjnymi. </w:t>
      </w:r>
    </w:p>
    <w:p w:rsidR="00AA4697" w:rsidRPr="00BA24C0" w:rsidRDefault="00AA4697" w:rsidP="00BA24C0">
      <w:pPr>
        <w:spacing w:after="0"/>
        <w:ind w:firstLine="708"/>
        <w:jc w:val="both"/>
        <w:rPr>
          <w:rFonts w:ascii="Bookman Old Style" w:hAnsi="Bookman Old Style" w:cs="Times New Roman"/>
          <w:sz w:val="24"/>
          <w:szCs w:val="24"/>
        </w:rPr>
      </w:pPr>
    </w:p>
    <w:p w:rsidR="006B745E" w:rsidRDefault="00AA4697" w:rsidP="00BA24C0">
      <w:pPr>
        <w:spacing w:after="0"/>
        <w:ind w:firstLine="708"/>
        <w:jc w:val="both"/>
        <w:rPr>
          <w:rFonts w:ascii="Bookman Old Style" w:hAnsi="Bookman Old Style" w:cs="Times New Roman"/>
          <w:sz w:val="24"/>
          <w:szCs w:val="24"/>
        </w:rPr>
      </w:pPr>
      <w:r w:rsidRPr="00BA24C0">
        <w:rPr>
          <w:rFonts w:ascii="Bookman Old Style" w:hAnsi="Bookman Old Style" w:cs="Times New Roman"/>
          <w:sz w:val="24"/>
          <w:szCs w:val="24"/>
        </w:rPr>
        <w:t xml:space="preserve">Spór dotyczący właściwości sądu w sprawach roszczeń sprzed 01.01.2017r. nie został jeszcze w pełni rozstrzygnięty, o czym świadczą zaprezentowane poniżej orzecznictwo sądów administracyjnych i Sądu Najwyższego, które dotyczą spraw pomiędzy jednostkami samorządu terytorialnego a podmiotami uprawnionymi do otrzymywania dotacji zgodnie z art. 90 ustawy o systemie oświaty. Sądy wydają w tych sprawach różne, choć oparte na tych samych lub podobnych ustaleniach, rozstrzygnięcia. </w:t>
      </w:r>
    </w:p>
    <w:p w:rsidR="006B745E" w:rsidRDefault="006B745E" w:rsidP="00BA24C0">
      <w:pPr>
        <w:spacing w:after="0"/>
        <w:ind w:firstLine="708"/>
        <w:jc w:val="both"/>
        <w:rPr>
          <w:rFonts w:ascii="Bookman Old Style" w:hAnsi="Bookman Old Style" w:cs="Times New Roman"/>
          <w:sz w:val="24"/>
          <w:szCs w:val="24"/>
        </w:rPr>
      </w:pPr>
    </w:p>
    <w:p w:rsidR="003C0D44" w:rsidRPr="00BA24C0" w:rsidRDefault="00AA4697" w:rsidP="00BA24C0">
      <w:pPr>
        <w:spacing w:after="0"/>
        <w:ind w:firstLine="708"/>
        <w:jc w:val="both"/>
        <w:rPr>
          <w:rFonts w:ascii="Bookman Old Style" w:hAnsi="Bookman Old Style" w:cs="Times New Roman"/>
          <w:sz w:val="24"/>
          <w:szCs w:val="24"/>
        </w:rPr>
      </w:pPr>
      <w:r w:rsidRPr="00BA24C0">
        <w:rPr>
          <w:rFonts w:ascii="Bookman Old Style" w:hAnsi="Bookman Old Style" w:cs="Times New Roman"/>
          <w:sz w:val="24"/>
          <w:szCs w:val="24"/>
        </w:rPr>
        <w:lastRenderedPageBreak/>
        <w:t xml:space="preserve">Stanowisko NSA zaprezentowane w postanowieniu z dnia 3.06.2004r. </w:t>
      </w:r>
      <w:r w:rsidR="006B745E">
        <w:rPr>
          <w:rFonts w:ascii="Bookman Old Style" w:hAnsi="Bookman Old Style" w:cs="Times New Roman"/>
          <w:sz w:val="24"/>
          <w:szCs w:val="24"/>
        </w:rPr>
        <w:br/>
      </w:r>
      <w:r w:rsidRPr="00BA24C0">
        <w:rPr>
          <w:rFonts w:ascii="Bookman Old Style" w:hAnsi="Bookman Old Style" w:cs="Times New Roman"/>
          <w:sz w:val="24"/>
          <w:szCs w:val="24"/>
        </w:rPr>
        <w:t xml:space="preserve">(OW 53/04) jest następujące: „przepisy zawarte w art. 90 ust. 2-4 u.s.o. </w:t>
      </w:r>
      <w:r w:rsidR="006B745E">
        <w:rPr>
          <w:rFonts w:ascii="Bookman Old Style" w:hAnsi="Bookman Old Style" w:cs="Times New Roman"/>
          <w:sz w:val="24"/>
          <w:szCs w:val="24"/>
        </w:rPr>
        <w:br/>
      </w:r>
      <w:r w:rsidRPr="00BA24C0">
        <w:rPr>
          <w:rFonts w:ascii="Bookman Old Style" w:hAnsi="Bookman Old Style" w:cs="Times New Roman"/>
          <w:sz w:val="24"/>
          <w:szCs w:val="24"/>
        </w:rPr>
        <w:t>nie przewidują rozstrzygnięcia spraw dotyczących dotacji w postępowaniu administracyjnym”. Według składu sędziowskiego organ stanowiących, który określa tryb udzielenia dotacji, decyduje o formie jej przyznawania</w:t>
      </w:r>
      <w:r w:rsidR="00206242" w:rsidRPr="00BA24C0">
        <w:rPr>
          <w:rFonts w:ascii="Bookman Old Style" w:hAnsi="Bookman Old Style" w:cs="Times New Roman"/>
          <w:sz w:val="24"/>
          <w:szCs w:val="24"/>
        </w:rPr>
        <w:t xml:space="preserve">, jednakże niezależnie od charakteru czynności, w jakiej następuje udzielenie dotacji, nie jest to decyzja administracyjna w rozumieniu k.p.a. Ten pogląd podzielił również NSA w wyroku z dnia </w:t>
      </w:r>
      <w:r w:rsidR="003C0D44" w:rsidRPr="00BA24C0">
        <w:rPr>
          <w:rFonts w:ascii="Bookman Old Style" w:hAnsi="Bookman Old Style" w:cs="Times New Roman"/>
          <w:sz w:val="24"/>
          <w:szCs w:val="24"/>
        </w:rPr>
        <w:t xml:space="preserve">17.01.2007r. (II GSK 319/07). </w:t>
      </w:r>
    </w:p>
    <w:p w:rsidR="00957434" w:rsidRPr="00BA24C0" w:rsidRDefault="00957434" w:rsidP="00BA24C0">
      <w:pPr>
        <w:spacing w:after="0"/>
        <w:ind w:firstLine="708"/>
        <w:jc w:val="both"/>
        <w:rPr>
          <w:rFonts w:ascii="Bookman Old Style" w:hAnsi="Bookman Old Style" w:cs="Times New Roman"/>
          <w:sz w:val="24"/>
          <w:szCs w:val="24"/>
        </w:rPr>
      </w:pPr>
    </w:p>
    <w:p w:rsidR="003B5164" w:rsidRPr="00BA24C0" w:rsidRDefault="003C0D44" w:rsidP="00BA24C0">
      <w:pPr>
        <w:spacing w:after="0"/>
        <w:ind w:firstLine="708"/>
        <w:jc w:val="both"/>
        <w:rPr>
          <w:rFonts w:ascii="Bookman Old Style" w:hAnsi="Bookman Old Style" w:cs="Times New Roman"/>
          <w:sz w:val="24"/>
          <w:szCs w:val="24"/>
        </w:rPr>
      </w:pPr>
      <w:r w:rsidRPr="00BA24C0">
        <w:rPr>
          <w:rFonts w:ascii="Bookman Old Style" w:hAnsi="Bookman Old Style" w:cs="Times New Roman"/>
          <w:sz w:val="24"/>
          <w:szCs w:val="24"/>
        </w:rPr>
        <w:t xml:space="preserve">Należy też przytoczyć zawartą w postanowieniu Sądu Najwyższego </w:t>
      </w:r>
      <w:r w:rsidR="006B745E">
        <w:rPr>
          <w:rFonts w:ascii="Bookman Old Style" w:hAnsi="Bookman Old Style" w:cs="Times New Roman"/>
          <w:sz w:val="24"/>
          <w:szCs w:val="24"/>
        </w:rPr>
        <w:br/>
      </w:r>
      <w:r w:rsidRPr="00BA24C0">
        <w:rPr>
          <w:rFonts w:ascii="Bookman Old Style" w:hAnsi="Bookman Old Style" w:cs="Times New Roman"/>
          <w:sz w:val="24"/>
          <w:szCs w:val="24"/>
        </w:rPr>
        <w:t xml:space="preserve">z dnia 7 maja 1999r. (I CKN 1132/97) tezę, że niedopuszczalna jest droga sądowa w sprawie z powództwa niepublicznej szkoły o uprawnieniach szkoły publicznej przeciwko Skarbowi Państwa lub jednostce samorządu terytorialnego o zapłatę dotacji udzielonej na podstawie art. 90 ustawy </w:t>
      </w:r>
      <w:r w:rsidR="006B745E">
        <w:rPr>
          <w:rFonts w:ascii="Bookman Old Style" w:hAnsi="Bookman Old Style" w:cs="Times New Roman"/>
          <w:sz w:val="24"/>
          <w:szCs w:val="24"/>
        </w:rPr>
        <w:br/>
      </w:r>
      <w:r w:rsidR="00957434" w:rsidRPr="00BA24C0">
        <w:rPr>
          <w:rFonts w:ascii="Bookman Old Style" w:hAnsi="Bookman Old Style" w:cs="Times New Roman"/>
          <w:sz w:val="24"/>
          <w:szCs w:val="24"/>
        </w:rPr>
        <w:t>o systemie oświaty.</w:t>
      </w:r>
      <w:r w:rsidRPr="00BA24C0">
        <w:rPr>
          <w:rFonts w:ascii="Bookman Old Style" w:hAnsi="Bookman Old Style" w:cs="Times New Roman"/>
          <w:sz w:val="24"/>
          <w:szCs w:val="24"/>
        </w:rPr>
        <w:t xml:space="preserve"> W uzasadnieniu tego orzeczenia argumentuje się, </w:t>
      </w:r>
      <w:r w:rsidR="006B745E">
        <w:rPr>
          <w:rFonts w:ascii="Bookman Old Style" w:hAnsi="Bookman Old Style" w:cs="Times New Roman"/>
          <w:sz w:val="24"/>
          <w:szCs w:val="24"/>
        </w:rPr>
        <w:br/>
      </w:r>
      <w:r w:rsidRPr="00BA24C0">
        <w:rPr>
          <w:rFonts w:ascii="Bookman Old Style" w:hAnsi="Bookman Old Style" w:cs="Times New Roman"/>
          <w:sz w:val="24"/>
          <w:szCs w:val="24"/>
        </w:rPr>
        <w:t xml:space="preserve">że komentowana regulacja bez żadnych wątpliwości </w:t>
      </w:r>
      <w:r w:rsidR="003B5164" w:rsidRPr="00BA24C0">
        <w:rPr>
          <w:rFonts w:ascii="Bookman Old Style" w:hAnsi="Bookman Old Style" w:cs="Times New Roman"/>
          <w:sz w:val="24"/>
          <w:szCs w:val="24"/>
        </w:rPr>
        <w:t xml:space="preserve">mieści się z sferze prawa finansowego (administracyjnego) będącego ze swej natury częścią składową prawa publicznego, Skarb Państwa zaś lub jednostka samorządu terytorialnego zajmuje w stosunku do podmiotu uprawnionego </w:t>
      </w:r>
      <w:r w:rsidR="006B745E">
        <w:rPr>
          <w:rFonts w:ascii="Bookman Old Style" w:hAnsi="Bookman Old Style" w:cs="Times New Roman"/>
          <w:sz w:val="24"/>
          <w:szCs w:val="24"/>
        </w:rPr>
        <w:br/>
      </w:r>
      <w:r w:rsidR="003B5164" w:rsidRPr="00BA24C0">
        <w:rPr>
          <w:rFonts w:ascii="Bookman Old Style" w:hAnsi="Bookman Old Style" w:cs="Times New Roman"/>
          <w:sz w:val="24"/>
          <w:szCs w:val="24"/>
        </w:rPr>
        <w:t xml:space="preserve">do otrzymania dotacji pozycję działającego z mocy władzy zwierzchniej, </w:t>
      </w:r>
      <w:r w:rsidR="006B745E">
        <w:rPr>
          <w:rFonts w:ascii="Bookman Old Style" w:hAnsi="Bookman Old Style" w:cs="Times New Roman"/>
          <w:sz w:val="24"/>
          <w:szCs w:val="24"/>
        </w:rPr>
        <w:br/>
      </w:r>
      <w:r w:rsidR="003B5164" w:rsidRPr="00BA24C0">
        <w:rPr>
          <w:rFonts w:ascii="Bookman Old Style" w:hAnsi="Bookman Old Style" w:cs="Times New Roman"/>
          <w:sz w:val="24"/>
          <w:szCs w:val="24"/>
        </w:rPr>
        <w:t xml:space="preserve">co wyklucza istnienie między stronami stosunku cywilnoprawnego. </w:t>
      </w:r>
    </w:p>
    <w:p w:rsidR="00957434" w:rsidRPr="00BA24C0" w:rsidRDefault="00957434" w:rsidP="00BA24C0">
      <w:pPr>
        <w:spacing w:after="0"/>
        <w:ind w:firstLine="708"/>
        <w:jc w:val="both"/>
        <w:rPr>
          <w:rFonts w:ascii="Bookman Old Style" w:hAnsi="Bookman Old Style" w:cs="Times New Roman"/>
          <w:sz w:val="24"/>
          <w:szCs w:val="24"/>
        </w:rPr>
      </w:pPr>
    </w:p>
    <w:p w:rsidR="003B5164" w:rsidRPr="00BA24C0" w:rsidRDefault="003B5164" w:rsidP="00BA24C0">
      <w:pPr>
        <w:spacing w:after="0"/>
        <w:ind w:firstLine="708"/>
        <w:jc w:val="both"/>
        <w:rPr>
          <w:rFonts w:ascii="Bookman Old Style" w:hAnsi="Bookman Old Style" w:cs="Times New Roman"/>
          <w:sz w:val="24"/>
          <w:szCs w:val="24"/>
        </w:rPr>
      </w:pPr>
      <w:r w:rsidRPr="00BA24C0">
        <w:rPr>
          <w:rFonts w:ascii="Bookman Old Style" w:hAnsi="Bookman Old Style" w:cs="Times New Roman"/>
          <w:sz w:val="24"/>
          <w:szCs w:val="24"/>
        </w:rPr>
        <w:t xml:space="preserve">W dalszej kolejności należy wskazać, iż Trybunał Konstytucyjny 10.07.2000r. wydał orzeczenie (SK 12/99), w którym wyraził stanowisko, </w:t>
      </w:r>
      <w:r w:rsidR="006B745E">
        <w:rPr>
          <w:rFonts w:ascii="Bookman Old Style" w:hAnsi="Bookman Old Style" w:cs="Times New Roman"/>
          <w:sz w:val="24"/>
          <w:szCs w:val="24"/>
        </w:rPr>
        <w:br/>
      </w:r>
      <w:r w:rsidRPr="00BA24C0">
        <w:rPr>
          <w:rFonts w:ascii="Bookman Old Style" w:hAnsi="Bookman Old Style" w:cs="Times New Roman"/>
          <w:sz w:val="24"/>
          <w:szCs w:val="24"/>
        </w:rPr>
        <w:t xml:space="preserve">iż między osobami pozostającymi w stałym stosunku cechującym się brakiem równorzędności może dojść do ukształtowania więzi, w której podmioty te posiadają równy status. Trybunał podkreślił, iż nie można wykluczyć iż roszczenia o zapłatę powstałe na tle stosunku administracyjnego ma charakter cywilnoprawny, a spór dotyczący jego wykonania należy </w:t>
      </w:r>
      <w:r w:rsidR="00621C77" w:rsidRPr="00BA24C0">
        <w:rPr>
          <w:rFonts w:ascii="Bookman Old Style" w:hAnsi="Bookman Old Style" w:cs="Times New Roman"/>
          <w:sz w:val="24"/>
          <w:szCs w:val="24"/>
        </w:rPr>
        <w:t>zakwalifikować, jako</w:t>
      </w:r>
      <w:r w:rsidRPr="00BA24C0">
        <w:rPr>
          <w:rFonts w:ascii="Bookman Old Style" w:hAnsi="Bookman Old Style" w:cs="Times New Roman"/>
          <w:sz w:val="24"/>
          <w:szCs w:val="24"/>
        </w:rPr>
        <w:t xml:space="preserve"> sprawę cywilną. </w:t>
      </w:r>
    </w:p>
    <w:p w:rsidR="00957434" w:rsidRPr="00BA24C0" w:rsidRDefault="00957434" w:rsidP="00BA24C0">
      <w:pPr>
        <w:spacing w:after="0"/>
        <w:ind w:firstLine="708"/>
        <w:jc w:val="both"/>
        <w:rPr>
          <w:rFonts w:ascii="Bookman Old Style" w:hAnsi="Bookman Old Style" w:cs="Times New Roman"/>
          <w:sz w:val="24"/>
          <w:szCs w:val="24"/>
        </w:rPr>
      </w:pPr>
    </w:p>
    <w:p w:rsidR="00AA4697" w:rsidRPr="00BA24C0" w:rsidRDefault="00206242" w:rsidP="00BA24C0">
      <w:pPr>
        <w:spacing w:after="0"/>
        <w:ind w:firstLine="708"/>
        <w:jc w:val="both"/>
        <w:rPr>
          <w:rFonts w:ascii="Bookman Old Style" w:hAnsi="Bookman Old Style" w:cs="Times New Roman"/>
          <w:color w:val="333333"/>
          <w:sz w:val="24"/>
          <w:szCs w:val="24"/>
          <w:shd w:val="clear" w:color="auto" w:fill="FFFFFF"/>
        </w:rPr>
      </w:pPr>
      <w:r w:rsidRPr="00BA24C0">
        <w:rPr>
          <w:rFonts w:ascii="Bookman Old Style" w:hAnsi="Bookman Old Style" w:cs="Times New Roman"/>
          <w:sz w:val="24"/>
          <w:szCs w:val="24"/>
        </w:rPr>
        <w:t xml:space="preserve"> </w:t>
      </w:r>
      <w:r w:rsidR="00957434" w:rsidRPr="00BA24C0">
        <w:rPr>
          <w:rFonts w:ascii="Bookman Old Style" w:hAnsi="Bookman Old Style" w:cs="Times New Roman"/>
          <w:color w:val="333333"/>
          <w:sz w:val="24"/>
          <w:szCs w:val="24"/>
          <w:shd w:val="clear" w:color="auto" w:fill="FFFFFF"/>
        </w:rPr>
        <w:t xml:space="preserve">W nowszym orzecznictwie Sądu Najwyższego utrwalił się jednak pogląd, że dopuszczalna jest droga sądowa dla dochodzenia roszczeń podmiotów niepublicznych o zapłatę z tytułu wadliwego obliczenia i </w:t>
      </w:r>
      <w:r w:rsidR="006B745E">
        <w:rPr>
          <w:rFonts w:ascii="Bookman Old Style" w:hAnsi="Bookman Old Style" w:cs="Times New Roman"/>
          <w:color w:val="333333"/>
          <w:sz w:val="24"/>
          <w:szCs w:val="24"/>
          <w:shd w:val="clear" w:color="auto" w:fill="FFFFFF"/>
        </w:rPr>
        <w:br/>
      </w:r>
      <w:r w:rsidR="00957434" w:rsidRPr="00BA24C0">
        <w:rPr>
          <w:rFonts w:ascii="Bookman Old Style" w:hAnsi="Bookman Old Style" w:cs="Times New Roman"/>
          <w:color w:val="333333"/>
          <w:sz w:val="24"/>
          <w:szCs w:val="24"/>
          <w:shd w:val="clear" w:color="auto" w:fill="FFFFFF"/>
        </w:rPr>
        <w:t>w konsekwencji nieuzasadnionego obniżenia dotacji należnej na podstawie </w:t>
      </w:r>
      <w:r w:rsidR="00957434" w:rsidRPr="00BA24C0">
        <w:rPr>
          <w:rFonts w:ascii="Bookman Old Style" w:hAnsi="Bookman Old Style" w:cs="Times New Roman"/>
          <w:sz w:val="24"/>
          <w:szCs w:val="24"/>
          <w:shd w:val="clear" w:color="auto" w:fill="FFFFFF"/>
        </w:rPr>
        <w:t>art. 90 ust. 2 i 3 u.s.o. Kognicja sądu obejmuje badanie zarówno prawidłowości naliczenia dotacji oświatowej, jak i zasadności odmowy jej wypłaty (por. wyroki Sądu Najwyższego z dnia 3 stycznia 2007 r., IV CSK 312/08, nie publ, z dnia 4 września 2008 r</w:t>
      </w:r>
      <w:r w:rsidR="00621C77" w:rsidRPr="00BA24C0">
        <w:rPr>
          <w:rFonts w:ascii="Bookman Old Style" w:hAnsi="Bookman Old Style" w:cs="Times New Roman"/>
          <w:sz w:val="24"/>
          <w:szCs w:val="24"/>
          <w:shd w:val="clear" w:color="auto" w:fill="FFFFFF"/>
        </w:rPr>
        <w:t>.,  IV</w:t>
      </w:r>
      <w:r w:rsidR="00957434" w:rsidRPr="00BA24C0">
        <w:rPr>
          <w:rFonts w:ascii="Bookman Old Style" w:hAnsi="Bookman Old Style" w:cs="Times New Roman"/>
          <w:sz w:val="24"/>
          <w:szCs w:val="24"/>
          <w:shd w:val="clear" w:color="auto" w:fill="FFFFFF"/>
        </w:rPr>
        <w:t xml:space="preserve"> CSK 204/08, nie </w:t>
      </w:r>
      <w:proofErr w:type="spellStart"/>
      <w:r w:rsidR="00957434" w:rsidRPr="00BA24C0">
        <w:rPr>
          <w:rFonts w:ascii="Bookman Old Style" w:hAnsi="Bookman Old Style" w:cs="Times New Roman"/>
          <w:sz w:val="24"/>
          <w:szCs w:val="24"/>
          <w:shd w:val="clear" w:color="auto" w:fill="FFFFFF"/>
        </w:rPr>
        <w:t>publ</w:t>
      </w:r>
      <w:proofErr w:type="spellEnd"/>
      <w:r w:rsidR="00957434" w:rsidRPr="00BA24C0">
        <w:rPr>
          <w:rFonts w:ascii="Bookman Old Style" w:hAnsi="Bookman Old Style" w:cs="Times New Roman"/>
          <w:sz w:val="24"/>
          <w:szCs w:val="24"/>
          <w:shd w:val="clear" w:color="auto" w:fill="FFFFFF"/>
        </w:rPr>
        <w:t xml:space="preserve">., </w:t>
      </w:r>
      <w:r w:rsidR="006B745E">
        <w:rPr>
          <w:rFonts w:ascii="Bookman Old Style" w:hAnsi="Bookman Old Style" w:cs="Times New Roman"/>
          <w:sz w:val="24"/>
          <w:szCs w:val="24"/>
          <w:shd w:val="clear" w:color="auto" w:fill="FFFFFF"/>
        </w:rPr>
        <w:br/>
      </w:r>
      <w:r w:rsidR="00957434" w:rsidRPr="00BA24C0">
        <w:rPr>
          <w:rFonts w:ascii="Bookman Old Style" w:hAnsi="Bookman Old Style" w:cs="Times New Roman"/>
          <w:sz w:val="24"/>
          <w:szCs w:val="24"/>
          <w:shd w:val="clear" w:color="auto" w:fill="FFFFFF"/>
        </w:rPr>
        <w:t>z dnia 20 czerwca 2013 r</w:t>
      </w:r>
      <w:r w:rsidR="00621C77" w:rsidRPr="00BA24C0">
        <w:rPr>
          <w:rFonts w:ascii="Bookman Old Style" w:hAnsi="Bookman Old Style" w:cs="Times New Roman"/>
          <w:sz w:val="24"/>
          <w:szCs w:val="24"/>
          <w:shd w:val="clear" w:color="auto" w:fill="FFFFFF"/>
        </w:rPr>
        <w:t>.,  IV</w:t>
      </w:r>
      <w:r w:rsidR="00957434" w:rsidRPr="00BA24C0">
        <w:rPr>
          <w:rFonts w:ascii="Bookman Old Style" w:hAnsi="Bookman Old Style" w:cs="Times New Roman"/>
          <w:sz w:val="24"/>
          <w:szCs w:val="24"/>
          <w:shd w:val="clear" w:color="auto" w:fill="FFFFFF"/>
        </w:rPr>
        <w:t xml:space="preserve"> CSK 696/12, nie publ. oraz postanowienie Sądu Najwyższego z dnia 23 października 2007 r., III CZP 88/07, </w:t>
      </w:r>
      <w:r w:rsidR="00957434" w:rsidRPr="00BA24C0">
        <w:rPr>
          <w:rFonts w:ascii="Bookman Old Style" w:hAnsi="Bookman Old Style" w:cs="Times New Roman"/>
          <w:color w:val="333333"/>
          <w:sz w:val="24"/>
          <w:szCs w:val="24"/>
          <w:shd w:val="clear" w:color="auto" w:fill="FFFFFF"/>
        </w:rPr>
        <w:t xml:space="preserve">nie publ.). Kierując się tym stanowiskiem Sąd Najwyższy w tego rodzaju sprawach wielokrotnie potwierdzał dopuszczalność badania w toku postępowania </w:t>
      </w:r>
      <w:r w:rsidR="00957434" w:rsidRPr="00BA24C0">
        <w:rPr>
          <w:rFonts w:ascii="Bookman Old Style" w:hAnsi="Bookman Old Style" w:cs="Times New Roman"/>
          <w:color w:val="333333"/>
          <w:sz w:val="24"/>
          <w:szCs w:val="24"/>
          <w:shd w:val="clear" w:color="auto" w:fill="FFFFFF"/>
        </w:rPr>
        <w:lastRenderedPageBreak/>
        <w:t>cywilnego prawidłowości ustalenia wysokości dotacji oświatowej (por.m.in. wyroki Sądu Najwyższego z dnia 22 maja 2014 r., </w:t>
      </w:r>
      <w:r w:rsidR="00957434" w:rsidRPr="00BA24C0">
        <w:rPr>
          <w:rFonts w:ascii="Bookman Old Style" w:hAnsi="Bookman Old Style" w:cs="Times New Roman"/>
          <w:sz w:val="24"/>
          <w:szCs w:val="24"/>
          <w:shd w:val="clear" w:color="auto" w:fill="FFFFFF"/>
        </w:rPr>
        <w:t>IV CSK 531/13, OSNC 2015, Nr 4, poz. 49, z dnia 26 marca 2015 r., V CSK 376/14, nie publ. oraz postanowienia Sądu Najwyższego z dnia 27 listopada 2015 r., IV CSK 330/15, nie publ., i</w:t>
      </w:r>
      <w:r w:rsidR="00957434" w:rsidRPr="00BA24C0">
        <w:rPr>
          <w:rFonts w:ascii="Bookman Old Style" w:hAnsi="Bookman Old Style" w:cs="Times New Roman"/>
          <w:color w:val="333333"/>
          <w:sz w:val="24"/>
          <w:szCs w:val="24"/>
          <w:shd w:val="clear" w:color="auto" w:fill="FFFFFF"/>
        </w:rPr>
        <w:t xml:space="preserve"> z dnia 18 sierpnia 2016 r., IV CSK 67/16, nie publ.).</w:t>
      </w:r>
    </w:p>
    <w:p w:rsidR="00957434" w:rsidRPr="00BA24C0" w:rsidRDefault="00957434" w:rsidP="00BA24C0">
      <w:pPr>
        <w:shd w:val="clear" w:color="auto" w:fill="FFFFFF"/>
        <w:spacing w:before="120" w:after="150"/>
        <w:ind w:firstLine="708"/>
        <w:jc w:val="both"/>
        <w:rPr>
          <w:rFonts w:ascii="Bookman Old Style" w:eastAsia="Times New Roman" w:hAnsi="Bookman Old Style" w:cs="Times New Roman"/>
          <w:color w:val="333333"/>
          <w:sz w:val="24"/>
          <w:szCs w:val="24"/>
          <w:lang w:eastAsia="pl-PL"/>
        </w:rPr>
      </w:pPr>
      <w:r w:rsidRPr="00BA24C0">
        <w:rPr>
          <w:rFonts w:ascii="Bookman Old Style" w:eastAsia="Times New Roman" w:hAnsi="Bookman Old Style" w:cs="Times New Roman"/>
          <w:color w:val="333333"/>
          <w:sz w:val="24"/>
          <w:szCs w:val="24"/>
          <w:lang w:eastAsia="pl-PL"/>
        </w:rPr>
        <w:t>W części orzeczeń Naczelny Sąd Administracyjny wskazuje, na administracyjnoprawną kwalifikację czynności związanych z ustaleniem i przekazaniem środków finansowych w ramach dotacji na podstawie </w:t>
      </w:r>
      <w:r w:rsidRPr="00BA24C0">
        <w:rPr>
          <w:rFonts w:ascii="Bookman Old Style" w:eastAsia="Times New Roman" w:hAnsi="Bookman Old Style" w:cs="Times New Roman"/>
          <w:sz w:val="24"/>
          <w:szCs w:val="24"/>
          <w:lang w:eastAsia="pl-PL"/>
        </w:rPr>
        <w:t>art. 90 ust. 3</w:t>
      </w:r>
      <w:r w:rsidRPr="00BA24C0">
        <w:rPr>
          <w:rFonts w:ascii="Bookman Old Style" w:eastAsia="Times New Roman" w:hAnsi="Bookman Old Style" w:cs="Times New Roman"/>
          <w:color w:val="333333"/>
          <w:sz w:val="24"/>
          <w:szCs w:val="24"/>
          <w:lang w:eastAsia="pl-PL"/>
        </w:rPr>
        <w:t xml:space="preserve"> u.s.o. - mimo braku podstaw do wydawania decyzji administracyjnych - przyjmując, że rozpoznanie sprawy o wypłatę dotacji mieści się w zakresie kognicji sądów administracyjnych na </w:t>
      </w:r>
      <w:r w:rsidRPr="00BA24C0">
        <w:rPr>
          <w:rFonts w:ascii="Bookman Old Style" w:eastAsia="Times New Roman" w:hAnsi="Bookman Old Style" w:cs="Times New Roman"/>
          <w:sz w:val="24"/>
          <w:szCs w:val="24"/>
          <w:lang w:eastAsia="pl-PL"/>
        </w:rPr>
        <w:t>podstawie </w:t>
      </w:r>
      <w:hyperlink r:id="rId5" w:anchor="/document/16982717?unitId=art(3)par(2)pkt(4)&amp;cm=DOCUMENT" w:history="1">
        <w:r w:rsidRPr="00BA24C0">
          <w:rPr>
            <w:rFonts w:ascii="Bookman Old Style" w:eastAsia="Times New Roman" w:hAnsi="Bookman Old Style" w:cs="Times New Roman"/>
            <w:sz w:val="24"/>
            <w:szCs w:val="24"/>
            <w:lang w:eastAsia="pl-PL"/>
          </w:rPr>
          <w:t xml:space="preserve">art. 3 § 2 </w:t>
        </w:r>
        <w:proofErr w:type="spellStart"/>
        <w:r w:rsidRPr="00BA24C0">
          <w:rPr>
            <w:rFonts w:ascii="Bookman Old Style" w:eastAsia="Times New Roman" w:hAnsi="Bookman Old Style" w:cs="Times New Roman"/>
            <w:sz w:val="24"/>
            <w:szCs w:val="24"/>
            <w:lang w:eastAsia="pl-PL"/>
          </w:rPr>
          <w:t>pkt</w:t>
        </w:r>
        <w:proofErr w:type="spellEnd"/>
        <w:r w:rsidRPr="00BA24C0">
          <w:rPr>
            <w:rFonts w:ascii="Bookman Old Style" w:eastAsia="Times New Roman" w:hAnsi="Bookman Old Style" w:cs="Times New Roman"/>
            <w:sz w:val="24"/>
            <w:szCs w:val="24"/>
            <w:lang w:eastAsia="pl-PL"/>
          </w:rPr>
          <w:t xml:space="preserve"> 4</w:t>
        </w:r>
      </w:hyperlink>
      <w:r w:rsidRPr="00BA24C0">
        <w:rPr>
          <w:rFonts w:ascii="Bookman Old Style" w:eastAsia="Times New Roman" w:hAnsi="Bookman Old Style" w:cs="Times New Roman"/>
          <w:color w:val="333333"/>
          <w:sz w:val="24"/>
          <w:szCs w:val="24"/>
          <w:lang w:eastAsia="pl-PL"/>
        </w:rPr>
        <w:t> </w:t>
      </w:r>
      <w:proofErr w:type="spellStart"/>
      <w:r w:rsidRPr="00BA24C0">
        <w:rPr>
          <w:rFonts w:ascii="Bookman Old Style" w:eastAsia="Times New Roman" w:hAnsi="Bookman Old Style" w:cs="Times New Roman"/>
          <w:color w:val="333333"/>
          <w:sz w:val="24"/>
          <w:szCs w:val="24"/>
          <w:lang w:eastAsia="pl-PL"/>
        </w:rPr>
        <w:t>p.p.s.a</w:t>
      </w:r>
      <w:proofErr w:type="spellEnd"/>
      <w:r w:rsidRPr="00BA24C0">
        <w:rPr>
          <w:rFonts w:ascii="Bookman Old Style" w:eastAsia="Times New Roman" w:hAnsi="Bookman Old Style" w:cs="Times New Roman"/>
          <w:color w:val="333333"/>
          <w:sz w:val="24"/>
          <w:szCs w:val="24"/>
          <w:lang w:eastAsia="pl-PL"/>
        </w:rPr>
        <w:t xml:space="preserve">., jako czynność z zakresu administracji publicznej, zwłaszcza w sprawach </w:t>
      </w:r>
      <w:r w:rsidR="006B745E">
        <w:rPr>
          <w:rFonts w:ascii="Bookman Old Style" w:eastAsia="Times New Roman" w:hAnsi="Bookman Old Style" w:cs="Times New Roman"/>
          <w:color w:val="333333"/>
          <w:sz w:val="24"/>
          <w:szCs w:val="24"/>
          <w:lang w:eastAsia="pl-PL"/>
        </w:rPr>
        <w:br/>
      </w:r>
      <w:r w:rsidRPr="00BA24C0">
        <w:rPr>
          <w:rFonts w:ascii="Bookman Old Style" w:eastAsia="Times New Roman" w:hAnsi="Bookman Old Style" w:cs="Times New Roman"/>
          <w:color w:val="333333"/>
          <w:sz w:val="24"/>
          <w:szCs w:val="24"/>
          <w:lang w:eastAsia="pl-PL"/>
        </w:rPr>
        <w:t>w których oprócz sporu o zapłatę występuje także spór o określenie wysokości dotacji (por. wyroki Naczelnego Sądu Administracyjnego z dnia 24 listopada 2005 r</w:t>
      </w:r>
      <w:r w:rsidRPr="00BA24C0">
        <w:rPr>
          <w:rFonts w:ascii="Bookman Old Style" w:eastAsia="Times New Roman" w:hAnsi="Bookman Old Style" w:cs="Times New Roman"/>
          <w:sz w:val="24"/>
          <w:szCs w:val="24"/>
          <w:lang w:eastAsia="pl-PL"/>
        </w:rPr>
        <w:t>., II GSK 283/05, nie publ., z dnia 15 lutego 2006 r., II GSK 375/05, nie publ., z dnia 17 stycznia 2008 r</w:t>
      </w:r>
      <w:r w:rsidR="00621C77" w:rsidRPr="00BA24C0">
        <w:rPr>
          <w:rFonts w:ascii="Bookman Old Style" w:eastAsia="Times New Roman" w:hAnsi="Bookman Old Style" w:cs="Times New Roman"/>
          <w:sz w:val="24"/>
          <w:szCs w:val="24"/>
          <w:lang w:eastAsia="pl-PL"/>
        </w:rPr>
        <w:t>.,  II</w:t>
      </w:r>
      <w:r w:rsidRPr="00BA24C0">
        <w:rPr>
          <w:rFonts w:ascii="Bookman Old Style" w:eastAsia="Times New Roman" w:hAnsi="Bookman Old Style" w:cs="Times New Roman"/>
          <w:sz w:val="24"/>
          <w:szCs w:val="24"/>
          <w:lang w:eastAsia="pl-PL"/>
        </w:rPr>
        <w:t xml:space="preserve"> GSK 320/07, nie publ. oraz postanowienia Naczelnego Sądu Administracyjnego z dnia 12 marca 2013r., II GSK 257/13, nie publ. i z dnia 27 marca 2013 r., II GSK 322/13, </w:t>
      </w:r>
      <w:r w:rsidR="006B745E">
        <w:rPr>
          <w:rFonts w:ascii="Bookman Old Style" w:eastAsia="Times New Roman" w:hAnsi="Bookman Old Style" w:cs="Times New Roman"/>
          <w:sz w:val="24"/>
          <w:szCs w:val="24"/>
          <w:lang w:eastAsia="pl-PL"/>
        </w:rPr>
        <w:br/>
      </w:r>
      <w:r w:rsidRPr="00BA24C0">
        <w:rPr>
          <w:rFonts w:ascii="Bookman Old Style" w:eastAsia="Times New Roman" w:hAnsi="Bookman Old Style" w:cs="Times New Roman"/>
          <w:sz w:val="24"/>
          <w:szCs w:val="24"/>
          <w:lang w:eastAsia="pl-PL"/>
        </w:rPr>
        <w:t xml:space="preserve">II GSK 321/13, </w:t>
      </w:r>
      <w:r w:rsidRPr="00BA24C0">
        <w:rPr>
          <w:rFonts w:ascii="Bookman Old Style" w:eastAsia="Times New Roman" w:hAnsi="Bookman Old Style" w:cs="Times New Roman"/>
          <w:color w:val="333333"/>
          <w:sz w:val="24"/>
          <w:szCs w:val="24"/>
          <w:lang w:eastAsia="pl-PL"/>
        </w:rPr>
        <w:t>nie publ.).</w:t>
      </w:r>
    </w:p>
    <w:p w:rsidR="00957434" w:rsidRPr="00BA24C0" w:rsidRDefault="00957434" w:rsidP="00BA24C0">
      <w:pPr>
        <w:shd w:val="clear" w:color="auto" w:fill="FFFFFF"/>
        <w:spacing w:before="120" w:after="150"/>
        <w:ind w:firstLine="708"/>
        <w:jc w:val="both"/>
        <w:rPr>
          <w:rFonts w:ascii="Bookman Old Style" w:eastAsia="Times New Roman" w:hAnsi="Bookman Old Style" w:cs="Times New Roman"/>
          <w:color w:val="333333"/>
          <w:sz w:val="24"/>
          <w:szCs w:val="24"/>
          <w:lang w:eastAsia="pl-PL"/>
        </w:rPr>
      </w:pPr>
      <w:r w:rsidRPr="00BA24C0">
        <w:rPr>
          <w:rFonts w:ascii="Bookman Old Style" w:eastAsia="Times New Roman" w:hAnsi="Bookman Old Style" w:cs="Times New Roman"/>
          <w:color w:val="333333"/>
          <w:sz w:val="24"/>
          <w:szCs w:val="24"/>
          <w:lang w:eastAsia="pl-PL"/>
        </w:rPr>
        <w:t xml:space="preserve">W części orzeczeń prezentuje natomiast pogląd, że obliczenie należnej dotacji dla placówki oświatowej jest czynnością techniczną o charakterze księgowo - rachunkowym, w związku z czym nie kwalifikuje </w:t>
      </w:r>
      <w:r w:rsidR="00621C77" w:rsidRPr="00BA24C0">
        <w:rPr>
          <w:rFonts w:ascii="Bookman Old Style" w:eastAsia="Times New Roman" w:hAnsi="Bookman Old Style" w:cs="Times New Roman"/>
          <w:color w:val="333333"/>
          <w:sz w:val="24"/>
          <w:szCs w:val="24"/>
          <w:lang w:eastAsia="pl-PL"/>
        </w:rPr>
        <w:t>się, jako</w:t>
      </w:r>
      <w:r w:rsidRPr="00BA24C0">
        <w:rPr>
          <w:rFonts w:ascii="Bookman Old Style" w:eastAsia="Times New Roman" w:hAnsi="Bookman Old Style" w:cs="Times New Roman"/>
          <w:color w:val="333333"/>
          <w:sz w:val="24"/>
          <w:szCs w:val="24"/>
          <w:lang w:eastAsia="pl-PL"/>
        </w:rPr>
        <w:t xml:space="preserve"> czynność określona przepisem </w:t>
      </w:r>
      <w:r w:rsidRPr="00BA24C0">
        <w:rPr>
          <w:rFonts w:ascii="Bookman Old Style" w:eastAsia="Times New Roman" w:hAnsi="Bookman Old Style" w:cs="Times New Roman"/>
          <w:sz w:val="24"/>
          <w:szCs w:val="24"/>
          <w:lang w:eastAsia="pl-PL"/>
        </w:rPr>
        <w:t>art. 3 § 2 pkt 4</w:t>
      </w:r>
      <w:r w:rsidRPr="00BA24C0">
        <w:rPr>
          <w:rFonts w:ascii="Bookman Old Style" w:eastAsia="Times New Roman" w:hAnsi="Bookman Old Style" w:cs="Times New Roman"/>
          <w:color w:val="333333"/>
          <w:sz w:val="24"/>
          <w:szCs w:val="24"/>
          <w:lang w:eastAsia="pl-PL"/>
        </w:rPr>
        <w:t xml:space="preserve"> p.p.s.a. W tym nurcie orzeczniczym wskazuje się na trudność w określeniu, jaki akt lub czynność w </w:t>
      </w:r>
      <w:r w:rsidRPr="00BA24C0">
        <w:rPr>
          <w:rFonts w:ascii="Bookman Old Style" w:eastAsia="Times New Roman" w:hAnsi="Bookman Old Style" w:cs="Times New Roman"/>
          <w:sz w:val="24"/>
          <w:szCs w:val="24"/>
          <w:lang w:eastAsia="pl-PL"/>
        </w:rPr>
        <w:t xml:space="preserve">sprawach dotacji dla szkół i placówek niepublicznych miałyby podlegać kontroli sądu administracyjnego. W konsekwencji przyjmuje się, </w:t>
      </w:r>
      <w:r w:rsidR="006B745E">
        <w:rPr>
          <w:rFonts w:ascii="Bookman Old Style" w:eastAsia="Times New Roman" w:hAnsi="Bookman Old Style" w:cs="Times New Roman"/>
          <w:sz w:val="24"/>
          <w:szCs w:val="24"/>
          <w:lang w:eastAsia="pl-PL"/>
        </w:rPr>
        <w:br/>
      </w:r>
      <w:r w:rsidRPr="00BA24C0">
        <w:rPr>
          <w:rFonts w:ascii="Bookman Old Style" w:eastAsia="Times New Roman" w:hAnsi="Bookman Old Style" w:cs="Times New Roman"/>
          <w:sz w:val="24"/>
          <w:szCs w:val="24"/>
          <w:lang w:eastAsia="pl-PL"/>
        </w:rPr>
        <w:t xml:space="preserve">że dochodzenie roszczeń o należną, lecz niewypłaconą dotację odbywa się </w:t>
      </w:r>
      <w:r w:rsidR="006B745E">
        <w:rPr>
          <w:rFonts w:ascii="Bookman Old Style" w:eastAsia="Times New Roman" w:hAnsi="Bookman Old Style" w:cs="Times New Roman"/>
          <w:sz w:val="24"/>
          <w:szCs w:val="24"/>
          <w:lang w:eastAsia="pl-PL"/>
        </w:rPr>
        <w:br/>
      </w:r>
      <w:r w:rsidRPr="00BA24C0">
        <w:rPr>
          <w:rFonts w:ascii="Bookman Old Style" w:eastAsia="Times New Roman" w:hAnsi="Bookman Old Style" w:cs="Times New Roman"/>
          <w:sz w:val="24"/>
          <w:szCs w:val="24"/>
          <w:lang w:eastAsia="pl-PL"/>
        </w:rPr>
        <w:t xml:space="preserve">na drodze sądowej, w postępowaniu cywilnym (por.m.in. wyroki Naczelnego Sądu Administracyjnego z dnia 11 kwietnia 2012 r., II GSK 563/12, nie publ., z dnia 16 października 2012 r., II GSK 1651/12, nie publ. oraz postanowienia Naczelnego Sądu Administracyjnego z dnia 17 października 2014 r., II GSK 1700/14, nie publ., z dnia 28 września 2012 r., II GSK 1504/12, nie publ., z dnia 11 kwietnia 2012 r., II GSK 562/12, II GSK 563/12, nie publ., z dnia 4 kwietnia 2012 r., II GSK 525/12, nie </w:t>
      </w:r>
      <w:proofErr w:type="spellStart"/>
      <w:r w:rsidRPr="00BA24C0">
        <w:rPr>
          <w:rFonts w:ascii="Bookman Old Style" w:eastAsia="Times New Roman" w:hAnsi="Bookman Old Style" w:cs="Times New Roman"/>
          <w:sz w:val="24"/>
          <w:szCs w:val="24"/>
          <w:lang w:eastAsia="pl-PL"/>
        </w:rPr>
        <w:t>publ</w:t>
      </w:r>
      <w:proofErr w:type="spellEnd"/>
      <w:r w:rsidRPr="00BA24C0">
        <w:rPr>
          <w:rFonts w:ascii="Bookman Old Style" w:eastAsia="Times New Roman" w:hAnsi="Bookman Old Style" w:cs="Times New Roman"/>
          <w:sz w:val="24"/>
          <w:szCs w:val="24"/>
          <w:lang w:eastAsia="pl-PL"/>
        </w:rPr>
        <w:t xml:space="preserve">., </w:t>
      </w:r>
      <w:r w:rsidR="006B745E">
        <w:rPr>
          <w:rFonts w:ascii="Bookman Old Style" w:eastAsia="Times New Roman" w:hAnsi="Bookman Old Style" w:cs="Times New Roman"/>
          <w:sz w:val="24"/>
          <w:szCs w:val="24"/>
          <w:lang w:eastAsia="pl-PL"/>
        </w:rPr>
        <w:br/>
      </w:r>
      <w:r w:rsidRPr="00BA24C0">
        <w:rPr>
          <w:rFonts w:ascii="Bookman Old Style" w:eastAsia="Times New Roman" w:hAnsi="Bookman Old Style" w:cs="Times New Roman"/>
          <w:sz w:val="24"/>
          <w:szCs w:val="24"/>
          <w:lang w:eastAsia="pl-PL"/>
        </w:rPr>
        <w:t xml:space="preserve">z dnia 3 kwietnia 2012 r., II GSK 524/12, II GSK 523/12, II GSK 522/12, II GSK 521/12, nie publ., z dnia 26 stycznia 2011 r., II GSK 98/10, nie </w:t>
      </w:r>
      <w:proofErr w:type="spellStart"/>
      <w:r w:rsidRPr="00BA24C0">
        <w:rPr>
          <w:rFonts w:ascii="Bookman Old Style" w:eastAsia="Times New Roman" w:hAnsi="Bookman Old Style" w:cs="Times New Roman"/>
          <w:sz w:val="24"/>
          <w:szCs w:val="24"/>
          <w:lang w:eastAsia="pl-PL"/>
        </w:rPr>
        <w:t>publ</w:t>
      </w:r>
      <w:proofErr w:type="spellEnd"/>
      <w:r w:rsidRPr="00BA24C0">
        <w:rPr>
          <w:rFonts w:ascii="Bookman Old Style" w:eastAsia="Times New Roman" w:hAnsi="Bookman Old Style" w:cs="Times New Roman"/>
          <w:sz w:val="24"/>
          <w:szCs w:val="24"/>
          <w:lang w:eastAsia="pl-PL"/>
        </w:rPr>
        <w:t xml:space="preserve">., </w:t>
      </w:r>
      <w:r w:rsidR="006B745E">
        <w:rPr>
          <w:rFonts w:ascii="Bookman Old Style" w:eastAsia="Times New Roman" w:hAnsi="Bookman Old Style" w:cs="Times New Roman"/>
          <w:sz w:val="24"/>
          <w:szCs w:val="24"/>
          <w:lang w:eastAsia="pl-PL"/>
        </w:rPr>
        <w:br/>
      </w:r>
      <w:r w:rsidRPr="00BA24C0">
        <w:rPr>
          <w:rFonts w:ascii="Bookman Old Style" w:eastAsia="Times New Roman" w:hAnsi="Bookman Old Style" w:cs="Times New Roman"/>
          <w:sz w:val="24"/>
          <w:szCs w:val="24"/>
          <w:lang w:eastAsia="pl-PL"/>
        </w:rPr>
        <w:t>i z dnia 18 stycznia 2011 r., II GSK 1211/10, II GSK 1552/10, nie publ.).</w:t>
      </w:r>
    </w:p>
    <w:p w:rsidR="002B1B1A" w:rsidRPr="00BA24C0" w:rsidRDefault="00957434" w:rsidP="00BA24C0">
      <w:pPr>
        <w:shd w:val="clear" w:color="auto" w:fill="FFFFFF"/>
        <w:spacing w:before="120" w:after="150"/>
        <w:ind w:firstLine="708"/>
        <w:jc w:val="both"/>
        <w:rPr>
          <w:rFonts w:ascii="Bookman Old Style" w:eastAsia="Times New Roman" w:hAnsi="Bookman Old Style" w:cs="Times New Roman"/>
          <w:color w:val="333333"/>
          <w:sz w:val="24"/>
          <w:szCs w:val="24"/>
          <w:lang w:eastAsia="pl-PL"/>
        </w:rPr>
      </w:pPr>
      <w:r w:rsidRPr="00BA24C0">
        <w:rPr>
          <w:rFonts w:ascii="Bookman Old Style" w:eastAsia="Times New Roman" w:hAnsi="Bookman Old Style" w:cs="Times New Roman"/>
          <w:color w:val="333333"/>
          <w:sz w:val="24"/>
          <w:szCs w:val="24"/>
          <w:lang w:eastAsia="pl-PL"/>
        </w:rPr>
        <w:t xml:space="preserve">Istniejąca rozbieżność w orzecznictwie sądów administracyjnych, brak ustalenia zasady prawnej w drodze uchwały powiększonego składu Naczelnego Sądu Administracyjnego, powoduje dezorientację co do właściwego trybu kwestionowania wysokości przyznanej dotacji oświatowej </w:t>
      </w:r>
      <w:r w:rsidR="006B745E">
        <w:rPr>
          <w:rFonts w:ascii="Bookman Old Style" w:eastAsia="Times New Roman" w:hAnsi="Bookman Old Style" w:cs="Times New Roman"/>
          <w:color w:val="333333"/>
          <w:sz w:val="24"/>
          <w:szCs w:val="24"/>
          <w:lang w:eastAsia="pl-PL"/>
        </w:rPr>
        <w:br/>
      </w:r>
      <w:r w:rsidRPr="00BA24C0">
        <w:rPr>
          <w:rFonts w:ascii="Bookman Old Style" w:eastAsia="Times New Roman" w:hAnsi="Bookman Old Style" w:cs="Times New Roman"/>
          <w:color w:val="333333"/>
          <w:sz w:val="24"/>
          <w:szCs w:val="24"/>
          <w:lang w:eastAsia="pl-PL"/>
        </w:rPr>
        <w:t xml:space="preserve">i domagania się jej zapłaty. Stan ten pogłębia istnienie pozytywnego sporu </w:t>
      </w:r>
      <w:r w:rsidRPr="00BA24C0">
        <w:rPr>
          <w:rFonts w:ascii="Bookman Old Style" w:eastAsia="Times New Roman" w:hAnsi="Bookman Old Style" w:cs="Times New Roman"/>
          <w:color w:val="333333"/>
          <w:sz w:val="24"/>
          <w:szCs w:val="24"/>
          <w:lang w:eastAsia="pl-PL"/>
        </w:rPr>
        <w:lastRenderedPageBreak/>
        <w:t xml:space="preserve">kompetencyjnego między sądami powszechnymi i Sądem Najwyższym, </w:t>
      </w:r>
      <w:r w:rsidR="006B745E">
        <w:rPr>
          <w:rFonts w:ascii="Bookman Old Style" w:eastAsia="Times New Roman" w:hAnsi="Bookman Old Style" w:cs="Times New Roman"/>
          <w:color w:val="333333"/>
          <w:sz w:val="24"/>
          <w:szCs w:val="24"/>
          <w:lang w:eastAsia="pl-PL"/>
        </w:rPr>
        <w:br/>
      </w:r>
      <w:r w:rsidRPr="00BA24C0">
        <w:rPr>
          <w:rFonts w:ascii="Bookman Old Style" w:eastAsia="Times New Roman" w:hAnsi="Bookman Old Style" w:cs="Times New Roman"/>
          <w:color w:val="333333"/>
          <w:sz w:val="24"/>
          <w:szCs w:val="24"/>
          <w:lang w:eastAsia="pl-PL"/>
        </w:rPr>
        <w:t>a sądami administracyjnymi i brak instrumentów rozstrzygania tego rodzaju sporów w ustawodawstwie polskim.</w:t>
      </w:r>
    </w:p>
    <w:p w:rsidR="00A638BE" w:rsidRPr="00BA24C0" w:rsidRDefault="00A638BE" w:rsidP="00BA24C0">
      <w:pPr>
        <w:spacing w:before="100" w:beforeAutospacing="1" w:after="100" w:afterAutospacing="1"/>
        <w:jc w:val="both"/>
        <w:rPr>
          <w:rFonts w:ascii="Bookman Old Style" w:eastAsia="Times New Roman" w:hAnsi="Bookman Old Style" w:cs="Times New Roman"/>
          <w:sz w:val="24"/>
          <w:szCs w:val="24"/>
          <w:lang w:eastAsia="pl-PL"/>
        </w:rPr>
      </w:pPr>
      <w:r w:rsidRPr="00BA24C0">
        <w:rPr>
          <w:rFonts w:ascii="Bookman Old Style" w:hAnsi="Bookman Old Style" w:cs="Times New Roman"/>
          <w:sz w:val="24"/>
          <w:szCs w:val="24"/>
        </w:rPr>
        <w:tab/>
        <w:t xml:space="preserve">Odnośnie zagadnienia przedawnienia roszczeń podmiotów dotowanych należy wskazać, iż zagadnienie to nie jest w chwili obecnej uregulowane </w:t>
      </w:r>
      <w:r w:rsidR="006B745E">
        <w:rPr>
          <w:rFonts w:ascii="Bookman Old Style" w:hAnsi="Bookman Old Style" w:cs="Times New Roman"/>
          <w:sz w:val="24"/>
          <w:szCs w:val="24"/>
        </w:rPr>
        <w:br/>
      </w:r>
      <w:r w:rsidRPr="00BA24C0">
        <w:rPr>
          <w:rFonts w:ascii="Bookman Old Style" w:hAnsi="Bookman Old Style" w:cs="Times New Roman"/>
          <w:sz w:val="24"/>
          <w:szCs w:val="24"/>
        </w:rPr>
        <w:t xml:space="preserve">w obowiązujących przepisach oświatowych, w związku z czym sądy powszechne przyjmują ogólny termin przedawnienia roszczeń wynikający </w:t>
      </w:r>
      <w:r w:rsidR="006B745E">
        <w:rPr>
          <w:rFonts w:ascii="Bookman Old Style" w:hAnsi="Bookman Old Style" w:cs="Times New Roman"/>
          <w:sz w:val="24"/>
          <w:szCs w:val="24"/>
        </w:rPr>
        <w:br/>
      </w:r>
      <w:r w:rsidRPr="00BA24C0">
        <w:rPr>
          <w:rFonts w:ascii="Bookman Old Style" w:hAnsi="Bookman Old Style" w:cs="Times New Roman"/>
          <w:sz w:val="24"/>
          <w:szCs w:val="24"/>
        </w:rPr>
        <w:t xml:space="preserve">z art. 118 k.c. tj. sześć lat, z zastrzeżeniem, że koniec okresu przedawnienia przypada na ostatni dzień roku kalendarzowego. </w:t>
      </w:r>
      <w:r w:rsidR="00B479C1" w:rsidRPr="00BA24C0">
        <w:rPr>
          <w:rFonts w:ascii="Bookman Old Style" w:hAnsi="Bookman Old Style" w:cs="Times New Roman"/>
          <w:sz w:val="24"/>
          <w:szCs w:val="24"/>
        </w:rPr>
        <w:t xml:space="preserve">Należy również wskazać, </w:t>
      </w:r>
      <w:r w:rsidR="006B745E">
        <w:rPr>
          <w:rFonts w:ascii="Bookman Old Style" w:hAnsi="Bookman Old Style" w:cs="Times New Roman"/>
          <w:sz w:val="24"/>
          <w:szCs w:val="24"/>
        </w:rPr>
        <w:br/>
      </w:r>
      <w:r w:rsidR="00B479C1" w:rsidRPr="00BA24C0">
        <w:rPr>
          <w:rFonts w:ascii="Bookman Old Style" w:hAnsi="Bookman Old Style" w:cs="Times New Roman"/>
          <w:sz w:val="24"/>
          <w:szCs w:val="24"/>
        </w:rPr>
        <w:t xml:space="preserve">iż </w:t>
      </w:r>
      <w:r w:rsidR="00AF0070" w:rsidRPr="00BA24C0">
        <w:rPr>
          <w:rFonts w:ascii="Bookman Old Style" w:hAnsi="Bookman Old Style" w:cs="Times New Roman"/>
          <w:sz w:val="24"/>
          <w:szCs w:val="24"/>
        </w:rPr>
        <w:t xml:space="preserve">w świetle orzecznictwa Sądu Najwyższego (wyrok z dnia 22.05.2014r. IV CSK 531/13) </w:t>
      </w:r>
      <w:r w:rsidR="00B479C1" w:rsidRPr="00BA24C0">
        <w:rPr>
          <w:rFonts w:ascii="Bookman Old Style" w:hAnsi="Bookman Old Style" w:cs="Times New Roman"/>
          <w:sz w:val="24"/>
          <w:szCs w:val="24"/>
        </w:rPr>
        <w:t xml:space="preserve">roszczenia </w:t>
      </w:r>
      <w:r w:rsidR="00AF0070" w:rsidRPr="00BA24C0">
        <w:rPr>
          <w:rFonts w:ascii="Bookman Old Style" w:hAnsi="Bookman Old Style" w:cs="Times New Roman"/>
          <w:sz w:val="24"/>
          <w:szCs w:val="24"/>
        </w:rPr>
        <w:t xml:space="preserve">z tytułu </w:t>
      </w:r>
      <w:r w:rsidR="00AF0070" w:rsidRPr="00BA24C0">
        <w:rPr>
          <w:rFonts w:ascii="Bookman Old Style" w:eastAsia="Times New Roman" w:hAnsi="Bookman Old Style" w:cs="Times New Roman"/>
          <w:sz w:val="24"/>
          <w:szCs w:val="24"/>
          <w:lang w:eastAsia="pl-PL"/>
        </w:rPr>
        <w:t xml:space="preserve">dotacji dla niepublicznych szkół ponadgimnazjalnych o uprawnieniach szkół publicznych, przewidziane w art. 90 ust. 2 ustawy z dnia 7 września 1991 r. o systemie oświaty, nie mają charakteru świadczeń okresowych w rozumieniu art. 118 k.c. Ponadto roszczenia te nie stanowią roszczeń związanych z prowadzoną działalnością gospodarczą, co implikowałoby 3-letni okres przedawnienia, albowiem zgodnie z art. 170 ust. 1 ustawy z dnia 14.12.2016r. </w:t>
      </w:r>
      <w:r w:rsidR="004E41E2" w:rsidRPr="00BA24C0">
        <w:rPr>
          <w:rFonts w:ascii="Bookman Old Style" w:eastAsia="Times New Roman" w:hAnsi="Bookman Old Style" w:cs="Times New Roman"/>
          <w:sz w:val="24"/>
          <w:szCs w:val="24"/>
          <w:lang w:eastAsia="pl-PL"/>
        </w:rPr>
        <w:t xml:space="preserve">Prawo oświatowe prowadzenie tego typu placówek nie jest działalnością gospodarczą (analogiczny zapis obowiązywał w ustawie o systemie oświaty – art. 83a ust. 1). </w:t>
      </w:r>
      <w:r w:rsidRPr="00BA24C0">
        <w:rPr>
          <w:rFonts w:ascii="Bookman Old Style" w:hAnsi="Bookman Old Style" w:cs="Times New Roman"/>
          <w:sz w:val="24"/>
          <w:szCs w:val="24"/>
        </w:rPr>
        <w:t xml:space="preserve">Propozycja uregulowania tego zagadnienia na poziomie 5-letniego okresu przedawnienia, który byłby analogiczny do wynikającego z art. 36 ust. 5 ustawy o finansowaniu zadań oświatowych okresu, w którym podmiot dotujący może kontrolować prawidłowość pobrania i wykorzystania dotacji. </w:t>
      </w:r>
    </w:p>
    <w:p w:rsidR="00A638BE" w:rsidRPr="00BA24C0" w:rsidRDefault="00A638BE" w:rsidP="00BA24C0">
      <w:pPr>
        <w:spacing w:after="0"/>
        <w:jc w:val="both"/>
        <w:rPr>
          <w:rFonts w:ascii="Bookman Old Style" w:hAnsi="Bookman Old Style" w:cs="Times New Roman"/>
          <w:sz w:val="24"/>
          <w:szCs w:val="24"/>
        </w:rPr>
      </w:pPr>
    </w:p>
    <w:p w:rsidR="00B479C1" w:rsidRPr="00BA24C0" w:rsidRDefault="00A638BE" w:rsidP="00BA24C0">
      <w:pPr>
        <w:spacing w:after="0"/>
        <w:jc w:val="both"/>
        <w:rPr>
          <w:rFonts w:ascii="Bookman Old Style" w:hAnsi="Bookman Old Style" w:cs="Times New Roman"/>
          <w:sz w:val="24"/>
          <w:szCs w:val="24"/>
        </w:rPr>
      </w:pPr>
      <w:r w:rsidRPr="00BA24C0">
        <w:rPr>
          <w:rFonts w:ascii="Bookman Old Style" w:hAnsi="Bookman Old Style" w:cs="Times New Roman"/>
          <w:sz w:val="24"/>
          <w:szCs w:val="24"/>
        </w:rPr>
        <w:tab/>
        <w:t xml:space="preserve">Z zagadnieniem terminu dochodzenia roszczeń przez podmioty dotowane na drodze sądowej istotny </w:t>
      </w:r>
      <w:r w:rsidR="00B479C1" w:rsidRPr="00BA24C0">
        <w:rPr>
          <w:rFonts w:ascii="Bookman Old Style" w:hAnsi="Bookman Old Style" w:cs="Times New Roman"/>
          <w:sz w:val="24"/>
          <w:szCs w:val="24"/>
        </w:rPr>
        <w:t xml:space="preserve">związek ma problematyka charakteru roszczeń, które są zasądzane przez sądy od jednostek samorządu terytorialnego. Obowiązujące przepisy prawa nie określają w sposób jednoznaczny tego zagadnienia, a ma ono znaczenie zarówno z punktu widzenia postępowania procesowego, jak również w późniejszym etapie, albowiem sporne jest czy tak zasądzone i przekazane środki mają nadal charakter dotacji, a tym samym czy ich wydatkowanie podlega kontroli podmiotu dotowanego w trybie art. 36 ustawy o finansowaniu zadań oświatowych. </w:t>
      </w:r>
    </w:p>
    <w:p w:rsidR="00957434" w:rsidRPr="00BA24C0" w:rsidRDefault="00957434" w:rsidP="00BA24C0">
      <w:pPr>
        <w:spacing w:after="0"/>
        <w:jc w:val="both"/>
        <w:rPr>
          <w:rFonts w:ascii="Bookman Old Style" w:hAnsi="Bookman Old Style" w:cs="Times New Roman"/>
          <w:sz w:val="24"/>
          <w:szCs w:val="24"/>
        </w:rPr>
      </w:pPr>
    </w:p>
    <w:p w:rsidR="00EF5DA2" w:rsidRPr="00BA24C0" w:rsidRDefault="00C664C1" w:rsidP="00BA24C0">
      <w:pPr>
        <w:spacing w:after="0"/>
        <w:jc w:val="both"/>
        <w:rPr>
          <w:rFonts w:ascii="Bookman Old Style" w:hAnsi="Bookman Old Style" w:cs="Times New Roman"/>
          <w:sz w:val="24"/>
          <w:szCs w:val="24"/>
        </w:rPr>
      </w:pPr>
      <w:r w:rsidRPr="00BA24C0">
        <w:rPr>
          <w:rFonts w:ascii="Bookman Old Style" w:hAnsi="Bookman Old Style" w:cs="Times New Roman"/>
          <w:sz w:val="24"/>
          <w:szCs w:val="24"/>
        </w:rPr>
        <w:tab/>
        <w:t xml:space="preserve">Obowiązujące przepisy prawa oświatowego wprost nie regulują sytuacji związanej z rozliczeniem dotacji wypłaconej w zaniżonej wysokości, jak również nie ustalają charakteru środków wypłacanych z tego tytułu na podstawie wyroków sądowych. Sam zaś fakt dopuszczalności sądowego dochodzenia </w:t>
      </w:r>
      <w:r w:rsidR="00EF5DA2" w:rsidRPr="00BA24C0">
        <w:rPr>
          <w:rFonts w:ascii="Bookman Old Style" w:hAnsi="Bookman Old Style" w:cs="Times New Roman"/>
          <w:sz w:val="24"/>
          <w:szCs w:val="24"/>
        </w:rPr>
        <w:t xml:space="preserve">należności z tytułu niewypłaconej, a należnej dotacji potwierdził Sąd Najwyższy m.in. w wyroku z dnia 3.01.2007r. (sygn. akt IV CSK </w:t>
      </w:r>
      <w:r w:rsidR="00EF5DA2" w:rsidRPr="00BA24C0">
        <w:rPr>
          <w:rFonts w:ascii="Bookman Old Style" w:hAnsi="Bookman Old Style" w:cs="Times New Roman"/>
          <w:sz w:val="24"/>
          <w:szCs w:val="24"/>
        </w:rPr>
        <w:lastRenderedPageBreak/>
        <w:t xml:space="preserve">312/06), w którym stwierdził, że z art. 90 ustawy o systemie oświaty wynika norma kreująca między Skarbem Państwa lub jednostką samorządu terytorialnego, właściwymi do wypłaty dotacji, a osobami prowadzącymi szkoły lub placówki niepubliczne, uprawnionymi do żądania ich otrzymania, stosunek prawny odpowiadający cechom zobowiązania w rozumieniu </w:t>
      </w:r>
      <w:r w:rsidR="006B745E">
        <w:rPr>
          <w:rFonts w:ascii="Bookman Old Style" w:hAnsi="Bookman Old Style" w:cs="Times New Roman"/>
          <w:sz w:val="24"/>
          <w:szCs w:val="24"/>
        </w:rPr>
        <w:br/>
      </w:r>
      <w:r w:rsidR="00EF5DA2" w:rsidRPr="00BA24C0">
        <w:rPr>
          <w:rFonts w:ascii="Bookman Old Style" w:hAnsi="Bookman Old Style" w:cs="Times New Roman"/>
          <w:sz w:val="24"/>
          <w:szCs w:val="24"/>
        </w:rPr>
        <w:t xml:space="preserve">art. 353 § 1 k.c. Skoro zaś w przepisach ustawy nie przewidziano szczególnego trybu dochodzenia tego rodzaju roszczeń na drodze postępowania administracyjnego, uprawniony może poszukać ochrony prawnej tylko przed sądem powszechnym w postępowaniu cywilnym. </w:t>
      </w:r>
    </w:p>
    <w:p w:rsidR="00957434" w:rsidRPr="00BA24C0" w:rsidRDefault="00957434" w:rsidP="00BA24C0">
      <w:pPr>
        <w:spacing w:after="0"/>
        <w:jc w:val="both"/>
        <w:rPr>
          <w:rFonts w:ascii="Bookman Old Style" w:hAnsi="Bookman Old Style" w:cs="Times New Roman"/>
          <w:sz w:val="24"/>
          <w:szCs w:val="24"/>
        </w:rPr>
      </w:pPr>
    </w:p>
    <w:p w:rsidR="00A6606A" w:rsidRPr="00BA24C0" w:rsidRDefault="00EF5DA2" w:rsidP="00BA24C0">
      <w:pPr>
        <w:spacing w:after="0"/>
        <w:jc w:val="both"/>
        <w:rPr>
          <w:rFonts w:ascii="Bookman Old Style" w:hAnsi="Bookman Old Style" w:cs="Times New Roman"/>
          <w:sz w:val="24"/>
          <w:szCs w:val="24"/>
        </w:rPr>
      </w:pPr>
      <w:r w:rsidRPr="00BA24C0">
        <w:rPr>
          <w:rFonts w:ascii="Bookman Old Style" w:hAnsi="Bookman Old Style" w:cs="Times New Roman"/>
          <w:sz w:val="24"/>
          <w:szCs w:val="24"/>
        </w:rPr>
        <w:tab/>
        <w:t>Tym samym roszczenie o wypłatę dotacji w należnej wysokości wynika zatem bezpośrednio z przepisów prawa materialnego tj. ustawy o systemie oświaty, a w szczególności jej art. 90. Jak zauważył bowiem Sąd Najwyższy przepisy ustawy w jasny sposób określają, kto jest dłużnikiem, a kto wierzycielem. Roszczenie to ma zatem charakter roszczenia o zapłatę należnej dotacji</w:t>
      </w:r>
      <w:r w:rsidR="00A6606A" w:rsidRPr="00BA24C0">
        <w:rPr>
          <w:rFonts w:ascii="Bookman Old Style" w:hAnsi="Bookman Old Style" w:cs="Times New Roman"/>
          <w:sz w:val="24"/>
          <w:szCs w:val="24"/>
        </w:rPr>
        <w:t>. Skoro brak jest podstaw do zakwalifikowania w/w roszczeń jako roszczenia odszkodowawczego to środki te posiadają w dalszym</w:t>
      </w:r>
      <w:r w:rsidRPr="00BA24C0">
        <w:rPr>
          <w:rFonts w:ascii="Bookman Old Style" w:hAnsi="Bookman Old Style" w:cs="Times New Roman"/>
          <w:sz w:val="24"/>
          <w:szCs w:val="24"/>
        </w:rPr>
        <w:t xml:space="preserve"> </w:t>
      </w:r>
      <w:r w:rsidR="00A6606A" w:rsidRPr="00BA24C0">
        <w:rPr>
          <w:rFonts w:ascii="Bookman Old Style" w:hAnsi="Bookman Old Style" w:cs="Times New Roman"/>
          <w:sz w:val="24"/>
          <w:szCs w:val="24"/>
        </w:rPr>
        <w:t xml:space="preserve">ciągu cechy dotacji. Tym samym obowiązek stosowania do dopłaconych do należnej </w:t>
      </w:r>
      <w:r w:rsidR="008F38A0" w:rsidRPr="00BA24C0">
        <w:rPr>
          <w:rFonts w:ascii="Bookman Old Style" w:hAnsi="Bookman Old Style" w:cs="Times New Roman"/>
          <w:sz w:val="24"/>
          <w:szCs w:val="24"/>
        </w:rPr>
        <w:t xml:space="preserve">wysokości środków pieniężnych z tytułu dotacji odpowiednich przepisów prawa, w tym ustanawiającego obowiązek wykorzystania dotacji do końca roku budżetowego, w którym dotacja została faktycznie wypłacona/dopłacona </w:t>
      </w:r>
      <w:r w:rsidRPr="00BA24C0">
        <w:rPr>
          <w:rFonts w:ascii="Bookman Old Style" w:hAnsi="Bookman Old Style" w:cs="Times New Roman"/>
          <w:sz w:val="24"/>
          <w:szCs w:val="24"/>
        </w:rPr>
        <w:t>(tak m.in. RIO w Gdańsku</w:t>
      </w:r>
      <w:r w:rsidR="006B745E">
        <w:rPr>
          <w:rFonts w:ascii="Bookman Old Style" w:hAnsi="Bookman Old Style" w:cs="Times New Roman"/>
          <w:sz w:val="24"/>
          <w:szCs w:val="24"/>
        </w:rPr>
        <w:t xml:space="preserve"> </w:t>
      </w:r>
      <w:r w:rsidRPr="00BA24C0">
        <w:rPr>
          <w:rFonts w:ascii="Bookman Old Style" w:hAnsi="Bookman Old Style" w:cs="Times New Roman"/>
          <w:sz w:val="24"/>
          <w:szCs w:val="24"/>
        </w:rPr>
        <w:t xml:space="preserve">pismo </w:t>
      </w:r>
      <w:r w:rsidR="006B745E">
        <w:rPr>
          <w:rFonts w:ascii="Bookman Old Style" w:hAnsi="Bookman Old Style" w:cs="Times New Roman"/>
          <w:sz w:val="24"/>
          <w:szCs w:val="24"/>
        </w:rPr>
        <w:br/>
      </w:r>
      <w:r w:rsidRPr="00BA24C0">
        <w:rPr>
          <w:rFonts w:ascii="Bookman Old Style" w:hAnsi="Bookman Old Style" w:cs="Times New Roman"/>
          <w:sz w:val="24"/>
          <w:szCs w:val="24"/>
        </w:rPr>
        <w:t>nr RP.0441/in/16/1/2015 z dnia 17.06.2015r.)</w:t>
      </w:r>
      <w:r w:rsidR="00A6606A" w:rsidRPr="00BA24C0">
        <w:rPr>
          <w:rFonts w:ascii="Bookman Old Style" w:hAnsi="Bookman Old Style" w:cs="Times New Roman"/>
          <w:sz w:val="24"/>
          <w:szCs w:val="24"/>
        </w:rPr>
        <w:t xml:space="preserve">. </w:t>
      </w:r>
    </w:p>
    <w:p w:rsidR="00957434" w:rsidRPr="00BA24C0" w:rsidRDefault="00957434" w:rsidP="00BA24C0">
      <w:pPr>
        <w:spacing w:after="0"/>
        <w:jc w:val="both"/>
        <w:rPr>
          <w:rFonts w:ascii="Bookman Old Style" w:hAnsi="Bookman Old Style" w:cs="Times New Roman"/>
          <w:sz w:val="24"/>
          <w:szCs w:val="24"/>
        </w:rPr>
      </w:pPr>
    </w:p>
    <w:p w:rsidR="00C664C1" w:rsidRPr="00BA24C0" w:rsidRDefault="00A6606A" w:rsidP="00BA24C0">
      <w:pPr>
        <w:spacing w:after="0"/>
        <w:jc w:val="both"/>
        <w:rPr>
          <w:rFonts w:ascii="Bookman Old Style" w:hAnsi="Bookman Old Style" w:cs="Times New Roman"/>
          <w:sz w:val="24"/>
          <w:szCs w:val="24"/>
        </w:rPr>
      </w:pPr>
      <w:r w:rsidRPr="00BA24C0">
        <w:rPr>
          <w:rFonts w:ascii="Bookman Old Style" w:hAnsi="Bookman Old Style" w:cs="Times New Roman"/>
          <w:sz w:val="24"/>
          <w:szCs w:val="24"/>
        </w:rPr>
        <w:tab/>
        <w:t>Odmienne stanowisko prezentują jednakże</w:t>
      </w:r>
      <w:r w:rsidR="008F38A0" w:rsidRPr="00BA24C0">
        <w:rPr>
          <w:rFonts w:ascii="Bookman Old Style" w:hAnsi="Bookman Old Style" w:cs="Times New Roman"/>
          <w:sz w:val="24"/>
          <w:szCs w:val="24"/>
        </w:rPr>
        <w:t xml:space="preserve"> sądy administracyjne m.in. w wyroku WSA w Białymstoku z dnia 16.06.2014r. (I SA/Bk 110/14), stwierdzono, że wypłacone środki nie stanowią dotacji. Sąd wskazał jedynie, że wypłacone należności przypomina instytucję „refundacji” przy czym nie wyjaśnił szerzej co należy rozumieć pod tym pojęciem oraz jakie przepisy upoważniają do takiego stanowiska. </w:t>
      </w:r>
      <w:r w:rsidR="00EF5DA2" w:rsidRPr="00BA24C0">
        <w:rPr>
          <w:rFonts w:ascii="Bookman Old Style" w:hAnsi="Bookman Old Style" w:cs="Times New Roman"/>
          <w:sz w:val="24"/>
          <w:szCs w:val="24"/>
        </w:rPr>
        <w:t xml:space="preserve">  </w:t>
      </w:r>
    </w:p>
    <w:p w:rsidR="002117B3" w:rsidRPr="00BA24C0" w:rsidRDefault="00B479C1" w:rsidP="00BA24C0">
      <w:pPr>
        <w:spacing w:after="0"/>
        <w:jc w:val="both"/>
        <w:rPr>
          <w:rFonts w:ascii="Bookman Old Style" w:hAnsi="Bookman Old Style" w:cs="Times New Roman"/>
          <w:sz w:val="24"/>
          <w:szCs w:val="24"/>
        </w:rPr>
      </w:pPr>
      <w:bookmarkStart w:id="0" w:name="_GoBack"/>
      <w:bookmarkEnd w:id="0"/>
      <w:r w:rsidRPr="00BA24C0">
        <w:rPr>
          <w:rFonts w:ascii="Bookman Old Style" w:hAnsi="Bookman Old Style" w:cs="Times New Roman"/>
          <w:sz w:val="24"/>
          <w:szCs w:val="24"/>
        </w:rPr>
        <w:t xml:space="preserve"> </w:t>
      </w:r>
    </w:p>
    <w:sectPr w:rsidR="002117B3" w:rsidRPr="00BA24C0" w:rsidSect="00D67E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452B"/>
    <w:multiLevelType w:val="hybridMultilevel"/>
    <w:tmpl w:val="3AFA0DEC"/>
    <w:lvl w:ilvl="0" w:tplc="B29CBF1C">
      <w:start w:val="1"/>
      <w:numFmt w:val="lowerLetter"/>
      <w:lvlText w:val="%1)"/>
      <w:lvlJc w:val="left"/>
      <w:pPr>
        <w:tabs>
          <w:tab w:val="num" w:pos="720"/>
        </w:tabs>
        <w:ind w:left="720" w:hanging="363"/>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3C596B05"/>
    <w:multiLevelType w:val="hybridMultilevel"/>
    <w:tmpl w:val="1144BF2E"/>
    <w:lvl w:ilvl="0" w:tplc="6706EB7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227C69"/>
    <w:multiLevelType w:val="hybridMultilevel"/>
    <w:tmpl w:val="5B9E4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324468"/>
    <w:rsid w:val="000039E6"/>
    <w:rsid w:val="00007F4E"/>
    <w:rsid w:val="00020F4D"/>
    <w:rsid w:val="00125033"/>
    <w:rsid w:val="001272AA"/>
    <w:rsid w:val="00206242"/>
    <w:rsid w:val="002117B3"/>
    <w:rsid w:val="002126BA"/>
    <w:rsid w:val="002301EA"/>
    <w:rsid w:val="002B1B1A"/>
    <w:rsid w:val="002D0F89"/>
    <w:rsid w:val="0032358F"/>
    <w:rsid w:val="00324468"/>
    <w:rsid w:val="003B5164"/>
    <w:rsid w:val="003C0D44"/>
    <w:rsid w:val="00436018"/>
    <w:rsid w:val="00463B5C"/>
    <w:rsid w:val="0046702C"/>
    <w:rsid w:val="004E41E2"/>
    <w:rsid w:val="004F68FB"/>
    <w:rsid w:val="00522600"/>
    <w:rsid w:val="005703CB"/>
    <w:rsid w:val="0059481B"/>
    <w:rsid w:val="00595F6C"/>
    <w:rsid w:val="0061423B"/>
    <w:rsid w:val="00621C77"/>
    <w:rsid w:val="006B745E"/>
    <w:rsid w:val="007F7738"/>
    <w:rsid w:val="00806C9F"/>
    <w:rsid w:val="00816151"/>
    <w:rsid w:val="008214B4"/>
    <w:rsid w:val="008B5E5B"/>
    <w:rsid w:val="008F38A0"/>
    <w:rsid w:val="00957434"/>
    <w:rsid w:val="00964A7A"/>
    <w:rsid w:val="00995250"/>
    <w:rsid w:val="00A638BE"/>
    <w:rsid w:val="00A6606A"/>
    <w:rsid w:val="00AA4697"/>
    <w:rsid w:val="00AF0070"/>
    <w:rsid w:val="00B479C1"/>
    <w:rsid w:val="00B9785B"/>
    <w:rsid w:val="00BA24C0"/>
    <w:rsid w:val="00BB669D"/>
    <w:rsid w:val="00C617A2"/>
    <w:rsid w:val="00C664C1"/>
    <w:rsid w:val="00D11FAF"/>
    <w:rsid w:val="00D336CF"/>
    <w:rsid w:val="00D67E68"/>
    <w:rsid w:val="00DD47F5"/>
    <w:rsid w:val="00ED2C7B"/>
    <w:rsid w:val="00EF5DA2"/>
    <w:rsid w:val="00F45E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E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4468"/>
    <w:pPr>
      <w:ind w:left="720"/>
      <w:contextualSpacing/>
    </w:pPr>
  </w:style>
  <w:style w:type="paragraph" w:styleId="NormalnyWeb">
    <w:name w:val="Normal (Web)"/>
    <w:basedOn w:val="Normalny"/>
    <w:uiPriority w:val="99"/>
    <w:semiHidden/>
    <w:unhideWhenUsed/>
    <w:rsid w:val="002117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17B3"/>
    <w:rPr>
      <w:color w:val="0000FF"/>
      <w:u w:val="single"/>
    </w:rPr>
  </w:style>
  <w:style w:type="character" w:customStyle="1" w:styleId="fn-ref">
    <w:name w:val="fn-ref"/>
    <w:basedOn w:val="Domylnaczcionkaakapitu"/>
    <w:rsid w:val="002117B3"/>
  </w:style>
  <w:style w:type="character" w:customStyle="1" w:styleId="underline">
    <w:name w:val="underline"/>
    <w:basedOn w:val="Domylnaczcionkaakapitu"/>
    <w:rsid w:val="00522600"/>
  </w:style>
  <w:style w:type="character" w:customStyle="1" w:styleId="anon-block">
    <w:name w:val="anon-block"/>
    <w:basedOn w:val="Domylnaczcionkaakapitu"/>
    <w:rsid w:val="00806C9F"/>
  </w:style>
  <w:style w:type="paragraph" w:styleId="Bezodstpw">
    <w:name w:val="No Spacing"/>
    <w:uiPriority w:val="1"/>
    <w:qFormat/>
    <w:rsid w:val="00595F6C"/>
    <w:pPr>
      <w:spacing w:after="0" w:line="240" w:lineRule="auto"/>
    </w:pPr>
  </w:style>
</w:styles>
</file>

<file path=word/webSettings.xml><?xml version="1.0" encoding="utf-8"?>
<w:webSettings xmlns:r="http://schemas.openxmlformats.org/officeDocument/2006/relationships" xmlns:w="http://schemas.openxmlformats.org/wordprocessingml/2006/main">
  <w:divs>
    <w:div w:id="414057636">
      <w:bodyDiv w:val="1"/>
      <w:marLeft w:val="0"/>
      <w:marRight w:val="0"/>
      <w:marTop w:val="0"/>
      <w:marBottom w:val="0"/>
      <w:divBdr>
        <w:top w:val="none" w:sz="0" w:space="0" w:color="auto"/>
        <w:left w:val="none" w:sz="0" w:space="0" w:color="auto"/>
        <w:bottom w:val="none" w:sz="0" w:space="0" w:color="auto"/>
        <w:right w:val="none" w:sz="0" w:space="0" w:color="auto"/>
      </w:divBdr>
    </w:div>
    <w:div w:id="626661952">
      <w:bodyDiv w:val="1"/>
      <w:marLeft w:val="0"/>
      <w:marRight w:val="0"/>
      <w:marTop w:val="0"/>
      <w:marBottom w:val="0"/>
      <w:divBdr>
        <w:top w:val="none" w:sz="0" w:space="0" w:color="auto"/>
        <w:left w:val="none" w:sz="0" w:space="0" w:color="auto"/>
        <w:bottom w:val="none" w:sz="0" w:space="0" w:color="auto"/>
        <w:right w:val="none" w:sz="0" w:space="0" w:color="auto"/>
      </w:divBdr>
      <w:divsChild>
        <w:div w:id="1891334034">
          <w:marLeft w:val="0"/>
          <w:marRight w:val="0"/>
          <w:marTop w:val="0"/>
          <w:marBottom w:val="0"/>
          <w:divBdr>
            <w:top w:val="none" w:sz="0" w:space="0" w:color="auto"/>
            <w:left w:val="none" w:sz="0" w:space="0" w:color="auto"/>
            <w:bottom w:val="none" w:sz="0" w:space="0" w:color="auto"/>
            <w:right w:val="none" w:sz="0" w:space="0" w:color="auto"/>
          </w:divBdr>
          <w:divsChild>
            <w:div w:id="1559314723">
              <w:marLeft w:val="0"/>
              <w:marRight w:val="0"/>
              <w:marTop w:val="0"/>
              <w:marBottom w:val="0"/>
              <w:divBdr>
                <w:top w:val="none" w:sz="0" w:space="0" w:color="auto"/>
                <w:left w:val="none" w:sz="0" w:space="0" w:color="auto"/>
                <w:bottom w:val="none" w:sz="0" w:space="0" w:color="auto"/>
                <w:right w:val="none" w:sz="0" w:space="0" w:color="auto"/>
              </w:divBdr>
            </w:div>
            <w:div w:id="1757944048">
              <w:marLeft w:val="0"/>
              <w:marRight w:val="0"/>
              <w:marTop w:val="0"/>
              <w:marBottom w:val="0"/>
              <w:divBdr>
                <w:top w:val="none" w:sz="0" w:space="0" w:color="auto"/>
                <w:left w:val="none" w:sz="0" w:space="0" w:color="auto"/>
                <w:bottom w:val="none" w:sz="0" w:space="0" w:color="auto"/>
                <w:right w:val="none" w:sz="0" w:space="0" w:color="auto"/>
              </w:divBdr>
            </w:div>
            <w:div w:id="792603748">
              <w:marLeft w:val="0"/>
              <w:marRight w:val="0"/>
              <w:marTop w:val="0"/>
              <w:marBottom w:val="0"/>
              <w:divBdr>
                <w:top w:val="none" w:sz="0" w:space="0" w:color="auto"/>
                <w:left w:val="none" w:sz="0" w:space="0" w:color="auto"/>
                <w:bottom w:val="none" w:sz="0" w:space="0" w:color="auto"/>
                <w:right w:val="none" w:sz="0" w:space="0" w:color="auto"/>
              </w:divBdr>
            </w:div>
            <w:div w:id="170804777">
              <w:marLeft w:val="0"/>
              <w:marRight w:val="0"/>
              <w:marTop w:val="0"/>
              <w:marBottom w:val="0"/>
              <w:divBdr>
                <w:top w:val="none" w:sz="0" w:space="0" w:color="auto"/>
                <w:left w:val="none" w:sz="0" w:space="0" w:color="auto"/>
                <w:bottom w:val="none" w:sz="0" w:space="0" w:color="auto"/>
                <w:right w:val="none" w:sz="0" w:space="0" w:color="auto"/>
              </w:divBdr>
            </w:div>
            <w:div w:id="493643696">
              <w:marLeft w:val="0"/>
              <w:marRight w:val="0"/>
              <w:marTop w:val="0"/>
              <w:marBottom w:val="0"/>
              <w:divBdr>
                <w:top w:val="none" w:sz="0" w:space="0" w:color="auto"/>
                <w:left w:val="none" w:sz="0" w:space="0" w:color="auto"/>
                <w:bottom w:val="none" w:sz="0" w:space="0" w:color="auto"/>
                <w:right w:val="none" w:sz="0" w:space="0" w:color="auto"/>
              </w:divBdr>
            </w:div>
          </w:divsChild>
        </w:div>
        <w:div w:id="1806655185">
          <w:marLeft w:val="0"/>
          <w:marRight w:val="0"/>
          <w:marTop w:val="0"/>
          <w:marBottom w:val="0"/>
          <w:divBdr>
            <w:top w:val="none" w:sz="0" w:space="0" w:color="auto"/>
            <w:left w:val="none" w:sz="0" w:space="0" w:color="auto"/>
            <w:bottom w:val="none" w:sz="0" w:space="0" w:color="auto"/>
            <w:right w:val="none" w:sz="0" w:space="0" w:color="auto"/>
          </w:divBdr>
          <w:divsChild>
            <w:div w:id="1338848566">
              <w:marLeft w:val="0"/>
              <w:marRight w:val="0"/>
              <w:marTop w:val="0"/>
              <w:marBottom w:val="0"/>
              <w:divBdr>
                <w:top w:val="none" w:sz="0" w:space="0" w:color="auto"/>
                <w:left w:val="none" w:sz="0" w:space="0" w:color="auto"/>
                <w:bottom w:val="none" w:sz="0" w:space="0" w:color="auto"/>
                <w:right w:val="none" w:sz="0" w:space="0" w:color="auto"/>
              </w:divBdr>
              <w:divsChild>
                <w:div w:id="1416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680">
      <w:bodyDiv w:val="1"/>
      <w:marLeft w:val="0"/>
      <w:marRight w:val="0"/>
      <w:marTop w:val="0"/>
      <w:marBottom w:val="0"/>
      <w:divBdr>
        <w:top w:val="none" w:sz="0" w:space="0" w:color="auto"/>
        <w:left w:val="none" w:sz="0" w:space="0" w:color="auto"/>
        <w:bottom w:val="none" w:sz="0" w:space="0" w:color="auto"/>
        <w:right w:val="none" w:sz="0" w:space="0" w:color="auto"/>
      </w:divBdr>
      <w:divsChild>
        <w:div w:id="1409961177">
          <w:marLeft w:val="0"/>
          <w:marRight w:val="0"/>
          <w:marTop w:val="0"/>
          <w:marBottom w:val="0"/>
          <w:divBdr>
            <w:top w:val="none" w:sz="0" w:space="0" w:color="auto"/>
            <w:left w:val="none" w:sz="0" w:space="0" w:color="auto"/>
            <w:bottom w:val="none" w:sz="0" w:space="0" w:color="auto"/>
            <w:right w:val="none" w:sz="0" w:space="0" w:color="auto"/>
          </w:divBdr>
          <w:divsChild>
            <w:div w:id="853419512">
              <w:marLeft w:val="0"/>
              <w:marRight w:val="0"/>
              <w:marTop w:val="0"/>
              <w:marBottom w:val="0"/>
              <w:divBdr>
                <w:top w:val="none" w:sz="0" w:space="0" w:color="auto"/>
                <w:left w:val="none" w:sz="0" w:space="0" w:color="auto"/>
                <w:bottom w:val="none" w:sz="0" w:space="0" w:color="auto"/>
                <w:right w:val="none" w:sz="0" w:space="0" w:color="auto"/>
              </w:divBdr>
            </w:div>
            <w:div w:id="492379863">
              <w:marLeft w:val="0"/>
              <w:marRight w:val="0"/>
              <w:marTop w:val="0"/>
              <w:marBottom w:val="0"/>
              <w:divBdr>
                <w:top w:val="none" w:sz="0" w:space="0" w:color="auto"/>
                <w:left w:val="none" w:sz="0" w:space="0" w:color="auto"/>
                <w:bottom w:val="none" w:sz="0" w:space="0" w:color="auto"/>
                <w:right w:val="none" w:sz="0" w:space="0" w:color="auto"/>
              </w:divBdr>
            </w:div>
            <w:div w:id="615214755">
              <w:marLeft w:val="0"/>
              <w:marRight w:val="0"/>
              <w:marTop w:val="0"/>
              <w:marBottom w:val="0"/>
              <w:divBdr>
                <w:top w:val="none" w:sz="0" w:space="0" w:color="auto"/>
                <w:left w:val="none" w:sz="0" w:space="0" w:color="auto"/>
                <w:bottom w:val="none" w:sz="0" w:space="0" w:color="auto"/>
                <w:right w:val="none" w:sz="0" w:space="0" w:color="auto"/>
              </w:divBdr>
            </w:div>
            <w:div w:id="400561060">
              <w:marLeft w:val="0"/>
              <w:marRight w:val="0"/>
              <w:marTop w:val="0"/>
              <w:marBottom w:val="0"/>
              <w:divBdr>
                <w:top w:val="none" w:sz="0" w:space="0" w:color="auto"/>
                <w:left w:val="none" w:sz="0" w:space="0" w:color="auto"/>
                <w:bottom w:val="none" w:sz="0" w:space="0" w:color="auto"/>
                <w:right w:val="none" w:sz="0" w:space="0" w:color="auto"/>
              </w:divBdr>
            </w:div>
            <w:div w:id="242565907">
              <w:marLeft w:val="0"/>
              <w:marRight w:val="0"/>
              <w:marTop w:val="0"/>
              <w:marBottom w:val="0"/>
              <w:divBdr>
                <w:top w:val="none" w:sz="0" w:space="0" w:color="auto"/>
                <w:left w:val="none" w:sz="0" w:space="0" w:color="auto"/>
                <w:bottom w:val="none" w:sz="0" w:space="0" w:color="auto"/>
                <w:right w:val="none" w:sz="0" w:space="0" w:color="auto"/>
              </w:divBdr>
            </w:div>
          </w:divsChild>
        </w:div>
        <w:div w:id="36898514">
          <w:marLeft w:val="0"/>
          <w:marRight w:val="0"/>
          <w:marTop w:val="0"/>
          <w:marBottom w:val="0"/>
          <w:divBdr>
            <w:top w:val="none" w:sz="0" w:space="0" w:color="auto"/>
            <w:left w:val="none" w:sz="0" w:space="0" w:color="auto"/>
            <w:bottom w:val="none" w:sz="0" w:space="0" w:color="auto"/>
            <w:right w:val="none" w:sz="0" w:space="0" w:color="auto"/>
          </w:divBdr>
          <w:divsChild>
            <w:div w:id="1615093480">
              <w:marLeft w:val="0"/>
              <w:marRight w:val="0"/>
              <w:marTop w:val="0"/>
              <w:marBottom w:val="0"/>
              <w:divBdr>
                <w:top w:val="none" w:sz="0" w:space="0" w:color="auto"/>
                <w:left w:val="none" w:sz="0" w:space="0" w:color="auto"/>
                <w:bottom w:val="none" w:sz="0" w:space="0" w:color="auto"/>
                <w:right w:val="none" w:sz="0" w:space="0" w:color="auto"/>
              </w:divBdr>
              <w:divsChild>
                <w:div w:id="8410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4844">
      <w:bodyDiv w:val="1"/>
      <w:marLeft w:val="0"/>
      <w:marRight w:val="0"/>
      <w:marTop w:val="0"/>
      <w:marBottom w:val="0"/>
      <w:divBdr>
        <w:top w:val="none" w:sz="0" w:space="0" w:color="auto"/>
        <w:left w:val="none" w:sz="0" w:space="0" w:color="auto"/>
        <w:bottom w:val="none" w:sz="0" w:space="0" w:color="auto"/>
        <w:right w:val="none" w:sz="0" w:space="0" w:color="auto"/>
      </w:divBdr>
    </w:div>
    <w:div w:id="939606554">
      <w:bodyDiv w:val="1"/>
      <w:marLeft w:val="0"/>
      <w:marRight w:val="0"/>
      <w:marTop w:val="0"/>
      <w:marBottom w:val="0"/>
      <w:divBdr>
        <w:top w:val="none" w:sz="0" w:space="0" w:color="auto"/>
        <w:left w:val="none" w:sz="0" w:space="0" w:color="auto"/>
        <w:bottom w:val="none" w:sz="0" w:space="0" w:color="auto"/>
        <w:right w:val="none" w:sz="0" w:space="0" w:color="auto"/>
      </w:divBdr>
    </w:div>
    <w:div w:id="19872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10860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asia</cp:lastModifiedBy>
  <cp:revision>2</cp:revision>
  <dcterms:created xsi:type="dcterms:W3CDTF">2019-07-05T13:22:00Z</dcterms:created>
  <dcterms:modified xsi:type="dcterms:W3CDTF">2019-07-05T13:22:00Z</dcterms:modified>
</cp:coreProperties>
</file>