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5B6D" w14:textId="53F08198" w:rsidR="007D5BDD" w:rsidRPr="00356253" w:rsidRDefault="007D5BDD" w:rsidP="009F324F">
      <w:pPr>
        <w:rPr>
          <w:rFonts w:ascii="TitilliumMaps29L" w:hAnsi="TitilliumMaps29L"/>
          <w:color w:val="00B050"/>
          <w:sz w:val="20"/>
          <w:szCs w:val="20"/>
        </w:rPr>
      </w:pPr>
    </w:p>
    <w:p w14:paraId="4CA88ED7" w14:textId="797CBA26" w:rsidR="005F7B5B" w:rsidRPr="00356253" w:rsidRDefault="005F7B5B" w:rsidP="009F324F">
      <w:pPr>
        <w:rPr>
          <w:rFonts w:ascii="TitilliumMaps29L" w:hAnsi="TitilliumMaps29L"/>
          <w:color w:val="00B050"/>
          <w:sz w:val="20"/>
          <w:szCs w:val="20"/>
        </w:rPr>
      </w:pPr>
    </w:p>
    <w:p w14:paraId="40FE4129" w14:textId="75169763" w:rsidR="005F7B5B" w:rsidRPr="00356253" w:rsidRDefault="005F7B5B" w:rsidP="009F324F">
      <w:pPr>
        <w:rPr>
          <w:rFonts w:ascii="TitilliumMaps29L" w:hAnsi="TitilliumMaps29L"/>
          <w:color w:val="00B050"/>
          <w:sz w:val="20"/>
          <w:szCs w:val="20"/>
        </w:rPr>
      </w:pPr>
    </w:p>
    <w:p w14:paraId="7EBA9477" w14:textId="56DEA1D3" w:rsidR="005F7B5B" w:rsidRPr="00356253" w:rsidRDefault="005F7B5B" w:rsidP="009F324F">
      <w:pPr>
        <w:rPr>
          <w:rFonts w:ascii="TitilliumMaps29L" w:hAnsi="TitilliumMaps29L"/>
          <w:color w:val="00B050"/>
          <w:sz w:val="20"/>
          <w:szCs w:val="20"/>
        </w:rPr>
      </w:pPr>
    </w:p>
    <w:p w14:paraId="35F2FA96" w14:textId="45842BA7" w:rsidR="005F7B5B" w:rsidRPr="00356253" w:rsidRDefault="005F7B5B" w:rsidP="009F324F">
      <w:pPr>
        <w:rPr>
          <w:rFonts w:ascii="TitilliumMaps29L" w:hAnsi="TitilliumMaps29L"/>
          <w:color w:val="00B050"/>
          <w:sz w:val="20"/>
          <w:szCs w:val="20"/>
        </w:rPr>
      </w:pPr>
    </w:p>
    <w:p w14:paraId="7A8B735E" w14:textId="77777777" w:rsidR="005F7B5B" w:rsidRPr="00356253" w:rsidRDefault="005F7B5B" w:rsidP="009F324F">
      <w:pPr>
        <w:rPr>
          <w:rFonts w:ascii="TitilliumMaps29L" w:hAnsi="TitilliumMaps29L"/>
          <w:color w:val="00B050"/>
          <w:sz w:val="20"/>
          <w:szCs w:val="20"/>
        </w:rPr>
      </w:pPr>
    </w:p>
    <w:p w14:paraId="0B10C23B" w14:textId="77777777" w:rsidR="00CF7F24" w:rsidRPr="00356253" w:rsidRDefault="00CF7F24" w:rsidP="009F324F">
      <w:pPr>
        <w:jc w:val="center"/>
        <w:rPr>
          <w:rFonts w:ascii="TitilliumMaps29L" w:hAnsi="TitilliumMaps29L"/>
          <w:color w:val="00B050"/>
          <w:szCs w:val="20"/>
        </w:rPr>
      </w:pPr>
    </w:p>
    <w:p w14:paraId="36837B2B" w14:textId="06E3BC72" w:rsidR="00356253" w:rsidRPr="00356253" w:rsidRDefault="00356253" w:rsidP="00356253">
      <w:pPr>
        <w:jc w:val="right"/>
        <w:rPr>
          <w:rFonts w:ascii="TitilliumMaps29L" w:hAnsi="TitilliumMaps29L"/>
          <w:szCs w:val="28"/>
        </w:rPr>
      </w:pPr>
      <w:r w:rsidRPr="00356253">
        <w:rPr>
          <w:rFonts w:ascii="TitilliumMaps29L" w:hAnsi="TitilliumMaps29L"/>
          <w:szCs w:val="28"/>
        </w:rPr>
        <w:t>Poznań, 1</w:t>
      </w:r>
      <w:r w:rsidR="005C5AD4">
        <w:rPr>
          <w:rFonts w:ascii="TitilliumMaps29L" w:hAnsi="TitilliumMaps29L"/>
          <w:szCs w:val="28"/>
        </w:rPr>
        <w:t>2</w:t>
      </w:r>
      <w:r w:rsidRPr="00356253">
        <w:rPr>
          <w:rFonts w:ascii="TitilliumMaps29L" w:hAnsi="TitilliumMaps29L"/>
          <w:szCs w:val="28"/>
        </w:rPr>
        <w:t xml:space="preserve"> </w:t>
      </w:r>
      <w:r w:rsidR="005C5AD4">
        <w:rPr>
          <w:rFonts w:ascii="TitilliumMaps29L" w:hAnsi="TitilliumMaps29L"/>
          <w:szCs w:val="28"/>
        </w:rPr>
        <w:t xml:space="preserve">marca </w:t>
      </w:r>
      <w:bookmarkStart w:id="0" w:name="_GoBack"/>
      <w:bookmarkEnd w:id="0"/>
      <w:r w:rsidRPr="00356253">
        <w:rPr>
          <w:rFonts w:ascii="TitilliumMaps29L" w:hAnsi="TitilliumMaps29L"/>
          <w:szCs w:val="28"/>
        </w:rPr>
        <w:t xml:space="preserve">2019 r. </w:t>
      </w:r>
    </w:p>
    <w:p w14:paraId="2B43A27E" w14:textId="77777777" w:rsidR="00356253" w:rsidRDefault="00356253" w:rsidP="00356253">
      <w:pPr>
        <w:jc w:val="center"/>
        <w:rPr>
          <w:rFonts w:ascii="TitilliumMaps29L" w:hAnsi="TitilliumMaps29L"/>
          <w:b/>
          <w:szCs w:val="28"/>
        </w:rPr>
      </w:pPr>
    </w:p>
    <w:p w14:paraId="69BEA27E" w14:textId="4CCE8EA8" w:rsidR="00356253" w:rsidRDefault="00356253" w:rsidP="00356253">
      <w:pPr>
        <w:jc w:val="center"/>
        <w:rPr>
          <w:rFonts w:ascii="TitilliumMaps29L" w:hAnsi="TitilliumMaps29L"/>
          <w:b/>
          <w:szCs w:val="28"/>
        </w:rPr>
      </w:pPr>
      <w:r>
        <w:rPr>
          <w:rFonts w:ascii="TitilliumMaps29L" w:hAnsi="TitilliumMaps29L"/>
          <w:b/>
          <w:szCs w:val="28"/>
        </w:rPr>
        <w:t>INFORMACJA PRASOWA</w:t>
      </w:r>
    </w:p>
    <w:p w14:paraId="4FEAC03B" w14:textId="77777777" w:rsidR="00356253" w:rsidRDefault="00356253" w:rsidP="00356253">
      <w:pPr>
        <w:jc w:val="center"/>
        <w:rPr>
          <w:rFonts w:ascii="TitilliumMaps29L" w:hAnsi="TitilliumMaps29L"/>
          <w:b/>
          <w:szCs w:val="28"/>
        </w:rPr>
      </w:pPr>
    </w:p>
    <w:p w14:paraId="0431EE77" w14:textId="516CA45F" w:rsidR="00356253" w:rsidRPr="00356253" w:rsidRDefault="00356253" w:rsidP="00356253">
      <w:pPr>
        <w:jc w:val="center"/>
        <w:rPr>
          <w:rFonts w:ascii="TitilliumMaps29L" w:hAnsi="TitilliumMaps29L"/>
          <w:b/>
          <w:szCs w:val="28"/>
        </w:rPr>
      </w:pPr>
      <w:r w:rsidRPr="00356253">
        <w:rPr>
          <w:rFonts w:ascii="TitilliumMaps29L" w:hAnsi="TitilliumMaps29L"/>
          <w:b/>
          <w:szCs w:val="28"/>
        </w:rPr>
        <w:t>Powstał pierwszy w Polsce „Słownik poprawnej segregacji” odpadów!</w:t>
      </w:r>
    </w:p>
    <w:p w14:paraId="0A9601DB" w14:textId="77777777" w:rsidR="00356253" w:rsidRPr="00356253" w:rsidRDefault="00356253" w:rsidP="00356253">
      <w:pPr>
        <w:jc w:val="both"/>
        <w:rPr>
          <w:rFonts w:ascii="TitilliumMaps29L" w:hAnsi="TitilliumMaps29L"/>
          <w:sz w:val="20"/>
          <w:szCs w:val="22"/>
        </w:rPr>
      </w:pPr>
    </w:p>
    <w:p w14:paraId="37D1F1FF" w14:textId="77777777" w:rsidR="00356253" w:rsidRPr="00356253" w:rsidRDefault="00356253" w:rsidP="00356253">
      <w:pPr>
        <w:ind w:firstLine="720"/>
        <w:jc w:val="both"/>
        <w:rPr>
          <w:rFonts w:ascii="TitilliumMaps29L" w:hAnsi="TitilliumMaps29L"/>
          <w:sz w:val="22"/>
        </w:rPr>
      </w:pPr>
      <w:r w:rsidRPr="00356253">
        <w:rPr>
          <w:rFonts w:ascii="TitilliumMaps29L" w:hAnsi="TitilliumMaps29L"/>
          <w:sz w:val="22"/>
        </w:rPr>
        <w:t xml:space="preserve">Specjaliści nie mają wątpliwości – bez dobrej segregacji odpadów „u źródła”, czyli w gospodarstwach domowych, gminy nie osiągną wymaganych poziomów recyklingu. Nie od dziś wiadomo, że proces ten nastręcza mieszkańcom wiele trudności, głównie ze względu na liczne wątpliwości dotyczące kategoryzacji odpadów. Z pomocą przychodzi „Słownik poprawnej segregacji”, który podpowiada, jak segregować aż 450 różnych rodzajów odpadów! </w:t>
      </w:r>
    </w:p>
    <w:p w14:paraId="0C3D8966" w14:textId="77777777" w:rsidR="00356253" w:rsidRPr="00356253" w:rsidRDefault="00356253" w:rsidP="00356253">
      <w:pPr>
        <w:ind w:firstLine="720"/>
        <w:jc w:val="both"/>
        <w:rPr>
          <w:rFonts w:ascii="TitilliumMaps29L" w:hAnsi="TitilliumMaps29L"/>
          <w:sz w:val="22"/>
        </w:rPr>
      </w:pPr>
      <w:r w:rsidRPr="00356253">
        <w:rPr>
          <w:rFonts w:ascii="TitilliumMaps29L" w:hAnsi="TitilliumMaps29L"/>
          <w:sz w:val="22"/>
        </w:rPr>
        <w:t>Do jakiego pojemnika należy wrzucić opakowanie po dezodorancie, papier do pieczenia lub zbite naczynie żaroodporne? Gdzie powinna trafić butelka po chemii gospodarczej i po oleju? Czy kopertę z</w:t>
      </w:r>
      <w:r w:rsidRPr="00356253">
        <w:rPr>
          <w:rFonts w:ascii="Calibri" w:hAnsi="Calibri" w:cs="Calibri"/>
          <w:sz w:val="22"/>
        </w:rPr>
        <w:t> </w:t>
      </w:r>
      <w:r w:rsidRPr="00356253">
        <w:rPr>
          <w:rFonts w:ascii="TitilliumMaps29L" w:hAnsi="TitilliumMaps29L"/>
          <w:sz w:val="22"/>
        </w:rPr>
        <w:t>okienkiem powinni</w:t>
      </w:r>
      <w:r w:rsidRPr="00356253">
        <w:rPr>
          <w:rFonts w:ascii="TitilliumMaps29L" w:hAnsi="TitilliumMaps29L" w:cs="TitilliumMaps29L"/>
          <w:sz w:val="22"/>
        </w:rPr>
        <w:t>ś</w:t>
      </w:r>
      <w:r w:rsidRPr="00356253">
        <w:rPr>
          <w:rFonts w:ascii="TitilliumMaps29L" w:hAnsi="TitilliumMaps29L"/>
          <w:sz w:val="22"/>
        </w:rPr>
        <w:t>my wrzuci</w:t>
      </w:r>
      <w:r w:rsidRPr="00356253">
        <w:rPr>
          <w:rFonts w:ascii="TitilliumMaps29L" w:hAnsi="TitilliumMaps29L" w:cs="TitilliumMaps29L"/>
          <w:sz w:val="22"/>
        </w:rPr>
        <w:t>ć</w:t>
      </w:r>
      <w:r w:rsidRPr="00356253">
        <w:rPr>
          <w:rFonts w:ascii="TitilliumMaps29L" w:hAnsi="TitilliumMaps29L"/>
          <w:sz w:val="22"/>
        </w:rPr>
        <w:t xml:space="preserve"> do kosza z papierem? To tylko niekt</w:t>
      </w:r>
      <w:r w:rsidRPr="00356253">
        <w:rPr>
          <w:rFonts w:ascii="TitilliumMaps29L" w:hAnsi="TitilliumMaps29L" w:cs="TitilliumMaps29L"/>
          <w:sz w:val="22"/>
        </w:rPr>
        <w:t>ó</w:t>
      </w:r>
      <w:r w:rsidRPr="00356253">
        <w:rPr>
          <w:rFonts w:ascii="TitilliumMaps29L" w:hAnsi="TitilliumMaps29L"/>
          <w:sz w:val="22"/>
        </w:rPr>
        <w:t>re z pyta</w:t>
      </w:r>
      <w:r w:rsidRPr="00356253">
        <w:rPr>
          <w:rFonts w:ascii="TitilliumMaps29L" w:hAnsi="TitilliumMaps29L" w:cs="TitilliumMaps29L"/>
          <w:sz w:val="22"/>
        </w:rPr>
        <w:t>ń</w:t>
      </w:r>
      <w:r w:rsidRPr="00356253">
        <w:rPr>
          <w:rFonts w:ascii="TitilliumMaps29L" w:hAnsi="TitilliumMaps29L"/>
          <w:sz w:val="22"/>
        </w:rPr>
        <w:t>, jakie zadaj</w:t>
      </w:r>
      <w:r w:rsidRPr="00356253">
        <w:rPr>
          <w:rFonts w:ascii="TitilliumMaps29L" w:hAnsi="TitilliumMaps29L" w:cs="TitilliumMaps29L"/>
          <w:sz w:val="22"/>
        </w:rPr>
        <w:t>ą</w:t>
      </w:r>
      <w:r w:rsidRPr="00356253">
        <w:rPr>
          <w:rFonts w:ascii="TitilliumMaps29L" w:hAnsi="TitilliumMaps29L"/>
          <w:sz w:val="22"/>
        </w:rPr>
        <w:t xml:space="preserve"> sobie mieszka</w:t>
      </w:r>
      <w:r w:rsidRPr="00356253">
        <w:rPr>
          <w:rFonts w:ascii="TitilliumMaps29L" w:hAnsi="TitilliumMaps29L" w:cs="TitilliumMaps29L"/>
          <w:sz w:val="22"/>
        </w:rPr>
        <w:t>ń</w:t>
      </w:r>
      <w:r w:rsidRPr="00356253">
        <w:rPr>
          <w:rFonts w:ascii="TitilliumMaps29L" w:hAnsi="TitilliumMaps29L"/>
          <w:sz w:val="22"/>
        </w:rPr>
        <w:t>cy, chc</w:t>
      </w:r>
      <w:r w:rsidRPr="00356253">
        <w:rPr>
          <w:rFonts w:ascii="TitilliumMaps29L" w:hAnsi="TitilliumMaps29L" w:cs="TitilliumMaps29L"/>
          <w:sz w:val="22"/>
        </w:rPr>
        <w:t>ą</w:t>
      </w:r>
      <w:r w:rsidRPr="00356253">
        <w:rPr>
          <w:rFonts w:ascii="TitilliumMaps29L" w:hAnsi="TitilliumMaps29L"/>
          <w:sz w:val="22"/>
        </w:rPr>
        <w:t>cy dobrze wype</w:t>
      </w:r>
      <w:r w:rsidRPr="00356253">
        <w:rPr>
          <w:rFonts w:ascii="TitilliumMaps29L" w:hAnsi="TitilliumMaps29L" w:cs="TitilliumMaps29L"/>
          <w:sz w:val="22"/>
        </w:rPr>
        <w:t>ł</w:t>
      </w:r>
      <w:r w:rsidRPr="00356253">
        <w:rPr>
          <w:rFonts w:ascii="TitilliumMaps29L" w:hAnsi="TitilliumMaps29L"/>
          <w:sz w:val="22"/>
        </w:rPr>
        <w:t>ni</w:t>
      </w:r>
      <w:r w:rsidRPr="00356253">
        <w:rPr>
          <w:rFonts w:ascii="TitilliumMaps29L" w:hAnsi="TitilliumMaps29L" w:cs="TitilliumMaps29L"/>
          <w:sz w:val="22"/>
        </w:rPr>
        <w:t>ć</w:t>
      </w:r>
      <w:r w:rsidRPr="00356253">
        <w:rPr>
          <w:rFonts w:ascii="TitilliumMaps29L" w:hAnsi="TitilliumMaps29L"/>
          <w:sz w:val="22"/>
        </w:rPr>
        <w:t xml:space="preserve"> obowi</w:t>
      </w:r>
      <w:r w:rsidRPr="00356253">
        <w:rPr>
          <w:rFonts w:ascii="TitilliumMaps29L" w:hAnsi="TitilliumMaps29L" w:cs="TitilliumMaps29L"/>
          <w:sz w:val="22"/>
        </w:rPr>
        <w:t>ą</w:t>
      </w:r>
      <w:r w:rsidRPr="00356253">
        <w:rPr>
          <w:rFonts w:ascii="TitilliumMaps29L" w:hAnsi="TitilliumMaps29L"/>
          <w:sz w:val="22"/>
        </w:rPr>
        <w:t xml:space="preserve">zek segregacji. Odpowiedzi na te i inne pytania można znaleźć w „Słowniku poprawnej segregacji”, który został opracowany przez ekspertów Działu Edukacji Ekologicznej firmy Abrys oraz Rady RIPOK (Regionalnych Instalacji Przetwarzania Odpadów Komunalnych). W „Słowniku” zebrano i alfabetycznie ułożono 450 odpadów, z którymi mieszkańcy mogą mieć problemy. </w:t>
      </w:r>
    </w:p>
    <w:p w14:paraId="2FCCC5A7" w14:textId="77777777" w:rsidR="00356253" w:rsidRPr="00356253" w:rsidRDefault="00356253" w:rsidP="00356253">
      <w:pPr>
        <w:ind w:firstLine="720"/>
        <w:jc w:val="both"/>
        <w:rPr>
          <w:rFonts w:ascii="TitilliumMaps29L" w:hAnsi="TitilliumMaps29L"/>
          <w:sz w:val="22"/>
        </w:rPr>
      </w:pPr>
      <w:r w:rsidRPr="00356253">
        <w:rPr>
          <w:rFonts w:ascii="TitilliumMaps29L" w:hAnsi="TitilliumMaps29L"/>
          <w:i/>
          <w:sz w:val="22"/>
        </w:rPr>
        <w:t>– „Słownik” powstał, aby ułatwić mieszkańcom postępowanie z odpadami</w:t>
      </w:r>
      <w:r w:rsidRPr="00356253">
        <w:rPr>
          <w:rFonts w:ascii="TitilliumMaps29L" w:hAnsi="TitilliumMaps29L"/>
          <w:sz w:val="22"/>
        </w:rPr>
        <w:t xml:space="preserve"> – mówi Piotr Szewczyk, przewodniczący Rady RIPOK i współautor „Słownika”. – </w:t>
      </w:r>
      <w:r w:rsidRPr="00356253">
        <w:rPr>
          <w:rFonts w:ascii="TitilliumMaps29L" w:hAnsi="TitilliumMaps29L"/>
          <w:i/>
          <w:sz w:val="22"/>
        </w:rPr>
        <w:t xml:space="preserve">Z doświadczenia własnego, jak i moich kolegów wiemy, jak duży wpływ na efektywne działanie sortowni ma prawidłowo przeprowadzona segregacja odpadów w gospodarstwach domowych. „Słownik” to ogromna pomoc dla mieszkańców i powinien trafić do każdego domu. Uniwersalny, prosty i łatwy w percepcji przekaz powinien zachęcić do korzystania z tego opracowania”.     </w:t>
      </w:r>
    </w:p>
    <w:p w14:paraId="5DC768F7" w14:textId="77777777" w:rsidR="00356253" w:rsidRPr="00356253" w:rsidRDefault="00356253" w:rsidP="00356253">
      <w:pPr>
        <w:ind w:firstLine="720"/>
        <w:jc w:val="both"/>
        <w:rPr>
          <w:rFonts w:ascii="TitilliumMaps29L" w:hAnsi="TitilliumMaps29L"/>
          <w:sz w:val="22"/>
        </w:rPr>
      </w:pPr>
      <w:r w:rsidRPr="00356253">
        <w:rPr>
          <w:rFonts w:ascii="TitilliumMaps29L" w:hAnsi="TitilliumMaps29L"/>
          <w:sz w:val="22"/>
        </w:rPr>
        <w:t xml:space="preserve">Oprócz części słownikowej, publikacja zawiera też kilka rozdziałów, w których poruszono inne zagadnienia związane z segregacją odpadów. Ci, którzy niechętnie segregują odpady, dowiedzą się, dlaczego warto to robić. Autorzy gruntownie omówili także najczęściej spotykane zasady tego procesu. W „Słowniku” opisano także poszczególne rodzaje odpadów, w tym opady niebezpieczne, których właściwe zagospodarowanie jest szczególnie ważne z punktu widzenia zdrowia ludzi i ochrony środowiska. Sporo uwagi poświęcono również mitom i stereotypom na temat segregacji odpadów, a jest ich wiele. Jeden z nich dotyczy tego, że segregacja nie ma żadnego znaczenia, bo i tak wszystkie odpady trafiają później do tej samej śmieciarki. Dopełnieniem całości jest wyjaśnienie różnych znaków graficznych umieszczanych na opakowaniach. </w:t>
      </w:r>
    </w:p>
    <w:p w14:paraId="4612A8A4" w14:textId="77777777" w:rsidR="00356253" w:rsidRPr="00356253" w:rsidRDefault="00356253" w:rsidP="00356253">
      <w:pPr>
        <w:ind w:firstLine="720"/>
        <w:jc w:val="both"/>
        <w:rPr>
          <w:rFonts w:ascii="TitilliumMaps29L" w:hAnsi="TitilliumMaps29L"/>
          <w:sz w:val="22"/>
        </w:rPr>
      </w:pPr>
      <w:r w:rsidRPr="00356253">
        <w:rPr>
          <w:rFonts w:ascii="TitilliumMaps29L" w:hAnsi="TitilliumMaps29L"/>
          <w:sz w:val="22"/>
        </w:rPr>
        <w:t xml:space="preserve">„Słownik poprawnej segregacji” jest podstawowym i bardzo wartościowym narzędziem, służącym do nauki segregacji, bez której nie uda nam się sprostać unijnym wymaganiom. Według wymagań Unii Europejskiej, już za dwa lata poziom recyklingu i przygotowania do ponownego odpadów komunalnych ma wynieść 50%! To jest duże wyzwanie i możliwe do spełnienia tylko pod warunkiem  wsparcia mieszkańców przez narzędzia takie jak to rzetelne i mądre opracowanie.          </w:t>
      </w:r>
    </w:p>
    <w:p w14:paraId="54DC7E68" w14:textId="77777777" w:rsidR="00356253" w:rsidRPr="00356253" w:rsidRDefault="00356253" w:rsidP="00356253">
      <w:pPr>
        <w:jc w:val="both"/>
        <w:rPr>
          <w:rFonts w:ascii="TitilliumMaps29L" w:hAnsi="TitilliumMaps29L"/>
          <w:sz w:val="22"/>
        </w:rPr>
      </w:pPr>
    </w:p>
    <w:p w14:paraId="29EA4C07" w14:textId="7DFA1EB6" w:rsidR="00356253" w:rsidRPr="00356253" w:rsidRDefault="00356253" w:rsidP="00356253">
      <w:pPr>
        <w:jc w:val="right"/>
        <w:rPr>
          <w:rFonts w:ascii="TitilliumMaps29L" w:hAnsi="TitilliumMaps29L"/>
          <w:sz w:val="22"/>
        </w:rPr>
      </w:pPr>
      <w:r w:rsidRPr="00356253">
        <w:rPr>
          <w:rFonts w:ascii="TitilliumMaps29L" w:hAnsi="TitilliumMaps29L"/>
          <w:sz w:val="22"/>
        </w:rPr>
        <w:t>Magdalena Bielak</w:t>
      </w:r>
      <w:r>
        <w:rPr>
          <w:rFonts w:ascii="TitilliumMaps29L" w:hAnsi="TitilliumMaps29L"/>
          <w:sz w:val="22"/>
        </w:rPr>
        <w:t xml:space="preserve">, ABRYS Sp. z o.o. </w:t>
      </w:r>
    </w:p>
    <w:p w14:paraId="1C735FC5" w14:textId="77777777" w:rsidR="00356253" w:rsidRPr="00356253" w:rsidRDefault="00356253" w:rsidP="00356253">
      <w:pPr>
        <w:jc w:val="both"/>
        <w:rPr>
          <w:rFonts w:ascii="TitilliumMaps29L" w:hAnsi="TitilliumMaps29L"/>
          <w:sz w:val="22"/>
        </w:rPr>
      </w:pPr>
      <w:r w:rsidRPr="00356253">
        <w:rPr>
          <w:rFonts w:ascii="TitilliumMaps29L" w:hAnsi="TitilliumMaps29L"/>
          <w:sz w:val="22"/>
        </w:rPr>
        <w:t xml:space="preserve"> </w:t>
      </w:r>
    </w:p>
    <w:p w14:paraId="0C80D0F6" w14:textId="7A5F7D34" w:rsidR="001372CB" w:rsidRPr="00356253" w:rsidRDefault="001372CB" w:rsidP="007D5BDD">
      <w:pPr>
        <w:jc w:val="right"/>
        <w:rPr>
          <w:rFonts w:ascii="TitilliumMaps29L" w:hAnsi="TitilliumMaps29L"/>
          <w:sz w:val="22"/>
        </w:rPr>
      </w:pPr>
    </w:p>
    <w:sectPr w:rsidR="001372CB" w:rsidRPr="00356253" w:rsidSect="005F7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3B03B" w14:textId="77777777" w:rsidR="001E7BC4" w:rsidRDefault="001E7BC4" w:rsidP="00AD686C">
      <w:r>
        <w:separator/>
      </w:r>
    </w:p>
  </w:endnote>
  <w:endnote w:type="continuationSeparator" w:id="0">
    <w:p w14:paraId="721319CF" w14:textId="77777777" w:rsidR="001E7BC4" w:rsidRDefault="001E7BC4" w:rsidP="00AD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Maps29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452D" w14:textId="77777777" w:rsidR="000E4BBB" w:rsidRDefault="000E4B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2DF0" w14:textId="26052FD1" w:rsidR="00F9763E" w:rsidRDefault="00F9763E">
    <w:pPr>
      <w:pStyle w:val="Stopka"/>
      <w:jc w:val="center"/>
    </w:pPr>
  </w:p>
  <w:p w14:paraId="0959717C" w14:textId="77777777" w:rsidR="00F9763E" w:rsidRDefault="00F976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E155" w14:textId="77777777" w:rsidR="000E4BBB" w:rsidRDefault="000E4B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9B22" w14:textId="77777777" w:rsidR="001E7BC4" w:rsidRDefault="001E7BC4" w:rsidP="00AD686C">
      <w:r>
        <w:separator/>
      </w:r>
    </w:p>
  </w:footnote>
  <w:footnote w:type="continuationSeparator" w:id="0">
    <w:p w14:paraId="4A5BADA4" w14:textId="77777777" w:rsidR="001E7BC4" w:rsidRDefault="001E7BC4" w:rsidP="00AD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D395" w14:textId="77777777" w:rsidR="00AD686C" w:rsidRDefault="005C5AD4">
    <w:pPr>
      <w:pStyle w:val="Nagwek"/>
    </w:pPr>
    <w:r>
      <w:rPr>
        <w:noProof/>
        <w:lang w:val="en-US"/>
      </w:rPr>
      <w:pict w14:anchorId="08D65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ISTOW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9806" w14:textId="77777777" w:rsidR="00AD686C" w:rsidRDefault="005C5AD4">
    <w:pPr>
      <w:pStyle w:val="Nagwek"/>
    </w:pPr>
    <w:r>
      <w:rPr>
        <w:noProof/>
        <w:lang w:val="en-US"/>
      </w:rPr>
      <w:pict w14:anchorId="2247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ISTOWN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5833" w14:textId="77777777" w:rsidR="00AD686C" w:rsidRDefault="005C5AD4">
    <w:pPr>
      <w:pStyle w:val="Nagwek"/>
    </w:pPr>
    <w:r>
      <w:rPr>
        <w:noProof/>
        <w:lang w:val="en-US"/>
      </w:rPr>
      <w:pict w14:anchorId="2909B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ISTOWN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CE2"/>
    <w:multiLevelType w:val="hybridMultilevel"/>
    <w:tmpl w:val="77F0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7F95"/>
    <w:multiLevelType w:val="hybridMultilevel"/>
    <w:tmpl w:val="00B2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277F"/>
    <w:multiLevelType w:val="hybridMultilevel"/>
    <w:tmpl w:val="6EA428B4"/>
    <w:lvl w:ilvl="0" w:tplc="D5ACA1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979E9"/>
    <w:multiLevelType w:val="hybridMultilevel"/>
    <w:tmpl w:val="8A14A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A1E58"/>
    <w:multiLevelType w:val="hybridMultilevel"/>
    <w:tmpl w:val="9C2E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A766C"/>
    <w:multiLevelType w:val="multilevel"/>
    <w:tmpl w:val="BD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860F4"/>
    <w:multiLevelType w:val="hybridMultilevel"/>
    <w:tmpl w:val="748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F5799"/>
    <w:multiLevelType w:val="hybridMultilevel"/>
    <w:tmpl w:val="99E46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B16DC"/>
    <w:multiLevelType w:val="hybridMultilevel"/>
    <w:tmpl w:val="5206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C1BF3"/>
    <w:multiLevelType w:val="hybridMultilevel"/>
    <w:tmpl w:val="BFC44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6C"/>
    <w:rsid w:val="000254A1"/>
    <w:rsid w:val="000D6D03"/>
    <w:rsid w:val="000E4BBB"/>
    <w:rsid w:val="001372CB"/>
    <w:rsid w:val="001E7BC4"/>
    <w:rsid w:val="003306E6"/>
    <w:rsid w:val="00356253"/>
    <w:rsid w:val="005A5D0C"/>
    <w:rsid w:val="005C5AD4"/>
    <w:rsid w:val="005F7B5B"/>
    <w:rsid w:val="007D5BDD"/>
    <w:rsid w:val="008902E8"/>
    <w:rsid w:val="009047D2"/>
    <w:rsid w:val="00975CEC"/>
    <w:rsid w:val="009F324F"/>
    <w:rsid w:val="00A1048B"/>
    <w:rsid w:val="00A36702"/>
    <w:rsid w:val="00A71231"/>
    <w:rsid w:val="00AD686C"/>
    <w:rsid w:val="00C24684"/>
    <w:rsid w:val="00CC37A3"/>
    <w:rsid w:val="00CF7F24"/>
    <w:rsid w:val="00EF17C1"/>
    <w:rsid w:val="00F9763E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6A318D4"/>
  <w14:defaultImageDpi w14:val="300"/>
  <w15:docId w15:val="{3500DC43-3A1D-45E0-8A7C-C0981246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-blue"/>
    <w:basedOn w:val="Normalny"/>
    <w:next w:val="Normalny"/>
    <w:link w:val="Nagwek1Znak"/>
    <w:autoRedefine/>
    <w:uiPriority w:val="9"/>
    <w:qFormat/>
    <w:rsid w:val="001372CB"/>
    <w:pPr>
      <w:pBdr>
        <w:bottom w:val="single" w:sz="8" w:space="1" w:color="A6A6A6" w:themeColor="background1" w:themeShade="A6"/>
      </w:pBdr>
      <w:spacing w:before="240" w:after="240"/>
      <w:contextualSpacing/>
      <w:outlineLvl w:val="0"/>
    </w:pPr>
    <w:rPr>
      <w:rFonts w:asciiTheme="majorHAnsi" w:eastAsiaTheme="majorEastAsia" w:hAnsiTheme="majorHAnsi" w:cstheme="majorBidi"/>
      <w:smallCaps/>
      <w:color w:val="808080" w:themeColor="background1" w:themeShade="80"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7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86C"/>
  </w:style>
  <w:style w:type="paragraph" w:styleId="Stopka">
    <w:name w:val="footer"/>
    <w:basedOn w:val="Normalny"/>
    <w:link w:val="StopkaZnak"/>
    <w:uiPriority w:val="99"/>
    <w:unhideWhenUsed/>
    <w:rsid w:val="00AD6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86C"/>
  </w:style>
  <w:style w:type="character" w:customStyle="1" w:styleId="Nagwek1Znak">
    <w:name w:val="Nagłówek 1 Znak"/>
    <w:aliases w:val="Nagłówek 1-blue Znak"/>
    <w:basedOn w:val="Domylnaczcionkaakapitu"/>
    <w:link w:val="Nagwek1"/>
    <w:uiPriority w:val="9"/>
    <w:rsid w:val="001372CB"/>
    <w:rPr>
      <w:rFonts w:asciiTheme="majorHAnsi" w:eastAsiaTheme="majorEastAsia" w:hAnsiTheme="majorHAnsi" w:cstheme="majorBidi"/>
      <w:smallCaps/>
      <w:color w:val="808080" w:themeColor="background1" w:themeShade="80"/>
      <w:spacing w:val="5"/>
      <w:sz w:val="36"/>
      <w:szCs w:val="36"/>
      <w:lang w:eastAsia="en-US"/>
    </w:rPr>
  </w:style>
  <w:style w:type="table" w:styleId="Tabela-Siatka">
    <w:name w:val="Table Grid"/>
    <w:basedOn w:val="Standardowy"/>
    <w:uiPriority w:val="39"/>
    <w:rsid w:val="001372CB"/>
    <w:rPr>
      <w:rFonts w:asciiTheme="majorHAnsi" w:eastAsiaTheme="majorEastAsia" w:hAnsiTheme="majorHAns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2C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1372CB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72CB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72CB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72CB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1372CB"/>
    <w:rPr>
      <w:i/>
      <w:i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72C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97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97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7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DEA6D-AF36-42BD-9777-3FC227BF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Fuchs</dc:creator>
  <cp:keywords/>
  <dc:description/>
  <cp:lastModifiedBy>m.maslowska</cp:lastModifiedBy>
  <cp:revision>4</cp:revision>
  <cp:lastPrinted>2019-03-12T10:59:00Z</cp:lastPrinted>
  <dcterms:created xsi:type="dcterms:W3CDTF">2019-01-25T09:36:00Z</dcterms:created>
  <dcterms:modified xsi:type="dcterms:W3CDTF">2019-03-12T10:59:00Z</dcterms:modified>
</cp:coreProperties>
</file>