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CF" w:rsidRPr="00075175" w:rsidRDefault="001A12CF">
      <w:pPr>
        <w:spacing w:after="200" w:line="276" w:lineRule="auto"/>
        <w:jc w:val="left"/>
        <w:rPr>
          <w:rFonts w:asciiTheme="minorHAnsi" w:hAnsiTheme="minorHAnsi"/>
          <w:sz w:val="24"/>
          <w:szCs w:val="24"/>
        </w:rPr>
      </w:pPr>
    </w:p>
    <w:p w:rsidR="00C60611" w:rsidRPr="00075175" w:rsidRDefault="00C60611" w:rsidP="00C60611">
      <w:pPr>
        <w:pStyle w:val="Tytu"/>
        <w:rPr>
          <w:rFonts w:asciiTheme="minorHAnsi" w:hAnsiTheme="minorHAnsi"/>
          <w:sz w:val="24"/>
          <w:szCs w:val="24"/>
        </w:rPr>
      </w:pPr>
      <w:r w:rsidRPr="00075175">
        <w:rPr>
          <w:rFonts w:asciiTheme="minorHAnsi" w:hAnsiTheme="minorHAnsi"/>
          <w:sz w:val="24"/>
          <w:szCs w:val="24"/>
        </w:rPr>
        <w:t>Załącznik nr 7:</w:t>
      </w:r>
    </w:p>
    <w:p w:rsidR="001A12CF" w:rsidRPr="00075175" w:rsidRDefault="001A12CF" w:rsidP="00C60611">
      <w:pPr>
        <w:pStyle w:val="Tytu"/>
        <w:rPr>
          <w:rFonts w:asciiTheme="minorHAnsi" w:hAnsiTheme="minorHAnsi"/>
          <w:sz w:val="24"/>
          <w:szCs w:val="24"/>
        </w:rPr>
      </w:pPr>
      <w:r w:rsidRPr="00075175">
        <w:rPr>
          <w:rFonts w:asciiTheme="minorHAnsi" w:hAnsiTheme="minorHAnsi"/>
          <w:sz w:val="24"/>
          <w:szCs w:val="24"/>
        </w:rPr>
        <w:t xml:space="preserve">Materiał wyjściowy dla ekspertów </w:t>
      </w:r>
      <w:r w:rsidR="00010DCB" w:rsidRPr="00075175">
        <w:rPr>
          <w:rFonts w:asciiTheme="minorHAnsi" w:hAnsiTheme="minorHAnsi"/>
          <w:sz w:val="24"/>
          <w:szCs w:val="24"/>
        </w:rPr>
        <w:t>–</w:t>
      </w:r>
      <w:r w:rsidRPr="00075175">
        <w:rPr>
          <w:rFonts w:asciiTheme="minorHAnsi" w:hAnsiTheme="minorHAnsi"/>
          <w:sz w:val="24"/>
          <w:szCs w:val="24"/>
        </w:rPr>
        <w:t xml:space="preserve"> </w:t>
      </w:r>
      <w:r w:rsidR="00847423" w:rsidRPr="00075175">
        <w:rPr>
          <w:rFonts w:asciiTheme="minorHAnsi" w:hAnsiTheme="minorHAnsi"/>
          <w:sz w:val="24"/>
          <w:szCs w:val="24"/>
        </w:rPr>
        <w:t xml:space="preserve">8 </w:t>
      </w:r>
      <w:r w:rsidRPr="00075175">
        <w:rPr>
          <w:rFonts w:asciiTheme="minorHAnsi" w:hAnsiTheme="minorHAnsi"/>
          <w:sz w:val="24"/>
          <w:szCs w:val="24"/>
        </w:rPr>
        <w:t>obszarów do analiz (zadań)</w:t>
      </w:r>
    </w:p>
    <w:tbl>
      <w:tblPr>
        <w:tblStyle w:val="Tabela-Siatka"/>
        <w:tblW w:w="9634" w:type="dxa"/>
        <w:tblLayout w:type="fixed"/>
        <w:tblCellMar>
          <w:top w:w="57" w:type="dxa"/>
          <w:left w:w="85" w:type="dxa"/>
          <w:bottom w:w="57" w:type="dxa"/>
          <w:right w:w="85" w:type="dxa"/>
        </w:tblCellMar>
        <w:tblLook w:val="04A0"/>
      </w:tblPr>
      <w:tblGrid>
        <w:gridCol w:w="9634"/>
      </w:tblGrid>
      <w:tr w:rsidR="00847423" w:rsidRPr="00075175" w:rsidTr="00F0564F">
        <w:tc>
          <w:tcPr>
            <w:tcW w:w="9634" w:type="dxa"/>
          </w:tcPr>
          <w:p w:rsidR="00847423" w:rsidRPr="00075175" w:rsidRDefault="00847423" w:rsidP="00F0564F">
            <w:pPr>
              <w:pStyle w:val="Nagwek1"/>
              <w:spacing w:before="0" w:after="0"/>
              <w:outlineLvl w:val="0"/>
              <w:rPr>
                <w:rFonts w:asciiTheme="minorHAnsi" w:hAnsiTheme="minorHAnsi"/>
                <w:szCs w:val="24"/>
              </w:rPr>
            </w:pPr>
            <w:r w:rsidRPr="00075175">
              <w:rPr>
                <w:rFonts w:asciiTheme="minorHAnsi" w:hAnsiTheme="minorHAnsi"/>
                <w:szCs w:val="24"/>
              </w:rPr>
              <w:t>Wsparcie kadry jednostek samorządu terytorialnego w zarządzaniu oświatą ukierunkowanym na rozwój szkół i kompetencji kluczowych uczniów  (POWR.02.10.00-IP.02-00-003/15)</w:t>
            </w:r>
          </w:p>
          <w:p w:rsidR="00847423" w:rsidRPr="00075175" w:rsidRDefault="00847423" w:rsidP="00F0564F">
            <w:pPr>
              <w:pStyle w:val="Nagwek1"/>
              <w:outlineLvl w:val="0"/>
              <w:rPr>
                <w:rFonts w:asciiTheme="minorHAnsi" w:hAnsiTheme="minorHAnsi"/>
                <w:szCs w:val="24"/>
              </w:rPr>
            </w:pPr>
            <w:r w:rsidRPr="00075175">
              <w:rPr>
                <w:rFonts w:asciiTheme="minorHAnsi" w:hAnsiTheme="minorHAnsi"/>
                <w:szCs w:val="24"/>
              </w:rPr>
              <w:t xml:space="preserve">Strategiczny przegląd sytuacji w obszarze 3: </w:t>
            </w:r>
          </w:p>
          <w:p w:rsidR="00847423" w:rsidRPr="00075175" w:rsidRDefault="00847423" w:rsidP="00F0564F">
            <w:pPr>
              <w:pStyle w:val="Nagwek1"/>
              <w:spacing w:before="0"/>
              <w:outlineLvl w:val="0"/>
              <w:rPr>
                <w:rFonts w:asciiTheme="minorHAnsi" w:hAnsiTheme="minorHAnsi"/>
                <w:szCs w:val="24"/>
              </w:rPr>
            </w:pPr>
            <w:r w:rsidRPr="00075175">
              <w:rPr>
                <w:rFonts w:asciiTheme="minorHAnsi" w:hAnsiTheme="minorHAnsi"/>
                <w:szCs w:val="24"/>
              </w:rPr>
              <w:t>Organizacja zarządzania usługami edukacyjnymi i zapewnienie kompetentnej kadry na poziomie organu prowadzącego</w:t>
            </w:r>
          </w:p>
        </w:tc>
      </w:tr>
      <w:tr w:rsidR="00847423" w:rsidRPr="00075175" w:rsidTr="00F0564F">
        <w:tc>
          <w:tcPr>
            <w:tcW w:w="9634" w:type="dxa"/>
          </w:tcPr>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Podstawa prawna działania samorządu w tym obszarze</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847423" w:rsidRPr="00075175" w:rsidTr="00F0564F">
        <w:trPr>
          <w:trHeight w:val="2769"/>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Dla sprawnego zarządzania usługami edukacyjnymi jednostki samorządu terytorialnego - na podstawie art. 39 ustawy Prawo oświatowe - kształtują sieć szkół publicznych w sposób zapewniający wysoką jakość nauczania i stan adekwatny do wyzwań rozwojowych oraz rozwiązań edukacyjnych.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Sieć powinna z jednej strony umożliwiać wszystkim dzieciom spełnianie obowiązku szkolnego (obowiązek bezpłatnego dowozu uczniów, jeśli odległość między domem a szkołą przekracza określone w ustawie limity), z drugiej – pozostawać w zgodzie z zasadami gospodarowania środkami publicznymi, określonymi w Ustawie o finansach publicznych „Wydatki publiczne powinny być dokonywane: 1) w sposób celowy i oszczędny, z zachowaniem zasad: a) uzyskiwania najlepszych efektów z danych nakładów, b) optymalnego doboru metod i środków służących osiągnięciu założonych celów” (UFP Art. 44 ust. 3 pkt 1).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Koordynacją usług publicznych w tym edukacyjnych zajmują się z reguły urzędy gmin/miast i starostwa powiatowe. Zagadnienia dotyczące urzędu jednostki samorządowej gminy i powiatu znajdują swoją regulację ustawową odpowiednio w art. 33 ustawy o samorządzie gminnym oraz w art. 33 ustawy o samorządzie powiatowym.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Można przyjąć, że urząd gminy (miasta) czy starostwo powiatowe to wyodrębniony organizacyjnie zespół ludzi i środków majątkowych, stanowiący aparat pomocniczy organów gminy/powiatu, w szczególności organu wykonawczego, jak również zabezpieczający administracyjną obsługę obywateli (R. Budzisz, Urząd gminy (miasta), (w:) M. Stahl, B. Jaworska-Dębska (red.), Encyklopedia samorządu terytorialnego, część 1 Ustrój, Warszawa 2010, s. 241).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Struktura organizacyjna urzędów samorządowych nie została określona ustawowo. W powołanych przepisach ustaw samorządowych wskazano tylko pewne strukturalne elementy organizacji urzędu. Ustawy przewidują również obowiązek określenia organizacji i zasad funkcjonowania urzędu gminy/starostwa powiatowego w regulaminie organizacyjnym, nadanym </w:t>
            </w:r>
            <w:r w:rsidRPr="00075175">
              <w:rPr>
                <w:rFonts w:asciiTheme="minorHAnsi" w:hAnsiTheme="minorHAnsi"/>
                <w:sz w:val="24"/>
                <w:szCs w:val="24"/>
              </w:rPr>
              <w:lastRenderedPageBreak/>
              <w:t>w drodze zarządzenia. Prawidłowa organizacja urzędu powinna zapewnić właściwe realizowanie usług publicznych oraz ich możliwie szeroką dostępność dla członków wspólnoty samorządowej.</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Jak wynika z analizy regulaminów organizacyjnych, jednym z elementów struktury organizacyjnej urzędów jednostek samorządu terytorialnego średniej wielkości i dużych są zwykle wydziały edukacji funkcjonujące samodzielnie lub połączone organizacyjnie z wydziałem kultury, sportu a często też z wydziałem zdrowia. W mniejszych jednostkach samorządu, a te dominują liczebnie, są to kilkuosobowe referaty a nawet stanowiska ds. obsługi oświaty i wtedy większość zadań koncepcyjno-zarządczych spoczywa na kadrze kierowniczej urzędu.</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Zgodnie z art. 10b i n. ustawy o samorządzie gminnym oraz art. 6b i n. ustawy o samorządzie powiatowym, JST może zapewnić wspólną obsługę administracyjną, finansową i organizacyjną prowadzonych szkół i placówek przez „jednostkę obsługującą” - wydzieloną komórkę organizacyjną urzędu lub powołaną do tego celu odrębną jednostkę.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Na podstawie uchwały organu stanowiącego, kierownik jednostki obsługującej (wcześniej ZEAS) może przejąć odpowiedzialność za gospodarkę finansową, rachunkowość i sprawozdawczość jednostki obsługiwanej, zaś wydelegowany przez niego pracownik może pełnić rolę głównego księgowego jednostki objętej wspólną obsługą. Oczywiście rozwiązanie to nie ogranicza kompetencji kierownika jednostki obsługiwanej do dysponowania środkami publicznymi, zaciągania zobowiązań oraz sporządzania planu finansowego.</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Dokładny zakres zadań objętych wspólną obsługą zależy od zapisów uchwały organu stanowiącego. Dotychczas ZEAS zajmowały się zwykle obsługą szkół pod względem księgowym i płacowym. Możliwe jest jednak rozszerzenie tego zakresu i uwzględnienie w nim np. zamówień publicznych, prowadzenia remontów lub obsługi informatycznej.</w:t>
            </w:r>
          </w:p>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t>[do weryfikacji /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lastRenderedPageBreak/>
              <w:t>Analiza ilościowa</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847423" w:rsidRPr="00075175" w:rsidTr="00F0564F">
        <w:trPr>
          <w:trHeight w:val="28"/>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rPr>
              <w:t>Liczba dzieci / oddziałów / jednostek - przedszkola</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Liczba uczniów / oddziałów / jednostek – szkoły</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Liczba etatów w urzędzie JST przypisanych do zarządzania oświatą w relacji do liczby dzieci / uczniów w szkołach i przedszkolach</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Liczba etatów w oddzielnej jednostce budżetowej odpowiedzialnej za obsługę szkół / placówek oświatowych (jeśli dotyczy)</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Relacja łącznej liczby etatów urzędniczych w obszarze oświata do łącznej liczby pracowników urzędu i łącznej liczby dzieci / uczniów w systemie</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lastRenderedPageBreak/>
              <w:t>Wiek i wykształcenie pracowników oświatowych w urzędzie JST</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Różnica między łącznymi wydatkami na oświatę a subwencją oświatową</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Wydatki finansowe na oświatę z funduszy zewnętrznych (UE, krajowych) w relacji do całkowitych wydatków na zadania oświatowe i edukacyjną opiekę wychowawczą / w przeliczeniu na jednego ucznia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 uczniów uczęszczających do szkół niepublicznych</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Wydatki na dowożenie uczniów do szkół (rozdział 80113) w przeliczeniu na 1 ucznia i w relacji do bieżących wydatków oświatowych</w:t>
            </w:r>
          </w:p>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t>[do weryfikacji /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lastRenderedPageBreak/>
              <w:t>Rola organu prowadzącego</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847423" w:rsidRPr="00075175" w:rsidTr="00F0564F">
        <w:trPr>
          <w:trHeight w:val="1209"/>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rPr>
              <w:t xml:space="preserve">Jednym z warunków skutecznego zarządzania usługami edukacyjnymi jest stworzenie sprawnej i efektywnie działającej struktury organizacyjnej lokalnego systemu oświaty. </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Podział zadań w urzędzie oraz relacje między organem prowadzącym, jednostką obsługującą szkoły (jeśli występuje) i kadrą kierowniczą tych ostatnich powinien być klarowny i odzwierciedlać przyjęte podejście do zarządzania oświatą.</w:t>
            </w:r>
          </w:p>
          <w:p w:rsidR="00847423" w:rsidRPr="00075175" w:rsidRDefault="00847423" w:rsidP="00F0564F">
            <w:pPr>
              <w:rPr>
                <w:rFonts w:asciiTheme="minorHAnsi" w:hAnsiTheme="minorHAnsi"/>
                <w:sz w:val="24"/>
                <w:szCs w:val="24"/>
              </w:rPr>
            </w:pPr>
            <w:r w:rsidRPr="00075175">
              <w:rPr>
                <w:rFonts w:asciiTheme="minorHAnsi" w:hAnsiTheme="minorHAnsi"/>
                <w:sz w:val="24"/>
                <w:szCs w:val="24"/>
              </w:rPr>
              <w:t>Szczegółowa analiza obowiązujących aktów prawnych pozwala zidentyfikować obszerną listę zadań urzędu gminy / powiatu w zakresie zarządzania lokalną oświatą . Zadania te można zestawić w kilka grup tematycznych, które opisują kluczowe funkcje urzędu w obszarze „Organizacja zarządzania usługami edukacyjnymi na poziomie JST”:</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Tworzenie, wdrażanie i monitorowanie lokalnej polityki oświatowej - Projekty strategii, programów i planów pracy dot. rozwoju usług edukacyjnych. Ocena efektów i przygotowywanie sprawozdań opisujących postępy w tym zakresie.</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Wspieranie Rady Gminy / Powiatu w procesie stanowienia lokalnego prawa w zakresie oświaty - Przygotowanie analiz i materiałów oraz projektów aktów prawnych, koordynacja wykonania podjętych uchwał</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Monitorowanie procesu świadczenia usług edukacyjnych – Gromadzenie informacji, przygotowanie sprawozdań i danych do SIO oraz systemu statystyki publicznej, w tym danych o potrzebach osób niepełnosprawnych.</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Tworzenie i zarządzanie siecią szkół, przedszkoli i placówek edukacyjnych – Powoływanie i likwidowanie jednostek, nadawanie statutów, prowadzenie ewidencji, zatwierdzanie arkuszy organizacji szkół i placówek</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lastRenderedPageBreak/>
              <w:t>Finansowanie działań oświatowych i nadzorowanie sposobu wykorzystania środków - Dysponowanie budżetem JST na zadania oświatowe. Analiza planów i sprawozdań finansowych szkół i placówek. Udzielanie dotacji dla szkół i placówek edukacyjnych (publicznych i niepublicznych). Koordynacja działań związanych z pozyskiwaniem i rozliczaniem funduszy na realizację projektów edukacyjnych.</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Wybór i nadzorowanie dyrektorów szkół / placówek – Organizacja konkursów, ocena ich pracy, motywowanie i doskonalenie jako kierowników zakładów. Wnioskowanie o odznaczenia i nagrody dla dyrektorów.</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Sprawowanie nadzoru nad działalnością szkół i placówek – Kontrola prawidłowości dysponowania środkami budżetowymi, gospodarowania mieniem, przestrzegania przepisów bhp oraz zasad organizacji pracy szkoły / placówki.</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Wyznaczanie ram polityki kadrowej i płacowej w szkołach i placówkach edukacyjnych - Określanie zasad rozliczania obowiązkowego wymiaru godzin pracy nauczycieli. Ustalanie regulaminu ich wynagradzania. Tworzenie funduszu nagród. Finansowanie doskonalenia zawodowego oraz powoływanie komisji egzaminacyjnej na stopień nauczyciela mianowanego.</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 xml:space="preserve">Wspieranie uczniów w realizacji obowiązku szkolnego – Zapewnienie dowozu dzieci / uczniów do przedszkoli i szkół. Pomoc stypendialna dla uczniów. Organizacja konkursów oraz inicjatyw wspomagających edukację na poziomie lokalnym. </w:t>
            </w:r>
          </w:p>
          <w:p w:rsidR="00847423" w:rsidRPr="00075175" w:rsidRDefault="00847423" w:rsidP="00847423">
            <w:pPr>
              <w:numPr>
                <w:ilvl w:val="0"/>
                <w:numId w:val="11"/>
              </w:numPr>
              <w:rPr>
                <w:rFonts w:asciiTheme="minorHAnsi" w:hAnsiTheme="minorHAnsi"/>
                <w:sz w:val="24"/>
                <w:szCs w:val="24"/>
              </w:rPr>
            </w:pPr>
            <w:r w:rsidRPr="00075175">
              <w:rPr>
                <w:rFonts w:asciiTheme="minorHAnsi" w:hAnsiTheme="minorHAnsi"/>
                <w:sz w:val="24"/>
                <w:szCs w:val="24"/>
              </w:rPr>
              <w:t>Koordynacja działań podejmowanych przez różne podmioty w sferze oświaty na terenie gminy / powiatu.</w:t>
            </w:r>
          </w:p>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t>[do weryfikacji /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lastRenderedPageBreak/>
              <w:t>Narzędzia i rozwiązania zarządcze</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847423" w:rsidRPr="00075175" w:rsidTr="00F0564F">
        <w:trPr>
          <w:trHeight w:val="545"/>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t>[do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Dobre praktyki</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 xml:space="preserve">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w:t>
            </w:r>
            <w:r w:rsidRPr="00075175">
              <w:rPr>
                <w:rFonts w:asciiTheme="minorHAnsi" w:hAnsiTheme="minorHAnsi"/>
                <w:i/>
                <w:sz w:val="24"/>
                <w:szCs w:val="24"/>
              </w:rPr>
              <w:lastRenderedPageBreak/>
              <w:t>dotyczą? W jakiej mierze są ilustracją omówionych wcześniej narzędzi? Kto i dlaczego powinien się zapoznać z opisem? Na co ma zwrócić uwagę?</w:t>
            </w:r>
          </w:p>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847423" w:rsidRPr="00075175" w:rsidTr="00F0564F">
        <w:trPr>
          <w:trHeight w:val="28"/>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847423" w:rsidRPr="00075175" w:rsidTr="00F0564F">
        <w:trPr>
          <w:trHeight w:val="933"/>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t>[do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r w:rsidR="00847423" w:rsidRPr="00075175" w:rsidTr="00F0564F">
        <w:tc>
          <w:tcPr>
            <w:tcW w:w="9634" w:type="dxa"/>
          </w:tcPr>
          <w:p w:rsidR="00847423" w:rsidRPr="00075175" w:rsidRDefault="00847423"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847423" w:rsidRPr="00075175" w:rsidTr="00F0564F">
        <w:tc>
          <w:tcPr>
            <w:tcW w:w="9634" w:type="dxa"/>
            <w:shd w:val="clear" w:color="auto" w:fill="D9D9D9" w:themeFill="background1" w:themeFillShade="D9"/>
          </w:tcPr>
          <w:p w:rsidR="00847423" w:rsidRPr="00075175" w:rsidRDefault="00847423" w:rsidP="00F0564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847423" w:rsidRPr="00075175" w:rsidTr="00F0564F">
        <w:trPr>
          <w:trHeight w:val="1200"/>
        </w:trPr>
        <w:tc>
          <w:tcPr>
            <w:tcW w:w="9634" w:type="dxa"/>
          </w:tcPr>
          <w:p w:rsidR="00847423" w:rsidRPr="00075175" w:rsidRDefault="00847423" w:rsidP="00F0564F">
            <w:pPr>
              <w:rPr>
                <w:rFonts w:asciiTheme="minorHAnsi" w:hAnsiTheme="minorHAnsi"/>
                <w:sz w:val="24"/>
                <w:szCs w:val="24"/>
              </w:rPr>
            </w:pPr>
            <w:r w:rsidRPr="00075175">
              <w:rPr>
                <w:rFonts w:asciiTheme="minorHAnsi" w:hAnsiTheme="minorHAnsi"/>
                <w:sz w:val="24"/>
                <w:szCs w:val="24"/>
                <w:highlight w:val="yellow"/>
              </w:rPr>
              <w:t>[do uzupełnienia]</w:t>
            </w:r>
          </w:p>
          <w:p w:rsidR="00847423" w:rsidRPr="00075175" w:rsidRDefault="00847423" w:rsidP="00F0564F">
            <w:pPr>
              <w:rPr>
                <w:rFonts w:asciiTheme="minorHAnsi" w:hAnsiTheme="minorHAnsi"/>
                <w:sz w:val="24"/>
                <w:szCs w:val="24"/>
              </w:rPr>
            </w:pPr>
          </w:p>
          <w:p w:rsidR="00847423" w:rsidRPr="00075175" w:rsidRDefault="00847423" w:rsidP="00F0564F">
            <w:pPr>
              <w:rPr>
                <w:rFonts w:asciiTheme="minorHAnsi" w:hAnsiTheme="minorHAnsi"/>
                <w:sz w:val="24"/>
                <w:szCs w:val="24"/>
              </w:rPr>
            </w:pPr>
          </w:p>
        </w:tc>
      </w:tr>
    </w:tbl>
    <w:p w:rsidR="00847423" w:rsidRPr="00075175" w:rsidRDefault="00847423" w:rsidP="00847423">
      <w:pPr>
        <w:rPr>
          <w:rFonts w:asciiTheme="minorHAnsi" w:hAnsiTheme="minorHAnsi"/>
          <w:sz w:val="24"/>
          <w:szCs w:val="24"/>
        </w:rPr>
      </w:pPr>
    </w:p>
    <w:tbl>
      <w:tblPr>
        <w:tblStyle w:val="Tabela-Siatka"/>
        <w:tblW w:w="9634" w:type="dxa"/>
        <w:tblLayout w:type="fixed"/>
        <w:tblCellMar>
          <w:top w:w="57" w:type="dxa"/>
          <w:left w:w="85" w:type="dxa"/>
          <w:bottom w:w="57" w:type="dxa"/>
          <w:right w:w="85" w:type="dxa"/>
        </w:tblCellMar>
        <w:tblLook w:val="04A0"/>
      </w:tblPr>
      <w:tblGrid>
        <w:gridCol w:w="9634"/>
      </w:tblGrid>
      <w:tr w:rsidR="00F762C7" w:rsidRPr="00075175" w:rsidTr="00F0564F">
        <w:tc>
          <w:tcPr>
            <w:tcW w:w="9634" w:type="dxa"/>
          </w:tcPr>
          <w:p w:rsidR="00F762C7" w:rsidRPr="00075175" w:rsidRDefault="00F762C7" w:rsidP="00F0564F">
            <w:pPr>
              <w:pStyle w:val="Nagwek1"/>
              <w:spacing w:before="0" w:after="0"/>
              <w:outlineLvl w:val="0"/>
              <w:rPr>
                <w:rFonts w:asciiTheme="minorHAnsi" w:hAnsiTheme="minorHAnsi"/>
                <w:szCs w:val="24"/>
              </w:rPr>
            </w:pPr>
            <w:r w:rsidRPr="00075175">
              <w:rPr>
                <w:rFonts w:asciiTheme="minorHAnsi" w:hAnsiTheme="minorHAnsi"/>
                <w:szCs w:val="24"/>
              </w:rPr>
              <w:lastRenderedPageBreak/>
              <w:t>Wsparcie kadry jednostek samorządu terytorialnego w zarządzaniu oświatą ukierunkowanym na rozwój szkół i kompetencji kluczowych uczniów  (POWR.02.10.00-IP.02-00-003/15)</w:t>
            </w:r>
          </w:p>
          <w:p w:rsidR="00F762C7" w:rsidRPr="00075175" w:rsidRDefault="00F762C7" w:rsidP="00F0564F">
            <w:pPr>
              <w:pStyle w:val="Nagwek1"/>
              <w:outlineLvl w:val="0"/>
              <w:rPr>
                <w:rFonts w:asciiTheme="minorHAnsi" w:hAnsiTheme="minorHAnsi"/>
                <w:szCs w:val="24"/>
              </w:rPr>
            </w:pPr>
            <w:r w:rsidRPr="00075175">
              <w:rPr>
                <w:rFonts w:asciiTheme="minorHAnsi" w:hAnsiTheme="minorHAnsi"/>
                <w:szCs w:val="24"/>
              </w:rPr>
              <w:t xml:space="preserve">Strategiczny przegląd sytuacji w obszarze 5: </w:t>
            </w:r>
          </w:p>
          <w:p w:rsidR="00F762C7" w:rsidRPr="00075175" w:rsidRDefault="00F762C7" w:rsidP="00F0564F">
            <w:pPr>
              <w:pStyle w:val="Nagwek1"/>
              <w:spacing w:before="0"/>
              <w:jc w:val="left"/>
              <w:outlineLvl w:val="0"/>
              <w:rPr>
                <w:rFonts w:asciiTheme="minorHAnsi" w:hAnsiTheme="minorHAnsi"/>
                <w:szCs w:val="24"/>
              </w:rPr>
            </w:pPr>
            <w:r w:rsidRPr="00075175">
              <w:rPr>
                <w:rFonts w:asciiTheme="minorHAnsi" w:hAnsiTheme="minorHAnsi"/>
                <w:szCs w:val="24"/>
              </w:rPr>
              <w:t>System wspomagania szkół - motywowanie i doskonalenie nauczycieli</w:t>
            </w:r>
          </w:p>
        </w:tc>
      </w:tr>
      <w:tr w:rsidR="00F762C7" w:rsidRPr="00075175" w:rsidTr="00F0564F">
        <w:tc>
          <w:tcPr>
            <w:tcW w:w="9634" w:type="dxa"/>
          </w:tcPr>
          <w:p w:rsidR="00F762C7" w:rsidRPr="00075175" w:rsidRDefault="00F762C7" w:rsidP="00F0564F">
            <w:pPr>
              <w:rPr>
                <w:rFonts w:asciiTheme="minorHAnsi" w:hAnsiTheme="minorHAnsi"/>
                <w:sz w:val="24"/>
                <w:szCs w:val="24"/>
              </w:rPr>
            </w:pPr>
          </w:p>
        </w:tc>
      </w:tr>
      <w:tr w:rsidR="00F762C7" w:rsidRPr="00075175" w:rsidTr="00F0564F">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Podstawa prawna działania samorządu w tym obszarze</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F762C7" w:rsidRPr="00075175" w:rsidTr="00F0564F">
        <w:trPr>
          <w:trHeight w:val="3402"/>
        </w:trPr>
        <w:tc>
          <w:tcPr>
            <w:tcW w:w="9634" w:type="dxa"/>
          </w:tcPr>
          <w:p w:rsidR="00F762C7" w:rsidRPr="00075175" w:rsidRDefault="00F762C7" w:rsidP="00F0564F">
            <w:pPr>
              <w:rPr>
                <w:rFonts w:asciiTheme="minorHAnsi" w:hAnsiTheme="minorHAnsi"/>
                <w:sz w:val="24"/>
                <w:szCs w:val="24"/>
              </w:rPr>
            </w:pPr>
            <w:r w:rsidRPr="00075175">
              <w:rPr>
                <w:rFonts w:asciiTheme="minorHAnsi" w:hAnsiTheme="minorHAnsi"/>
                <w:sz w:val="24"/>
                <w:szCs w:val="24"/>
              </w:rPr>
              <w:t>Obowiązki nauczycieli zostały wymienione w art. 6 ustawy Karta Nauczyciela – m.in. rzetelnie realizowanie zadań związanych z dydaktyczną, wychowawczą i opiekuńczą funkcją szkoły, zapewnienie bezpieczeństwa uczniom, wspieranie każdego ucznia w rozwoju, dążenie do pełni własnego rozwoju osobowego itd.</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Do oceny pracy nauczycieli stosuje się art. 6a ustawy Karta Nauczyciela, zaś do oceny ich dorobku zawodowego (w procesie ubiegania się o wyższy stopnień awansu zawodowego) - art. 9c ust. 6 ustawy Karta Nauczyciela.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Zmaterializowaną formą doceniania wyróżniających się nauczycieli i dyrektorów szkół są dodatki: funkcyjny i motywacyjny a także nagroda organu prowadzącego. </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Wykaz stanowisk oraz sprawowanych funkcji uprawniających nauczycieli do dodatku funkcyjnego a także ogólne warunki przyznawania nauczycielom dodatku motywacyjnego zostały uregulowane w rozporządzeniu Ministra Edukacji Narodowej i Sportu z dnia 31 stycznia 2005 r. w sprawie wysokości minimalnych stawek wynagrodzenia zasadniczego nauczycieli, ogólnych warunków przyznawania dodatków do wynagrodzenia zasadniczego oraz wynagradzania za pracę w dniu wolnym od pracy.</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Zgodnie z §5 powołanego rozporządzenia do uzyskania dodatku funkcyjnego uprawnieni są nauczyciele, którym powierzono:</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1) stanowisko dyrektora lub wicedyrektora przedszkola, szkoły, placówki lub innej jednostki organizacyjnej, o której mowa w art. 1 ust. 1 i 1a Karty Nauczyciela, albo inne stanowisko kierownicze przewidziane w statucie szkoły;</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2) sprawowanie funkcji: (a) wychowawcy klasy, (b) doradcy metodycznego lub nauczyciela-konsultanta, (c) opiekuna stażu.</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Natomiast w myśl §6 powołanego rozporządzenia, do ogólnych warunków przyznawania nauczycielom dodatku motywacyjnego należą: (1) osiągnięcia w realizowanym procesie dydaktycznym; (2) osiągnięcia wychowawczo-opiekuńcze; (3) wprowadzanie innowacji pedagogicznych, skutkujących efektami w procesie kształcenia i wychowania; (4) zaangażowanie w realizację czynności i zajęć, o których mowa w art. 42 ust. 2 pkt 2 Karty Nauczyciela; (5) szczególnie efektywne wypełnianie zadań i obowiązków związanych z powierzonym stanowiskiem; (6) realizowanie w szkole zadań edukacyjnych, wynikających z przyjętych przez </w:t>
            </w:r>
            <w:r w:rsidRPr="00075175">
              <w:rPr>
                <w:rFonts w:asciiTheme="minorHAnsi" w:hAnsiTheme="minorHAnsi"/>
                <w:sz w:val="24"/>
                <w:szCs w:val="24"/>
              </w:rPr>
              <w:lastRenderedPageBreak/>
              <w:t>organ prowadzący priorytetów w realizowanej, lokalnej polityce oświatowej.</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Fundusz na nagrody dla nauczycieli, za ich osiągnięcia dydaktyczno-wychowawcze, tworzy się m.in. w budżetach organów prowadzących szkoły w wysokości co najmniej 1% planowanych rocznych wynagrodzeń osobowych, z przeznaczeniem na wypłaty nagród organów prowadzących szkoły i dyrektorów szkół (art. 49 ust. 1 pkt 1 ustawy – Karta Nauczyciela).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Zasady finansowania dokształcania i doskonalenia zawodowego nauczycieli zostały uregulowane w ustawie Karta Nauczyciela. W myśl art. 70a tej ustawy w budżetach organów prowadzących szkoły wyodrębnia się środki na dofinansowanie doskonalenia zawodowego nauczycieli z uwzględnieniem doradztwa metodycznego - w wysokości 1% planowanych rocznych środków przeznaczonych na wynagrodzenia osobowe nauczycieli. </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W rozporządzeniu MEN z 29 marca 2002 r. określono zasady podziału środków na wspieranie doskonalenia zawodowego nauczycieli pomiędzy budżety poszczególnych wojewodów. Po zmianach wprowadzonych 10 listopada 2015 r. stanowi ono, że na każdy rok szkolny dyrektor szkoły lub placówki określa potrzeby w zakresie doskonalenia zawodowego nauczycieli, uwzględniając: (i) wyniki ewaluacji wewnętrznej i zewnętrznej, (ii) wyniki sprawdzianów / egzaminów, (iii) zadania związane z realizacją podstawy programowej, (iv) wymagania wobec szkół i placówek, wynikające z art. 21a ust. 3 ustawy o systemie oświaty, (v) wnioski nauczycieli o dofinansowanie kosztów niektórych form doskonalenia zawodowego.</w:t>
            </w:r>
          </w:p>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t>[do weryfikacji /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color w:val="0070C0"/>
                <w:sz w:val="24"/>
                <w:szCs w:val="24"/>
              </w:rPr>
            </w:pPr>
          </w:p>
        </w:tc>
      </w:tr>
      <w:tr w:rsidR="00F762C7" w:rsidRPr="00075175" w:rsidTr="00F0564F">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lastRenderedPageBreak/>
              <w:t>Analiza ilościowa</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F762C7" w:rsidRPr="00075175" w:rsidTr="00F0564F">
        <w:trPr>
          <w:trHeight w:val="31"/>
        </w:trPr>
        <w:tc>
          <w:tcPr>
            <w:tcW w:w="9634" w:type="dxa"/>
          </w:tcPr>
          <w:p w:rsidR="00F762C7" w:rsidRPr="00075175" w:rsidRDefault="00F762C7" w:rsidP="00F0564F">
            <w:pPr>
              <w:rPr>
                <w:rFonts w:asciiTheme="minorHAnsi" w:hAnsiTheme="minorHAnsi"/>
                <w:sz w:val="24"/>
                <w:szCs w:val="24"/>
                <w:u w:val="single"/>
              </w:rPr>
            </w:pPr>
            <w:r w:rsidRPr="00075175">
              <w:rPr>
                <w:rFonts w:asciiTheme="minorHAnsi" w:hAnsiTheme="minorHAnsi"/>
                <w:sz w:val="24"/>
                <w:szCs w:val="24"/>
                <w:u w:val="single"/>
              </w:rPr>
              <w:t>Kadra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Przeciętny wiek nauczyciela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Przeciętny staż pracy nauczyciela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Procent nauczycieli dyplomowanych wśród nauczycieli</w:t>
            </w:r>
          </w:p>
          <w:p w:rsidR="00F762C7" w:rsidRPr="00075175" w:rsidRDefault="00F762C7" w:rsidP="00F0564F">
            <w:pPr>
              <w:rPr>
                <w:rFonts w:asciiTheme="minorHAnsi" w:hAnsiTheme="minorHAnsi"/>
                <w:sz w:val="24"/>
                <w:szCs w:val="24"/>
                <w:u w:val="single"/>
              </w:rPr>
            </w:pPr>
            <w:r w:rsidRPr="00075175">
              <w:rPr>
                <w:rFonts w:asciiTheme="minorHAnsi" w:hAnsiTheme="minorHAnsi"/>
                <w:sz w:val="24"/>
                <w:szCs w:val="24"/>
                <w:u w:val="single"/>
              </w:rPr>
              <w:t>Wykorzystanie kadry</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Liczba godzin nauczania przypadająca tygodniowo na jednego nauczyciela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Procent pełnozatrudnionych pracowników pedagogicznych</w:t>
            </w:r>
          </w:p>
          <w:p w:rsidR="00F762C7" w:rsidRPr="00075175" w:rsidRDefault="00F762C7" w:rsidP="00F0564F">
            <w:pPr>
              <w:rPr>
                <w:rFonts w:asciiTheme="minorHAnsi" w:hAnsiTheme="minorHAnsi"/>
                <w:sz w:val="24"/>
                <w:szCs w:val="24"/>
                <w:u w:val="single"/>
              </w:rPr>
            </w:pPr>
            <w:r w:rsidRPr="00075175">
              <w:rPr>
                <w:rFonts w:asciiTheme="minorHAnsi" w:hAnsiTheme="minorHAnsi"/>
                <w:sz w:val="24"/>
                <w:szCs w:val="24"/>
                <w:u w:val="single"/>
              </w:rPr>
              <w:t>Wynagrodzenia</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Przeciętne miesięczne wynagrodzenie pracownika pedagogicznego</w:t>
            </w:r>
          </w:p>
          <w:p w:rsidR="00F762C7" w:rsidRPr="00075175" w:rsidRDefault="00F762C7" w:rsidP="00F0564F">
            <w:pPr>
              <w:rPr>
                <w:rFonts w:asciiTheme="minorHAnsi" w:hAnsiTheme="minorHAnsi"/>
                <w:sz w:val="24"/>
                <w:szCs w:val="24"/>
                <w:u w:val="single"/>
              </w:rPr>
            </w:pPr>
            <w:r w:rsidRPr="00075175">
              <w:rPr>
                <w:rFonts w:asciiTheme="minorHAnsi" w:hAnsiTheme="minorHAnsi"/>
                <w:sz w:val="24"/>
                <w:szCs w:val="24"/>
                <w:u w:val="single"/>
              </w:rPr>
              <w:t>Doskonalenie nauczycieli</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Wydatki na dokształcanie nauczycieli w przeliczeniu na jeden etat nauczycielski</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lastRenderedPageBreak/>
              <w:t>Liczba nauczycieli doradców metodycznych w relacji do liczby nauczycieli</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środków na doskonalenie nauczycieli przeznaczona na studia licencjackie, magisterskie i podyplomowe</w:t>
            </w:r>
          </w:p>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t>[do weryfikacji /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sz w:val="24"/>
                <w:szCs w:val="24"/>
              </w:rPr>
            </w:pPr>
          </w:p>
        </w:tc>
      </w:tr>
      <w:tr w:rsidR="00F762C7" w:rsidRPr="00075175" w:rsidTr="00F0564F">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lastRenderedPageBreak/>
              <w:t>Rola organu prowadzącego</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F762C7" w:rsidRPr="00075175" w:rsidTr="00F0564F">
        <w:trPr>
          <w:trHeight w:val="28"/>
        </w:trPr>
        <w:tc>
          <w:tcPr>
            <w:tcW w:w="9634" w:type="dxa"/>
          </w:tcPr>
          <w:p w:rsidR="00F762C7" w:rsidRPr="00075175" w:rsidRDefault="00F762C7" w:rsidP="00F0564F">
            <w:pPr>
              <w:rPr>
                <w:rFonts w:asciiTheme="minorHAnsi" w:hAnsiTheme="minorHAnsi"/>
                <w:sz w:val="24"/>
                <w:szCs w:val="24"/>
              </w:rPr>
            </w:pPr>
            <w:r w:rsidRPr="00075175">
              <w:rPr>
                <w:rFonts w:asciiTheme="minorHAnsi" w:hAnsiTheme="minorHAnsi"/>
                <w:sz w:val="24"/>
                <w:szCs w:val="24"/>
              </w:rPr>
              <w:t>Jak wykazały liczne badania, jakość usługi edukacyjnej w ogromnym stopniu zależy od kompetencji merytorycznych i metodycznych nauczycieli oraz ich zaangażowania w proces przekazywania wiedzy. W tym kontekście, niezwykle ważnym elementem lokalnego systemu oświaty są rozwiązania służące motywowaniu i ciągłemu dokształcaniu kadry pedagogicznej szkół i placówek.</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Podstawową, a zarazem obowiązkową formą motywowania nauczycieli jest przyznawanie dodatku motywacyjnego oraz nagród dyrektora szkoły i organu prowadzącego. Z punktu widzenia skuteczności dodatku jako formy mobilizowania nauczycieli do lepszej pracy istotne jest, w jakim stopniu dodatki oraz przyznawane nagrody wiążą się z osiąganymi przez nich efektami edukacyjnymi. </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Organ prowadzący ma możliwość dodatkowego motywowania nauczycieli poprzez stwarzanie im warunków do podejmowania nowych wyzwań – np. organizacja programów i konkursów na poziomie gminy / powiatu lub zachęcanie nauczycieli do udziału w podobnych projektach organizowanych przez inne podmioty.</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Ważnym elementem wsparcia nauczycieli w dążeniu do doskonalenia posiadanych przez nich kompetencji i umiejętności jest system dokształcania i doskonalenia. Organ prowadzący ma obowiązek zabezpieczenia funduszy na ten cel w wysokości 1% planowanych rocznych środków przeznaczonych na wynagrodzenia osobowe nauczycieli. Organ prowadzący określa również każdego roku wysokość dofinansowania do studiów licencjackich, magisterskich i doktoranckich, studiów podyplomowych oraz kursów kwalifikacyjnych.</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Skuteczność tych działań zależeć będzie od tego, czy dany samorząd ogranicza się do pasywnego wypełniania obowiązków ustawowych (np. zapisanie odpowiednich środków we właściwej podziałce klasyfikacji budżetowej), czy wykorzystuje dostępne narzędzia w celu aktywnego kreowania polityki kadrowej w podległych im jednostkach. </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Wsparcie dla nauczycieli powinno być poprzedzone diagnozą potrzeb szkoły (jako organizacji uczącej się) oraz wspólnym wyznaczeniem przez zespół nauczycieli celów i priorytetów procesu wspomagania. System powinien funkcjonować w sposób efektywny – uwzględniać monitorowanie rezultatów i efektywności kosztowej podejmowanych działań.  </w:t>
            </w:r>
          </w:p>
          <w:p w:rsidR="00F762C7" w:rsidRPr="00075175" w:rsidRDefault="00F762C7" w:rsidP="00F0564F">
            <w:pPr>
              <w:rPr>
                <w:rFonts w:asciiTheme="minorHAnsi" w:hAnsiTheme="minorHAnsi"/>
                <w:sz w:val="24"/>
                <w:szCs w:val="24"/>
              </w:rPr>
            </w:pPr>
            <w:r w:rsidRPr="00075175">
              <w:rPr>
                <w:rFonts w:asciiTheme="minorHAnsi" w:hAnsiTheme="minorHAnsi"/>
                <w:sz w:val="24"/>
                <w:szCs w:val="24"/>
              </w:rPr>
              <w:t xml:space="preserve">Zgodnie z powyższą analizą, w obszarze „wspomagania / motywowanie nauczycieli” można </w:t>
            </w:r>
            <w:r w:rsidRPr="00075175">
              <w:rPr>
                <w:rFonts w:asciiTheme="minorHAnsi" w:hAnsiTheme="minorHAnsi"/>
                <w:sz w:val="24"/>
                <w:szCs w:val="24"/>
              </w:rPr>
              <w:lastRenderedPageBreak/>
              <w:t>wyodrębnić następujące zadania / funkcje JST:</w:t>
            </w:r>
          </w:p>
          <w:p w:rsidR="00F762C7" w:rsidRPr="00075175" w:rsidRDefault="00F762C7" w:rsidP="00F762C7">
            <w:pPr>
              <w:pStyle w:val="Akapitzlist"/>
              <w:numPr>
                <w:ilvl w:val="0"/>
                <w:numId w:val="15"/>
              </w:numPr>
              <w:rPr>
                <w:rFonts w:asciiTheme="minorHAnsi" w:hAnsiTheme="minorHAnsi"/>
                <w:sz w:val="24"/>
                <w:szCs w:val="24"/>
              </w:rPr>
            </w:pPr>
            <w:r w:rsidRPr="00075175">
              <w:rPr>
                <w:rFonts w:asciiTheme="minorHAnsi" w:hAnsiTheme="minorHAnsi"/>
                <w:sz w:val="24"/>
                <w:szCs w:val="24"/>
              </w:rPr>
              <w:t>Motywowanie nauczycieli poprzez ścisłe powiązanie polityki w zakresie dodatków i nagród z osiąganymi przez nich rezultatami edukacyjnymi;</w:t>
            </w:r>
          </w:p>
          <w:p w:rsidR="00F762C7" w:rsidRPr="00075175" w:rsidRDefault="00F762C7" w:rsidP="00F762C7">
            <w:pPr>
              <w:pStyle w:val="Akapitzlist"/>
              <w:numPr>
                <w:ilvl w:val="0"/>
                <w:numId w:val="15"/>
              </w:numPr>
              <w:rPr>
                <w:rFonts w:asciiTheme="minorHAnsi" w:hAnsiTheme="minorHAnsi"/>
                <w:sz w:val="24"/>
                <w:szCs w:val="24"/>
              </w:rPr>
            </w:pPr>
            <w:r w:rsidRPr="00075175">
              <w:rPr>
                <w:rFonts w:asciiTheme="minorHAnsi" w:hAnsiTheme="minorHAnsi"/>
                <w:sz w:val="24"/>
                <w:szCs w:val="24"/>
              </w:rPr>
              <w:t>Stwarzanie warunków do podejmowania przez nauczycieli nowych wyzwań i wchodzenia w nowe obszary aktywności (programy, konkursy, projekty);</w:t>
            </w:r>
          </w:p>
          <w:p w:rsidR="00F762C7" w:rsidRPr="00075175" w:rsidRDefault="00F762C7" w:rsidP="00F762C7">
            <w:pPr>
              <w:pStyle w:val="Akapitzlist"/>
              <w:numPr>
                <w:ilvl w:val="0"/>
                <w:numId w:val="15"/>
              </w:numPr>
              <w:rPr>
                <w:rFonts w:asciiTheme="minorHAnsi" w:hAnsiTheme="minorHAnsi"/>
                <w:sz w:val="24"/>
                <w:szCs w:val="24"/>
              </w:rPr>
            </w:pPr>
            <w:r w:rsidRPr="00075175">
              <w:rPr>
                <w:rFonts w:asciiTheme="minorHAnsi" w:hAnsiTheme="minorHAnsi"/>
                <w:sz w:val="24"/>
                <w:szCs w:val="24"/>
              </w:rPr>
              <w:t>Mobilizowanie nauczycieli do ciągłego podnoszenia swoich kwalifikacji, poprzez sprawnie działający system dokształcania i doskonalenia kadry pedagogicznej.</w:t>
            </w:r>
          </w:p>
          <w:p w:rsidR="00F762C7" w:rsidRPr="00075175" w:rsidRDefault="00F762C7" w:rsidP="00F762C7">
            <w:pPr>
              <w:pStyle w:val="Akapitzlist"/>
              <w:numPr>
                <w:ilvl w:val="0"/>
                <w:numId w:val="15"/>
              </w:numPr>
              <w:rPr>
                <w:rFonts w:asciiTheme="minorHAnsi" w:hAnsiTheme="minorHAnsi"/>
                <w:sz w:val="24"/>
                <w:szCs w:val="24"/>
              </w:rPr>
            </w:pPr>
            <w:r w:rsidRPr="00075175">
              <w:rPr>
                <w:rFonts w:asciiTheme="minorHAnsi" w:hAnsiTheme="minorHAnsi"/>
                <w:sz w:val="24"/>
                <w:szCs w:val="24"/>
              </w:rPr>
              <w:t xml:space="preserve">Powiązanie systemu doskonalenia nauczycieli z priorytetami lokalnej strategii oświatowej oraz procesem realizacji planów pracy szkół / placówek (wspomaganie całej szkoły uwzględniające wyniki ewaluacji, egzaminów i sprawdzianów, podstawę programową i wymagania wynikające z art. 21a ust. 3 ustawy o systemie oświaty). </w:t>
            </w:r>
          </w:p>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t>[do weryfikacji /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sz w:val="24"/>
                <w:szCs w:val="24"/>
              </w:rPr>
            </w:pPr>
          </w:p>
        </w:tc>
      </w:tr>
      <w:tr w:rsidR="00F762C7" w:rsidRPr="00075175" w:rsidTr="00F0564F">
        <w:trPr>
          <w:trHeight w:val="508"/>
        </w:trPr>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lastRenderedPageBreak/>
              <w:t>Narzędzia i rozwiązania zarządcze</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F762C7" w:rsidRPr="00075175" w:rsidTr="00F0564F">
        <w:trPr>
          <w:trHeight w:val="119"/>
        </w:trPr>
        <w:tc>
          <w:tcPr>
            <w:tcW w:w="9634" w:type="dxa"/>
          </w:tcPr>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t>[do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sz w:val="24"/>
                <w:szCs w:val="24"/>
              </w:rPr>
            </w:pPr>
          </w:p>
        </w:tc>
      </w:tr>
      <w:tr w:rsidR="00F762C7" w:rsidRPr="00075175" w:rsidTr="00F0564F">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Dobre praktyki</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F762C7" w:rsidRPr="00075175" w:rsidTr="00F0564F">
        <w:trPr>
          <w:trHeight w:val="322"/>
        </w:trPr>
        <w:tc>
          <w:tcPr>
            <w:tcW w:w="9634" w:type="dxa"/>
          </w:tcPr>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sz w:val="24"/>
                <w:szCs w:val="24"/>
              </w:rPr>
            </w:pPr>
          </w:p>
        </w:tc>
      </w:tr>
      <w:tr w:rsidR="00F762C7" w:rsidRPr="00075175" w:rsidTr="00F0564F">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F762C7" w:rsidRPr="00075175" w:rsidTr="00F0564F">
        <w:trPr>
          <w:trHeight w:val="963"/>
        </w:trPr>
        <w:tc>
          <w:tcPr>
            <w:tcW w:w="9634" w:type="dxa"/>
          </w:tcPr>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t>[do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sz w:val="24"/>
                <w:szCs w:val="24"/>
              </w:rPr>
            </w:pPr>
          </w:p>
        </w:tc>
      </w:tr>
      <w:tr w:rsidR="00F762C7" w:rsidRPr="00075175" w:rsidTr="00F0564F">
        <w:tc>
          <w:tcPr>
            <w:tcW w:w="9634" w:type="dxa"/>
          </w:tcPr>
          <w:p w:rsidR="00F762C7" w:rsidRPr="00075175" w:rsidRDefault="00F762C7" w:rsidP="00F0564F">
            <w:pPr>
              <w:pStyle w:val="Nagwek2"/>
              <w:numPr>
                <w:ilvl w:val="0"/>
                <w:numId w:val="6"/>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F762C7" w:rsidRPr="00075175" w:rsidTr="00F0564F">
        <w:tc>
          <w:tcPr>
            <w:tcW w:w="9634" w:type="dxa"/>
            <w:shd w:val="clear" w:color="auto" w:fill="D9D9D9" w:themeFill="background1" w:themeFillShade="D9"/>
          </w:tcPr>
          <w:p w:rsidR="00F762C7" w:rsidRPr="00075175" w:rsidRDefault="00F762C7" w:rsidP="00F0564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F762C7" w:rsidRPr="00075175" w:rsidTr="00F0564F">
        <w:trPr>
          <w:trHeight w:val="66"/>
        </w:trPr>
        <w:tc>
          <w:tcPr>
            <w:tcW w:w="9634" w:type="dxa"/>
          </w:tcPr>
          <w:p w:rsidR="00F762C7" w:rsidRPr="00075175" w:rsidRDefault="00F762C7" w:rsidP="00F0564F">
            <w:pPr>
              <w:rPr>
                <w:rFonts w:asciiTheme="minorHAnsi" w:hAnsiTheme="minorHAnsi"/>
                <w:sz w:val="24"/>
                <w:szCs w:val="24"/>
              </w:rPr>
            </w:pPr>
            <w:r w:rsidRPr="00075175">
              <w:rPr>
                <w:rFonts w:asciiTheme="minorHAnsi" w:hAnsiTheme="minorHAnsi"/>
                <w:sz w:val="24"/>
                <w:szCs w:val="24"/>
                <w:highlight w:val="yellow"/>
              </w:rPr>
              <w:t>[do uzupełnienia]</w:t>
            </w:r>
          </w:p>
          <w:p w:rsidR="00F762C7" w:rsidRPr="00075175" w:rsidRDefault="00F762C7" w:rsidP="00F0564F">
            <w:pPr>
              <w:rPr>
                <w:rFonts w:asciiTheme="minorHAnsi" w:hAnsiTheme="minorHAnsi"/>
                <w:sz w:val="24"/>
                <w:szCs w:val="24"/>
              </w:rPr>
            </w:pPr>
          </w:p>
          <w:p w:rsidR="00F762C7" w:rsidRPr="00075175" w:rsidRDefault="00F762C7" w:rsidP="00F0564F">
            <w:pPr>
              <w:rPr>
                <w:rFonts w:asciiTheme="minorHAnsi" w:hAnsiTheme="minorHAnsi"/>
                <w:sz w:val="24"/>
                <w:szCs w:val="24"/>
              </w:rPr>
            </w:pPr>
          </w:p>
        </w:tc>
      </w:tr>
    </w:tbl>
    <w:p w:rsidR="00F762C7" w:rsidRPr="00075175" w:rsidRDefault="00F762C7" w:rsidP="00F762C7">
      <w:pPr>
        <w:rPr>
          <w:rFonts w:asciiTheme="minorHAnsi" w:hAnsiTheme="minorHAnsi"/>
          <w:sz w:val="24"/>
          <w:szCs w:val="24"/>
        </w:rPr>
      </w:pPr>
    </w:p>
    <w:p w:rsidR="001A12CF" w:rsidRPr="00075175" w:rsidRDefault="001A12CF" w:rsidP="001A12CF">
      <w:pPr>
        <w:pStyle w:val="Nagwek1"/>
        <w:rPr>
          <w:rFonts w:asciiTheme="minorHAnsi" w:hAnsiTheme="minorHAnsi"/>
          <w:szCs w:val="24"/>
        </w:rPr>
      </w:pPr>
      <w:r w:rsidRPr="00075175">
        <w:rPr>
          <w:rFonts w:asciiTheme="minorHAnsi" w:hAnsiTheme="minorHAnsi"/>
          <w:szCs w:val="24"/>
        </w:rPr>
        <w:br w:type="page"/>
      </w:r>
    </w:p>
    <w:p w:rsidR="001A12CF" w:rsidRPr="00075175" w:rsidRDefault="001A12CF" w:rsidP="00826F75">
      <w:pPr>
        <w:rPr>
          <w:rFonts w:asciiTheme="minorHAnsi" w:hAnsiTheme="minorHAnsi"/>
          <w:sz w:val="24"/>
          <w:szCs w:val="24"/>
        </w:rPr>
      </w:pPr>
    </w:p>
    <w:tbl>
      <w:tblPr>
        <w:tblStyle w:val="Tabela-Siatka"/>
        <w:tblW w:w="9634" w:type="dxa"/>
        <w:tblLayout w:type="fixed"/>
        <w:tblCellMar>
          <w:top w:w="57" w:type="dxa"/>
          <w:left w:w="85" w:type="dxa"/>
          <w:bottom w:w="57" w:type="dxa"/>
          <w:right w:w="85" w:type="dxa"/>
        </w:tblCellMar>
        <w:tblLook w:val="04A0"/>
      </w:tblPr>
      <w:tblGrid>
        <w:gridCol w:w="9634"/>
      </w:tblGrid>
      <w:tr w:rsidR="001A12CF" w:rsidRPr="00075175" w:rsidTr="001A12CF">
        <w:tc>
          <w:tcPr>
            <w:tcW w:w="9634" w:type="dxa"/>
          </w:tcPr>
          <w:p w:rsidR="00C60611" w:rsidRPr="00075175" w:rsidRDefault="00C60611" w:rsidP="00C60611">
            <w:pPr>
              <w:rPr>
                <w:rFonts w:asciiTheme="minorHAnsi" w:hAnsiTheme="minorHAnsi"/>
                <w:b/>
                <w:sz w:val="24"/>
                <w:szCs w:val="24"/>
              </w:rPr>
            </w:pPr>
            <w:r w:rsidRPr="00075175">
              <w:rPr>
                <w:rFonts w:asciiTheme="minorHAnsi" w:hAnsiTheme="minorHAnsi"/>
                <w:b/>
                <w:sz w:val="24"/>
                <w:szCs w:val="24"/>
              </w:rPr>
              <w:t>Wsparcie kadry jednostek samorządu terytorialnego w zarządzaniu oświatą ukierunkowanym na rozwój szkół i kompetencji kluczowych uczniów  (POWR.02.10.00-IP.02-00-003/15)</w:t>
            </w:r>
          </w:p>
          <w:p w:rsidR="00C60611" w:rsidRPr="00075175" w:rsidRDefault="00C60611" w:rsidP="00C60611">
            <w:pPr>
              <w:pStyle w:val="Tytu"/>
              <w:rPr>
                <w:rFonts w:asciiTheme="minorHAnsi" w:hAnsiTheme="minorHAnsi"/>
                <w:sz w:val="24"/>
                <w:szCs w:val="24"/>
              </w:rPr>
            </w:pPr>
            <w:r w:rsidRPr="00075175">
              <w:rPr>
                <w:rFonts w:asciiTheme="minorHAnsi" w:hAnsiTheme="minorHAnsi"/>
                <w:sz w:val="24"/>
                <w:szCs w:val="24"/>
              </w:rPr>
              <w:t xml:space="preserve">Strategiczny przegląd sytuacji w obszarze 6: </w:t>
            </w:r>
          </w:p>
          <w:p w:rsidR="001A12CF" w:rsidRPr="00075175" w:rsidRDefault="001A12CF" w:rsidP="001A12CF">
            <w:pPr>
              <w:pStyle w:val="Nagwek1"/>
              <w:spacing w:before="0"/>
              <w:outlineLvl w:val="0"/>
              <w:rPr>
                <w:rFonts w:asciiTheme="minorHAnsi" w:hAnsiTheme="minorHAnsi"/>
                <w:szCs w:val="24"/>
              </w:rPr>
            </w:pPr>
            <w:bookmarkStart w:id="0" w:name="_Toc494887093"/>
            <w:r w:rsidRPr="00075175">
              <w:rPr>
                <w:rFonts w:asciiTheme="minorHAnsi" w:hAnsiTheme="minorHAnsi"/>
                <w:szCs w:val="24"/>
              </w:rPr>
              <w:t>Organizacja doradztwa zawodowego dla uczniów</w:t>
            </w:r>
            <w:bookmarkEnd w:id="0"/>
          </w:p>
        </w:tc>
      </w:tr>
      <w:tr w:rsidR="001A12CF" w:rsidRPr="00075175" w:rsidTr="001A12CF">
        <w:tc>
          <w:tcPr>
            <w:tcW w:w="9634" w:type="dxa"/>
          </w:tcPr>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t>Podstawa prawna działania samorządu w tym obszarze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075175" w:rsidTr="001A12CF">
        <w:trPr>
          <w:trHeight w:val="2111"/>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Zgodnie z art. 1 pkt 17-19 ustawy Prawo oświatowe system oświaty zapewnia w szczególności m.in.: dostosowywanie kierunków i treści kształcenia do wymogów rynku pracy, kształtowanie u uczniów postaw przedsiębiorczości i kreatywności sprzyjających aktywnemu uczestnictwu w życiu gospodarczym, w tym poprzez stosowanie w procesie kształcenia innowacyjnych rozwiązań programowych, organizacyjnych lub metodycznych oraz przygotowywanie uczniów do wyboru zawodu i kierunku kształcenia.</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W myśl art. 109 ust. 1 pkt 7 ustawy – Prawo oświatowe jedną z podstawowych form działalności dydaktyczno-wychowawczej szkoły są zajęcia z zakresu doradztwa zawodowego. Zajęcia te są organizowane dla uczniów klasy VII i VIII szkoły podstawowej, branżowej szkoły I stopnia, liceum ogólnokształcącego i technikum (ust. 6). Ponadto są one realizowane niezależnie od pomocy w wyborze kierunku kształcenia i zawodu udzielanej uczniom podczas zajęć prowadzonych w ramach pomocy psychologiczno-pedagogicznej (ust. 7).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 rozporządzeniu Ministra Edukacji Narodowej z dnia 28 marca 2017 r. w sprawie ramowych planów nauczania dla publicznych szkół określono minimalny wymiar godzin zajęć z zakresu doradztwa zawodowego. Ponadto dyrektor szkoły, uwzględniając ramowy plan nauczania, ustala dla poszczególnych klas i oddziałów tygodniowy rozkład zajęć, a w szkołach dla dorosłych prowadzących zajęcia w formie zaocznej - semestralny rozkład zajęć m.in. z zakresu doradztwa zawodowego (</w:t>
            </w:r>
            <w:r w:rsidRPr="00075175">
              <w:rPr>
                <w:rFonts w:asciiTheme="minorHAnsi" w:hAnsiTheme="minorHAnsi" w:cs="Arial"/>
                <w:sz w:val="24"/>
                <w:szCs w:val="24"/>
              </w:rPr>
              <w:t>§</w:t>
            </w:r>
            <w:r w:rsidRPr="00075175">
              <w:rPr>
                <w:rFonts w:asciiTheme="minorHAnsi" w:hAnsiTheme="minorHAnsi"/>
                <w:sz w:val="24"/>
                <w:szCs w:val="24"/>
              </w:rPr>
              <w:t xml:space="preserve">4 powołanego rozporządzenia).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Realizowane w szkołach doradztwo edukacyjno-zawodowe, organizowane jest w ramach wewnątrzszkolnego systemu doradztwa zawodowego wchodzącego w zakres statutu szkoły (art. 98 ust. 1 ustawy – Prawo oświatowe).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Szczegółowe wytyczne realizacji doradztwa zawodowego zostaną określone w rozporządzeniu, nie później niż do 1 września 2018 r., wtedy bowiem  wchodzi w życie przepis art. 47 pkt 4 ustawy – Prawo oświatowe zgodnie z którym w rozporządzeniu zostaną określone treści programowe z zakresu doradztwa zawodowego, warunki i sposób realizacji i organizacji doradztwa zawodowego w szkołach i placówkach, o których mowa w art. 2 pkt 4, oraz wymagania w zakresie przygotowania osób realizujących doradztwo zawodowe w szkołach i placówkach, o których mowa w art. 2 pkt 4, uwzględniając rolę doradztwa zawodowego we </w:t>
            </w:r>
            <w:r w:rsidRPr="00075175">
              <w:rPr>
                <w:rFonts w:asciiTheme="minorHAnsi" w:hAnsiTheme="minorHAnsi"/>
                <w:sz w:val="24"/>
                <w:szCs w:val="24"/>
              </w:rPr>
              <w:lastRenderedPageBreak/>
              <w:t xml:space="preserve">wspieraniu uczniów i słuchaczy w procesie podejmowania decyzji edukacyjnych i zawodowych.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Natomiast w roku szkolnym 2017/2018 zajęcia z zakresu doradztwa zawodowego są realizowane w oparciu o program przygotowany przez nauczyciela realizującego te zajęcia i dopuszczony do użytku przez dyrektora szkoły, po zasięgnięciu opinii rady pedagogicznej (art. 292 ustawy – Przepisy wprowadzające ustawę – Prawo oświatowe).</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Pomocy psychologiczno-pedagogicznej w przedszkolu, szkole i placówce udzielają uczniom m.in. doradcy zawodowi (</w:t>
            </w:r>
            <w:r w:rsidRPr="00075175">
              <w:rPr>
                <w:rFonts w:asciiTheme="minorHAnsi" w:hAnsiTheme="minorHAnsi" w:cs="Arial"/>
                <w:sz w:val="24"/>
                <w:szCs w:val="24"/>
              </w:rPr>
              <w:t>§</w:t>
            </w:r>
            <w:r w:rsidRPr="00075175">
              <w:rPr>
                <w:rFonts w:asciiTheme="minorHAnsi" w:hAnsiTheme="minorHAnsi"/>
                <w:sz w:val="24"/>
                <w:szCs w:val="24"/>
              </w:rPr>
              <w:t xml:space="preserve">4 ust. 2 rozporządzenia z dnia 9 sierpnia 2017 r. w sprawie zasad organizacji i udzielania pomocy psychologiczno-pedagogicznej w publicznych przedszkolach, szkołach i placówkach). Powołane rozporządzenie w </w:t>
            </w:r>
            <w:r w:rsidRPr="00075175">
              <w:rPr>
                <w:rFonts w:asciiTheme="minorHAnsi" w:hAnsiTheme="minorHAnsi" w:cs="Arial"/>
                <w:sz w:val="24"/>
                <w:szCs w:val="24"/>
              </w:rPr>
              <w:t>§6 ust. 2 i 3</w:t>
            </w:r>
            <w:r w:rsidRPr="00075175">
              <w:rPr>
                <w:rFonts w:asciiTheme="minorHAnsi" w:hAnsiTheme="minorHAnsi"/>
                <w:sz w:val="24"/>
                <w:szCs w:val="24"/>
              </w:rPr>
              <w:t xml:space="preserve"> określa, że w szkole i placówce pomoc psychologiczno-pedagogiczna jest udzielana także w formie m.in. zajęć związanych z wyborem kierunku kształcenia i zawodu - w przypadku uczniów szkół podstawowych oraz uczniów szkół ponadpodstawowych. Zgodnie z </w:t>
            </w:r>
            <w:r w:rsidRPr="00075175">
              <w:rPr>
                <w:rFonts w:asciiTheme="minorHAnsi" w:hAnsiTheme="minorHAnsi" w:cs="Arial"/>
                <w:sz w:val="24"/>
                <w:szCs w:val="24"/>
              </w:rPr>
              <w:t>§</w:t>
            </w:r>
            <w:r w:rsidRPr="00075175">
              <w:rPr>
                <w:rFonts w:asciiTheme="minorHAnsi" w:hAnsiTheme="minorHAnsi"/>
                <w:sz w:val="24"/>
                <w:szCs w:val="24"/>
              </w:rPr>
              <w:t xml:space="preserve">18 rozporządzenia w przypadku </w:t>
            </w:r>
            <w:r w:rsidRPr="00075175">
              <w:rPr>
                <w:rFonts w:asciiTheme="minorHAnsi" w:hAnsiTheme="minorHAnsi"/>
                <w:i/>
                <w:iCs/>
                <w:sz w:val="24"/>
                <w:szCs w:val="24"/>
              </w:rPr>
              <w:t>szkoły</w:t>
            </w:r>
            <w:r w:rsidRPr="00075175">
              <w:rPr>
                <w:rFonts w:asciiTheme="minorHAnsi" w:hAnsiTheme="minorHAnsi"/>
                <w:sz w:val="24"/>
                <w:szCs w:val="24"/>
              </w:rPr>
              <w:t xml:space="preserve"> podstawowej, branżowej </w:t>
            </w:r>
            <w:r w:rsidRPr="00075175">
              <w:rPr>
                <w:rFonts w:asciiTheme="minorHAnsi" w:hAnsiTheme="minorHAnsi"/>
                <w:i/>
                <w:iCs/>
                <w:sz w:val="24"/>
                <w:szCs w:val="24"/>
              </w:rPr>
              <w:t>szkoły</w:t>
            </w:r>
            <w:r w:rsidRPr="00075175">
              <w:rPr>
                <w:rFonts w:asciiTheme="minorHAnsi" w:hAnsiTheme="minorHAnsi"/>
                <w:sz w:val="24"/>
                <w:szCs w:val="24"/>
              </w:rPr>
              <w:t xml:space="preserve"> I stopnia, liceum ogólnokształcącego i technikum, a od 1 września 2018 także placówek o których mowa w art. 2 pkt 4 ustawy – Prawo oświatowe, zajęcia związane z wyborem kierunku kształcenia i zawodu uzupełniają działania </w:t>
            </w:r>
            <w:r w:rsidRPr="00075175">
              <w:rPr>
                <w:rFonts w:asciiTheme="minorHAnsi" w:hAnsiTheme="minorHAnsi"/>
                <w:iCs/>
                <w:sz w:val="24"/>
                <w:szCs w:val="24"/>
              </w:rPr>
              <w:t>szkoły</w:t>
            </w:r>
            <w:r w:rsidRPr="00075175">
              <w:rPr>
                <w:rFonts w:asciiTheme="minorHAnsi" w:hAnsiTheme="minorHAnsi"/>
                <w:sz w:val="24"/>
                <w:szCs w:val="24"/>
              </w:rPr>
              <w:t xml:space="preserve"> i </w:t>
            </w:r>
            <w:r w:rsidRPr="00075175">
              <w:rPr>
                <w:rFonts w:asciiTheme="minorHAnsi" w:hAnsiTheme="minorHAnsi"/>
                <w:iCs/>
                <w:sz w:val="24"/>
                <w:szCs w:val="24"/>
              </w:rPr>
              <w:t>placówki</w:t>
            </w:r>
            <w:r w:rsidRPr="00075175">
              <w:rPr>
                <w:rFonts w:asciiTheme="minorHAnsi" w:hAnsiTheme="minorHAnsi"/>
                <w:sz w:val="24"/>
                <w:szCs w:val="24"/>
              </w:rPr>
              <w:t xml:space="preserve"> w zakresie doradztwa zawodowego.</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Powołane rozporządzenie w §  26 określa zadania doradcy zawodowego do których należy w szczególności: 1) systematyczne diagnozowanie zapotrzebowania uczniów na informacje edukacyjne i zawodowe oraz </w:t>
            </w:r>
            <w:r w:rsidRPr="00075175">
              <w:rPr>
                <w:rFonts w:asciiTheme="minorHAnsi" w:hAnsiTheme="minorHAnsi"/>
                <w:i/>
                <w:iCs/>
                <w:sz w:val="24"/>
                <w:szCs w:val="24"/>
              </w:rPr>
              <w:t>pomoc</w:t>
            </w:r>
            <w:r w:rsidRPr="00075175">
              <w:rPr>
                <w:rFonts w:asciiTheme="minorHAnsi" w:hAnsiTheme="minorHAnsi"/>
                <w:sz w:val="24"/>
                <w:szCs w:val="24"/>
              </w:rPr>
              <w:t xml:space="preserve"> w planowaniu kształcenia i kariery zawodowej; 2) gromadzenie, aktualizacja i udostępnianie informacji edukacyjnych i zawodowych właściwych dla danego poziomu kształcenia; 3) prowadzenie zajęć związanych z wyborem kierunku kształcenia i zawodu z uwzględnieniem rozpoznanych mocnych stron, predyspozycji, zainteresowań i uzdolnień uczniów; 4) koordynowanie działalności informacyjno-doradczej prowadzonej przez </w:t>
            </w:r>
            <w:r w:rsidRPr="00075175">
              <w:rPr>
                <w:rFonts w:asciiTheme="minorHAnsi" w:hAnsiTheme="minorHAnsi"/>
                <w:iCs/>
                <w:sz w:val="24"/>
                <w:szCs w:val="24"/>
              </w:rPr>
              <w:t>szkołę</w:t>
            </w:r>
            <w:r w:rsidRPr="00075175">
              <w:rPr>
                <w:rFonts w:asciiTheme="minorHAnsi" w:hAnsiTheme="minorHAnsi"/>
                <w:sz w:val="24"/>
                <w:szCs w:val="24"/>
              </w:rPr>
              <w:t xml:space="preserve"> i </w:t>
            </w:r>
            <w:r w:rsidRPr="00075175">
              <w:rPr>
                <w:rFonts w:asciiTheme="minorHAnsi" w:hAnsiTheme="minorHAnsi"/>
                <w:iCs/>
                <w:sz w:val="24"/>
                <w:szCs w:val="24"/>
              </w:rPr>
              <w:t>placówkę</w:t>
            </w:r>
            <w:r w:rsidRPr="00075175">
              <w:rPr>
                <w:rFonts w:asciiTheme="minorHAnsi" w:hAnsiTheme="minorHAnsi"/>
                <w:sz w:val="24"/>
                <w:szCs w:val="24"/>
              </w:rPr>
              <w:t xml:space="preserve">; 5) współpraca z innymi nauczycielami w tworzeniu i zapewnieniu ciągłości działań w zakresie zajęć związanych z wyborem kierunku kształcenia i zawodu; 6) wspieranie nauczycieli, wychowawców grup wychowawczych i innych specjalistów w </w:t>
            </w:r>
            <w:r w:rsidRPr="00075175">
              <w:rPr>
                <w:rFonts w:asciiTheme="minorHAnsi" w:hAnsiTheme="minorHAnsi"/>
                <w:iCs/>
                <w:sz w:val="24"/>
                <w:szCs w:val="24"/>
              </w:rPr>
              <w:t>udzielaniu pomocy psychologiczno-pedagogicznej</w:t>
            </w:r>
            <w:r w:rsidRPr="00075175">
              <w:rPr>
                <w:rFonts w:asciiTheme="minorHAnsi" w:hAnsiTheme="minorHAnsi"/>
                <w:sz w:val="24"/>
                <w:szCs w:val="24"/>
              </w:rPr>
              <w:t>.</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W przypadku braku doradcy zawodowego w </w:t>
            </w:r>
            <w:r w:rsidRPr="00075175">
              <w:rPr>
                <w:rFonts w:asciiTheme="minorHAnsi" w:hAnsiTheme="minorHAnsi"/>
                <w:iCs/>
                <w:sz w:val="24"/>
                <w:szCs w:val="24"/>
              </w:rPr>
              <w:t>szkole</w:t>
            </w:r>
            <w:r w:rsidRPr="00075175">
              <w:rPr>
                <w:rFonts w:asciiTheme="minorHAnsi" w:hAnsiTheme="minorHAnsi"/>
                <w:sz w:val="24"/>
                <w:szCs w:val="24"/>
              </w:rPr>
              <w:t xml:space="preserve"> lub </w:t>
            </w:r>
            <w:r w:rsidRPr="00075175">
              <w:rPr>
                <w:rFonts w:asciiTheme="minorHAnsi" w:hAnsiTheme="minorHAnsi"/>
                <w:iCs/>
                <w:sz w:val="24"/>
                <w:szCs w:val="24"/>
              </w:rPr>
              <w:t>placówce</w:t>
            </w:r>
            <w:r w:rsidRPr="00075175">
              <w:rPr>
                <w:rFonts w:asciiTheme="minorHAnsi" w:hAnsiTheme="minorHAnsi"/>
                <w:sz w:val="24"/>
                <w:szCs w:val="24"/>
              </w:rPr>
              <w:t xml:space="preserve"> dyrektor </w:t>
            </w:r>
            <w:r w:rsidRPr="00075175">
              <w:rPr>
                <w:rFonts w:asciiTheme="minorHAnsi" w:hAnsiTheme="minorHAnsi"/>
                <w:iCs/>
                <w:sz w:val="24"/>
                <w:szCs w:val="24"/>
              </w:rPr>
              <w:t>szkoły</w:t>
            </w:r>
            <w:r w:rsidRPr="00075175">
              <w:rPr>
                <w:rFonts w:asciiTheme="minorHAnsi" w:hAnsiTheme="minorHAnsi"/>
                <w:sz w:val="24"/>
                <w:szCs w:val="24"/>
              </w:rPr>
              <w:t xml:space="preserve"> lub </w:t>
            </w:r>
            <w:r w:rsidRPr="00075175">
              <w:rPr>
                <w:rFonts w:asciiTheme="minorHAnsi" w:hAnsiTheme="minorHAnsi"/>
                <w:iCs/>
                <w:sz w:val="24"/>
                <w:szCs w:val="24"/>
              </w:rPr>
              <w:t>placówki</w:t>
            </w:r>
            <w:r w:rsidRPr="00075175">
              <w:rPr>
                <w:rFonts w:asciiTheme="minorHAnsi" w:hAnsiTheme="minorHAnsi"/>
                <w:sz w:val="24"/>
                <w:szCs w:val="24"/>
              </w:rPr>
              <w:t xml:space="preserve"> wyznacza nauczyciela, wychowawcę grupy wychowawczej lub specjalistę realizującego zadania, o których mowa powyżej.</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Należy wskazać, że do czasu zakończenia kształcenia dzieci w szkołach starego typu obowiązuje jeszcze także rozporządzenie w sprawie zasad organizacji i udzielania pomocy psychologiczno-pedagogicznej w publicznych przedszkolach, szkołach i placówkach – wydane na podstawie art. 22 ust. 2 pkt 11 ustawy z dnia 7 września 1991 r. o systemie oświaty</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lastRenderedPageBreak/>
              <w:t>Analiza ilościowa</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xml:space="preserve">Instrukcja: Analiza ilościowa zagadnień związanych z badanym obszarem: Jakie usługi / zadania są realizowane? W jakiej ilości / jakości (parametry obiektywne)? Jakim kosztem (koszty jednostkowe)? Jaka jest ich dostępność dla mieszkańców gminy / powiatu? Zaproponowanie i </w:t>
            </w:r>
            <w:r w:rsidRPr="00075175">
              <w:rPr>
                <w:rFonts w:asciiTheme="minorHAnsi" w:hAnsiTheme="minorHAnsi"/>
                <w:i/>
                <w:sz w:val="24"/>
                <w:szCs w:val="24"/>
              </w:rPr>
              <w:lastRenderedPageBreak/>
              <w:t>omówienie wskaźników kontekstowych ważnych dla interpretacji danych ilościowych.</w:t>
            </w:r>
          </w:p>
        </w:tc>
      </w:tr>
      <w:tr w:rsidR="001A12CF" w:rsidRPr="00075175" w:rsidTr="001A12CF">
        <w:trPr>
          <w:trHeight w:val="75"/>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lastRenderedPageBreak/>
              <w:t>Liczba doradców zawodowych w relacji do liczby dzieci</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udzielonych indywidualnych porad z zakresu doradztwa zawodowego w relacji do liczby uczniów</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programów doradztwa zawodowego w szkołach podstawowych (w relacji do liczby szkół / oddziałów / uczniów?)</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planów doradztwa zawodowego w technikach i szkołach zawodowych (w relacji do liczby szkół / oddziałów / uczniów?)</w:t>
            </w:r>
          </w:p>
          <w:p w:rsidR="001A12CF" w:rsidRPr="00075175" w:rsidRDefault="001A12CF" w:rsidP="001A12CF">
            <w:pPr>
              <w:rPr>
                <w:rFonts w:asciiTheme="minorHAnsi" w:hAnsiTheme="minorHAnsi"/>
                <w:sz w:val="24"/>
                <w:szCs w:val="24"/>
                <w:highlight w:val="yellow"/>
              </w:rPr>
            </w:pPr>
            <w:r w:rsidRPr="00075175">
              <w:rPr>
                <w:rFonts w:asciiTheme="minorHAnsi" w:hAnsiTheme="minorHAnsi"/>
                <w:sz w:val="24"/>
                <w:szCs w:val="24"/>
                <w:highlight w:val="yellow"/>
              </w:rPr>
              <w:t>[do uzupełnienia – w takim zakresie w jakim dane ścisłe lub udokumentowane w literaturze szacunki - będą dostępne]</w:t>
            </w:r>
          </w:p>
          <w:p w:rsidR="001A12CF" w:rsidRPr="00075175" w:rsidRDefault="001A12CF" w:rsidP="001A12CF">
            <w:pPr>
              <w:rPr>
                <w:rFonts w:asciiTheme="minorHAnsi" w:hAnsiTheme="minorHAnsi"/>
                <w:sz w:val="24"/>
                <w:szCs w:val="24"/>
                <w:highlight w:val="yellow"/>
              </w:rPr>
            </w:pPr>
          </w:p>
          <w:p w:rsidR="001A12CF" w:rsidRPr="00075175" w:rsidRDefault="001A12CF" w:rsidP="001A12CF">
            <w:pPr>
              <w:rPr>
                <w:rFonts w:asciiTheme="minorHAnsi" w:hAnsiTheme="minorHAnsi"/>
                <w:sz w:val="24"/>
                <w:szCs w:val="24"/>
                <w:highlight w:val="yellow"/>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t>Rola organu prowadzącego</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Prawo oświatowe wprowadziło od roku szkolnego 2017/2018 obowiązek prowadzenia zajęć z doradztwa zawodowego w klasie VII szkoły podstawowej (nie ma jeszcze wytycznych, obowiązują dotychczasowe zasady, co oznacza konieczność przygotowania odpowiednego programu). Aktywny organ prowadzący oprócz działań standardowych może podjąć szereg inicjatyw w celu wsparcia prowadzonych przez siebie szkół oraz zapewnienia ich uczniom wysokiej jakości doradztwa zawodowego:</w:t>
            </w:r>
          </w:p>
          <w:p w:rsidR="001A12CF" w:rsidRPr="00075175" w:rsidRDefault="001A12CF" w:rsidP="001A12CF">
            <w:pPr>
              <w:pStyle w:val="Akapitzlist"/>
              <w:numPr>
                <w:ilvl w:val="0"/>
                <w:numId w:val="15"/>
              </w:numPr>
              <w:spacing w:after="120"/>
              <w:rPr>
                <w:rFonts w:asciiTheme="minorHAnsi" w:hAnsiTheme="minorHAnsi"/>
                <w:sz w:val="24"/>
                <w:szCs w:val="24"/>
              </w:rPr>
            </w:pPr>
            <w:r w:rsidRPr="00075175">
              <w:rPr>
                <w:rFonts w:asciiTheme="minorHAnsi" w:hAnsiTheme="minorHAnsi"/>
                <w:sz w:val="24"/>
                <w:szCs w:val="24"/>
              </w:rPr>
              <w:t>W celu wymiany informacji oraz wprowadzenia do programu doradztwa zawodowego treści odzwierciedlających specyfikę lokalnego rynku pracy, organ prowadzący może utworzyć lokalną (gminną lub lepiej powiatową) sieć doradców zawodowych oraz włączyć do sieci lokalne instytucje, tak jak urząd pracy i poradnia psychologiczno-pedagogiczna;</w:t>
            </w:r>
          </w:p>
          <w:p w:rsidR="001A12CF" w:rsidRPr="00075175" w:rsidRDefault="001A12CF" w:rsidP="001A12CF">
            <w:pPr>
              <w:pStyle w:val="Akapitzlist"/>
              <w:numPr>
                <w:ilvl w:val="0"/>
                <w:numId w:val="15"/>
              </w:numPr>
              <w:spacing w:after="120"/>
              <w:rPr>
                <w:rFonts w:asciiTheme="minorHAnsi" w:hAnsiTheme="minorHAnsi"/>
                <w:sz w:val="24"/>
                <w:szCs w:val="24"/>
              </w:rPr>
            </w:pPr>
            <w:r w:rsidRPr="00075175">
              <w:rPr>
                <w:rFonts w:asciiTheme="minorHAnsi" w:hAnsiTheme="minorHAnsi"/>
                <w:sz w:val="24"/>
                <w:szCs w:val="24"/>
              </w:rPr>
              <w:t>W celu ujęcia w podejmowanych działaniach specyfiki regionalnego i lokalnego rynku pracy lokalni doradcy zawodowi (lokalna sieć doradców) powinni współpracować z wojewódzkim i powiatowym urzędem pracy oraz reprezentacją przedsiębiorców – organ prowadzący może tę współprace ułatwić;</w:t>
            </w:r>
          </w:p>
          <w:p w:rsidR="001A12CF" w:rsidRPr="00075175" w:rsidRDefault="001A12CF" w:rsidP="001A12CF">
            <w:pPr>
              <w:pStyle w:val="Akapitzlist"/>
              <w:numPr>
                <w:ilvl w:val="0"/>
                <w:numId w:val="15"/>
              </w:numPr>
              <w:spacing w:after="120"/>
              <w:rPr>
                <w:rFonts w:asciiTheme="minorHAnsi" w:hAnsiTheme="minorHAnsi"/>
                <w:sz w:val="24"/>
                <w:szCs w:val="24"/>
              </w:rPr>
            </w:pPr>
            <w:r w:rsidRPr="00075175">
              <w:rPr>
                <w:rFonts w:asciiTheme="minorHAnsi" w:hAnsiTheme="minorHAnsi"/>
                <w:sz w:val="24"/>
                <w:szCs w:val="24"/>
              </w:rPr>
              <w:t>W celu zapewnienia wysokiej jakości zajęć doradztwa zawodowego w szkołach organ prowadzący może zainicjować wymianę dobrych praktyk w tym zakresie w skali subregionalnej i regionalnej.</w:t>
            </w:r>
          </w:p>
          <w:p w:rsidR="001A12CF" w:rsidRPr="00075175" w:rsidRDefault="001A12CF" w:rsidP="001A12CF">
            <w:pPr>
              <w:pStyle w:val="Akapitzlist"/>
              <w:numPr>
                <w:ilvl w:val="0"/>
                <w:numId w:val="15"/>
              </w:numPr>
              <w:spacing w:after="120"/>
              <w:rPr>
                <w:rFonts w:asciiTheme="minorHAnsi" w:hAnsiTheme="minorHAnsi"/>
                <w:sz w:val="24"/>
                <w:szCs w:val="24"/>
              </w:rPr>
            </w:pPr>
            <w:r w:rsidRPr="00075175">
              <w:rPr>
                <w:rFonts w:asciiTheme="minorHAnsi" w:hAnsiTheme="minorHAnsi"/>
                <w:sz w:val="24"/>
                <w:szCs w:val="24"/>
              </w:rPr>
              <w:t>Z badań przeprowadzonych na zlecenie Ośrodka Rozwoju Edukacji MEN - wynikają również rekomendacje zalecające włączenie do lokalnego systemu doradztwa zawodowego rodziców uczniów.</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lastRenderedPageBreak/>
              <w:t xml:space="preserve">Narzędzia i rozwiązania zarządcze </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075175" w:rsidTr="001A12CF">
        <w:trPr>
          <w:trHeight w:val="119"/>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t>Dobre praktyki</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075175" w:rsidTr="001A12CF">
        <w:trPr>
          <w:trHeight w:val="322"/>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xml:space="preserve">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w:t>
            </w:r>
            <w:r w:rsidRPr="00075175">
              <w:rPr>
                <w:rFonts w:asciiTheme="minorHAnsi" w:hAnsiTheme="minorHAnsi"/>
                <w:i/>
                <w:sz w:val="24"/>
                <w:szCs w:val="24"/>
              </w:rPr>
              <w:lastRenderedPageBreak/>
              <w:t>działań, które należałoby podjąć w celu jego rozwiązania.</w:t>
            </w:r>
          </w:p>
        </w:tc>
      </w:tr>
      <w:tr w:rsidR="001A12CF" w:rsidRPr="00075175" w:rsidTr="001A12CF">
        <w:trPr>
          <w:trHeight w:val="31"/>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0"/>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075175" w:rsidTr="001A12CF">
        <w:trPr>
          <w:trHeight w:val="66"/>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bl>
    <w:p w:rsidR="001A12CF" w:rsidRPr="00075175" w:rsidRDefault="001A12CF">
      <w:pPr>
        <w:spacing w:after="200" w:line="276" w:lineRule="auto"/>
        <w:jc w:val="left"/>
        <w:rPr>
          <w:rFonts w:asciiTheme="minorHAnsi" w:hAnsiTheme="minorHAnsi"/>
          <w:sz w:val="24"/>
          <w:szCs w:val="24"/>
        </w:rPr>
      </w:pPr>
    </w:p>
    <w:p w:rsidR="001A12CF" w:rsidRPr="00075175" w:rsidRDefault="001A12CF">
      <w:pPr>
        <w:spacing w:after="200" w:line="276" w:lineRule="auto"/>
        <w:jc w:val="left"/>
        <w:rPr>
          <w:rFonts w:asciiTheme="minorHAnsi" w:hAnsiTheme="minorHAnsi"/>
          <w:sz w:val="24"/>
          <w:szCs w:val="24"/>
        </w:rPr>
      </w:pPr>
      <w:r w:rsidRPr="00075175">
        <w:rPr>
          <w:rFonts w:asciiTheme="minorHAnsi" w:hAnsiTheme="minorHAnsi"/>
          <w:sz w:val="24"/>
          <w:szCs w:val="24"/>
        </w:rPr>
        <w:br w:type="page"/>
      </w:r>
    </w:p>
    <w:tbl>
      <w:tblPr>
        <w:tblStyle w:val="Tabela-Siatka"/>
        <w:tblW w:w="9634" w:type="dxa"/>
        <w:tblLayout w:type="fixed"/>
        <w:tblCellMar>
          <w:top w:w="57" w:type="dxa"/>
          <w:left w:w="85" w:type="dxa"/>
          <w:bottom w:w="57" w:type="dxa"/>
          <w:right w:w="85" w:type="dxa"/>
        </w:tblCellMar>
        <w:tblLook w:val="04A0"/>
      </w:tblPr>
      <w:tblGrid>
        <w:gridCol w:w="9634"/>
      </w:tblGrid>
      <w:tr w:rsidR="001A12CF" w:rsidRPr="00075175" w:rsidTr="001A12CF">
        <w:tc>
          <w:tcPr>
            <w:tcW w:w="9634" w:type="dxa"/>
          </w:tcPr>
          <w:p w:rsidR="00C60611" w:rsidRPr="00075175" w:rsidRDefault="00C60611" w:rsidP="00C60611">
            <w:pPr>
              <w:rPr>
                <w:rFonts w:asciiTheme="minorHAnsi" w:hAnsiTheme="minorHAnsi"/>
                <w:b/>
                <w:sz w:val="24"/>
                <w:szCs w:val="24"/>
              </w:rPr>
            </w:pPr>
            <w:r w:rsidRPr="00075175">
              <w:rPr>
                <w:rFonts w:asciiTheme="minorHAnsi" w:hAnsiTheme="minorHAnsi"/>
                <w:b/>
                <w:sz w:val="24"/>
                <w:szCs w:val="24"/>
              </w:rPr>
              <w:lastRenderedPageBreak/>
              <w:t>Wsparcie kadry jednostek samorządu terytorialnego w zarządzaniu oświatą ukierunkowanym na rozwój szkół i kompetencji kluczowych uczniów  (POWR.02.10.00-IP.02-00-003/15)</w:t>
            </w:r>
          </w:p>
          <w:p w:rsidR="00C60611" w:rsidRPr="00075175" w:rsidRDefault="00C60611" w:rsidP="00C60611">
            <w:pPr>
              <w:pStyle w:val="Tytu"/>
              <w:rPr>
                <w:rFonts w:asciiTheme="minorHAnsi" w:hAnsiTheme="minorHAnsi"/>
                <w:sz w:val="24"/>
                <w:szCs w:val="24"/>
              </w:rPr>
            </w:pPr>
            <w:r w:rsidRPr="00075175">
              <w:rPr>
                <w:rFonts w:asciiTheme="minorHAnsi" w:hAnsiTheme="minorHAnsi"/>
                <w:sz w:val="24"/>
                <w:szCs w:val="24"/>
              </w:rPr>
              <w:t xml:space="preserve">Strategiczny przegląd sytuacji w obszarze 8: </w:t>
            </w:r>
          </w:p>
          <w:p w:rsidR="001A12CF" w:rsidRPr="00075175" w:rsidRDefault="001A12CF" w:rsidP="001A12CF">
            <w:pPr>
              <w:pStyle w:val="Nagwek1"/>
              <w:spacing w:before="0"/>
              <w:outlineLvl w:val="0"/>
              <w:rPr>
                <w:rFonts w:asciiTheme="minorHAnsi" w:hAnsiTheme="minorHAnsi" w:cs="Arial"/>
                <w:szCs w:val="24"/>
              </w:rPr>
            </w:pPr>
            <w:bookmarkStart w:id="1" w:name="_Toc494887095"/>
            <w:r w:rsidRPr="00075175">
              <w:rPr>
                <w:rFonts w:asciiTheme="minorHAnsi" w:hAnsiTheme="minorHAnsi" w:cs="Arial"/>
                <w:szCs w:val="24"/>
              </w:rPr>
              <w:t>Wsparcie uczniów szczególnie uzdolnionych</w:t>
            </w:r>
            <w:bookmarkEnd w:id="1"/>
            <w:r w:rsidRPr="00075175">
              <w:rPr>
                <w:rFonts w:asciiTheme="minorHAnsi" w:hAnsiTheme="minorHAnsi" w:cs="Arial"/>
                <w:szCs w:val="24"/>
              </w:rPr>
              <w:t xml:space="preserve">  </w:t>
            </w:r>
          </w:p>
        </w:tc>
      </w:tr>
      <w:tr w:rsidR="001A12CF" w:rsidRPr="00075175" w:rsidTr="001A12CF">
        <w:tc>
          <w:tcPr>
            <w:tcW w:w="9634" w:type="dxa"/>
          </w:tcPr>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t>Podstawa prawna działania samorządu w tym obszarze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075175" w:rsidTr="001A12CF">
        <w:trPr>
          <w:trHeight w:val="1776"/>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Do celów systemu oświaty art. 1 ustawy – Prawo oświatowe zalicza m.in. opiekę nad uczniami szczególnie uzdolnionymi poprzez umożliwianie realizowania indywidualnych programów nauczania oraz ukończenia szkoły każdego typu w skróconym czasie (pkt 8).</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xml:space="preserve">Zgodnie z art. 109 ust. 1 pkt 6 ustawy – Prawo oświatowe jedną z podstawowych form działalności dydaktyczno-wychowawczej szkoły są zajęcia rozwijające zainteresowania i uzdolnienia uczniów, w szczególności w celu kształtowania ich aktywności i kreatywności. </w:t>
            </w:r>
          </w:p>
          <w:p w:rsidR="001A12CF" w:rsidRPr="00075175" w:rsidRDefault="001A12CF" w:rsidP="001A12CF">
            <w:pPr>
              <w:autoSpaceDE w:val="0"/>
              <w:autoSpaceDN w:val="0"/>
              <w:adjustRightInd w:val="0"/>
              <w:jc w:val="left"/>
              <w:rPr>
                <w:rFonts w:asciiTheme="minorHAnsi" w:hAnsiTheme="minorHAnsi" w:cs="Arial"/>
                <w:sz w:val="24"/>
                <w:szCs w:val="24"/>
              </w:rPr>
            </w:pPr>
            <w:r w:rsidRPr="00075175">
              <w:rPr>
                <w:rFonts w:asciiTheme="minorHAnsi" w:hAnsiTheme="minorHAnsi" w:cs="Arial"/>
                <w:sz w:val="24"/>
                <w:szCs w:val="24"/>
              </w:rPr>
              <w:t xml:space="preserve">W myśl art. 115 ust. 1 ustawy – Prawo oświatowe 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 </w:t>
            </w:r>
          </w:p>
          <w:p w:rsidR="001A12CF" w:rsidRPr="00075175" w:rsidRDefault="001A12CF" w:rsidP="001A12CF">
            <w:pPr>
              <w:autoSpaceDE w:val="0"/>
              <w:autoSpaceDN w:val="0"/>
              <w:adjustRightInd w:val="0"/>
              <w:jc w:val="left"/>
              <w:rPr>
                <w:rFonts w:asciiTheme="minorHAnsi" w:hAnsiTheme="minorHAnsi" w:cs="Arial"/>
                <w:sz w:val="24"/>
                <w:szCs w:val="24"/>
              </w:rPr>
            </w:pPr>
            <w:r w:rsidRPr="00075175">
              <w:rPr>
                <w:rFonts w:asciiTheme="minorHAnsi" w:hAnsiTheme="minorHAnsi" w:cs="Arial"/>
                <w:sz w:val="24"/>
                <w:szCs w:val="24"/>
              </w:rPr>
              <w:t xml:space="preserve">Warunki i tryb udzielania zezwoleń na indywidualny program lub tok nauki oraz organizację indywidualnego programu lub toku nauki, uwzględniając umożliwienie uczniom szczególnie uzdolnionym rozwoju ich uzdolnień oraz ukończenie szkoły w skróconym czasie reguluje rozporządzenie Ministra Edukacji Narodowej z dnia 9 sierpnia 2017 r. w sprawie warunków i trybu udzielania zezwoleń na indywidualny program lub tok nauki oraz organizacji indywidualnego programu lub toku nauki. </w:t>
            </w:r>
          </w:p>
          <w:p w:rsidR="001A12CF" w:rsidRPr="00075175" w:rsidRDefault="001A12CF" w:rsidP="001A12CF">
            <w:pPr>
              <w:autoSpaceDE w:val="0"/>
              <w:autoSpaceDN w:val="0"/>
              <w:adjustRightInd w:val="0"/>
              <w:jc w:val="left"/>
              <w:rPr>
                <w:rFonts w:asciiTheme="minorHAnsi" w:hAnsiTheme="minorHAnsi" w:cs="Arial"/>
                <w:sz w:val="24"/>
                <w:szCs w:val="24"/>
              </w:rPr>
            </w:pPr>
            <w:r w:rsidRPr="00075175">
              <w:rPr>
                <w:rFonts w:asciiTheme="minorHAnsi" w:hAnsiTheme="minorHAnsi" w:cs="Arial"/>
                <w:sz w:val="24"/>
                <w:szCs w:val="24"/>
              </w:rPr>
              <w:t>Na mocy §5 ust. 1 powołanego rozporządzenia nauczyciel prowadzący zajęcia edukacyjne, których dotyczy wniosek o udzielenie zezwolenia na indywidualny program nauki, opracowuje indywidualny program nauki lub akceptuje indywidualny program nauki opracowany poza szkołą, który uczeń ma realizować pod jego kierunkiem.</w:t>
            </w:r>
          </w:p>
          <w:p w:rsidR="001A12CF" w:rsidRPr="00075175" w:rsidRDefault="001A12CF" w:rsidP="001A12CF">
            <w:pPr>
              <w:autoSpaceDE w:val="0"/>
              <w:autoSpaceDN w:val="0"/>
              <w:adjustRightInd w:val="0"/>
              <w:jc w:val="left"/>
              <w:rPr>
                <w:rFonts w:asciiTheme="minorHAnsi" w:hAnsiTheme="minorHAnsi" w:cs="Arial"/>
                <w:sz w:val="24"/>
                <w:szCs w:val="24"/>
              </w:rPr>
            </w:pPr>
            <w:r w:rsidRPr="00075175">
              <w:rPr>
                <w:rFonts w:asciiTheme="minorHAnsi" w:hAnsiTheme="minorHAnsi" w:cs="Arial"/>
                <w:sz w:val="24"/>
                <w:szCs w:val="24"/>
              </w:rPr>
              <w:t xml:space="preserve">Rozporządzenie Ministra Edukacji Narodowej z dnia 9 sierpnia 2017 r. w sprawie zasad organizacji i udzielania pomocy psychologiczno-pedagogicznej w publicznych przedszkolach, szkołach i placówkach wskazuje w §2 ust. 2 pkt 5 że potrzeba objęcia ucznia pomocą psychologiczno-pedagogiczną w przedszkolu, szkole i placówce, może wynikać m.in. ze szczególnych uzdolnień ucznia. Dla takich uczniów pomoc realizuje się poprzez organizację na terenie przedszkola, szkoły i placówki zajęć rozwijających uzdolnienia (§6 odpowiednio ust. 1 pkt 1, ust. 2 pkt 2 i ust. 3 pkt 1)  </w:t>
            </w:r>
            <w:r w:rsidRPr="00075175">
              <w:rPr>
                <w:rStyle w:val="alb"/>
                <w:rFonts w:asciiTheme="minorHAnsi" w:hAnsiTheme="minorHAnsi"/>
                <w:sz w:val="24"/>
                <w:szCs w:val="24"/>
              </w:rPr>
              <w:t xml:space="preserve">Zgodnie z </w:t>
            </w:r>
            <w:r w:rsidRPr="00075175">
              <w:rPr>
                <w:rStyle w:val="alb"/>
                <w:rFonts w:asciiTheme="minorHAnsi" w:hAnsiTheme="minorHAnsi" w:cs="Arial"/>
                <w:sz w:val="24"/>
                <w:szCs w:val="24"/>
              </w:rPr>
              <w:t>§</w:t>
            </w:r>
            <w:r w:rsidRPr="00075175">
              <w:rPr>
                <w:rStyle w:val="alb"/>
                <w:rFonts w:asciiTheme="minorHAnsi" w:hAnsiTheme="minorHAnsi"/>
                <w:sz w:val="24"/>
                <w:szCs w:val="24"/>
              </w:rPr>
              <w:t xml:space="preserve">7 powołanego rozporządzenia </w:t>
            </w:r>
            <w:r w:rsidRPr="00075175">
              <w:rPr>
                <w:rFonts w:asciiTheme="minorHAnsi" w:hAnsiTheme="minorHAnsi"/>
                <w:sz w:val="24"/>
                <w:szCs w:val="24"/>
              </w:rPr>
              <w:t xml:space="preserve">zajęcia rozwijające uzdolnienia organizuje się dla uczniów szczególnie uzdolnionych a liczba uczestników zajęć nie może przekraczać 8. </w:t>
            </w:r>
            <w:r w:rsidRPr="00075175">
              <w:rPr>
                <w:rFonts w:asciiTheme="minorHAnsi" w:hAnsiTheme="minorHAnsi" w:cs="Arial"/>
                <w:sz w:val="24"/>
                <w:szCs w:val="24"/>
              </w:rPr>
              <w:t xml:space="preserve">Z kolei §17 ust. 1 wskazuje, że </w:t>
            </w:r>
            <w:r w:rsidRPr="00075175">
              <w:rPr>
                <w:rFonts w:asciiTheme="minorHAnsi" w:hAnsiTheme="minorHAnsi"/>
                <w:sz w:val="24"/>
                <w:szCs w:val="24"/>
              </w:rPr>
              <w:t xml:space="preserve">zajęcia rozwijające uzdolnienia prowadzą </w:t>
            </w:r>
            <w:r w:rsidRPr="00075175">
              <w:rPr>
                <w:rFonts w:asciiTheme="minorHAnsi" w:hAnsiTheme="minorHAnsi"/>
                <w:sz w:val="24"/>
                <w:szCs w:val="24"/>
              </w:rPr>
              <w:lastRenderedPageBreak/>
              <w:t xml:space="preserve">nauczyciele, wychowawcy grup wychowawczych i specjaliści posiadający kwalifikacje odpowiednie do rodzaju zajęć.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Ustawa o systemie oświaty w art. 90 c przewiduje świadczenia pomocy materialnej dla uczniów o charakterze motywacyjnym: 1) stypendium za wyniki w nauce lub za osiągnięcia sportowe; 2) stypendium Prezesa Rady Ministrów; 3) stypendium ministra właściwego do spraw oświaty i wychowania; 4) stypendium ministra właściwego do spraw kultury i ochrony dziedzictwa narodowego.</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Szczegółowe zasady przyznawania uczniom wymienionych powyżej stypendiów określają art. 90g-90k ustawy o systemie oświaty.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Stypendia za wyniki w nauce lub za osiągnięcia sportowe są co do zasady finansowane z dochodów jednostek samorządu terytorialnego (art. 90s ust. 1 z zastrzeżeniem ust. 4-6).</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lastRenderedPageBreak/>
              <w:t>Analiza ilościowa</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075175" w:rsidTr="001A12CF">
        <w:trPr>
          <w:trHeight w:val="1522"/>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uczniów korzystających z indywidualnych programów nauczania w relacji do wszystkich uczniów</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uczniów kończących szkołę w skróconym czasie w relacji do wszystkich uczniów</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Procent uczestników korzystających z zajęć pozalekcyjnych w szkołach prowadzonych przez JST</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Wartość i liczba przyznanych stypendiów (dot. programów stypendialnych finansowanych przez JST)</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laureatów konkursów i olimpiad na poziomie wojewódzkim i krajowym w relacji do wszystkich uczniów</w:t>
            </w:r>
          </w:p>
          <w:p w:rsidR="001A12CF" w:rsidRPr="00075175" w:rsidRDefault="001A12CF" w:rsidP="001A12CF">
            <w:pPr>
              <w:rPr>
                <w:rFonts w:asciiTheme="minorHAnsi" w:hAnsiTheme="minorHAnsi"/>
                <w:sz w:val="24"/>
                <w:szCs w:val="24"/>
                <w:highlight w:val="yellow"/>
              </w:rPr>
            </w:pPr>
            <w:r w:rsidRPr="00075175">
              <w:rPr>
                <w:rFonts w:asciiTheme="minorHAnsi" w:hAnsiTheme="minorHAnsi"/>
                <w:sz w:val="24"/>
                <w:szCs w:val="24"/>
                <w:highlight w:val="yellow"/>
              </w:rPr>
              <w:t>[do uzupełnienia - w takim zakresie w jakim dane lub udokumentowane w literaturze szacunki będą dostępne]</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t>Rola organu prowadzącego</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xml:space="preserve">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w:t>
            </w:r>
            <w:r w:rsidRPr="00075175">
              <w:rPr>
                <w:rFonts w:asciiTheme="minorHAnsi" w:hAnsiTheme="minorHAnsi"/>
                <w:i/>
                <w:sz w:val="24"/>
                <w:szCs w:val="24"/>
              </w:rPr>
              <w:lastRenderedPageBreak/>
              <w:t>które powinny być / mogą być realizowane przez JST w tym zakresie.</w:t>
            </w:r>
          </w:p>
        </w:tc>
      </w:tr>
      <w:tr w:rsidR="001A12CF" w:rsidRPr="00075175" w:rsidTr="001A12CF">
        <w:trPr>
          <w:trHeight w:val="28"/>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lastRenderedPageBreak/>
              <w:t>Przepisy ustawy Prawo oświatowe są w tym zakresie sformułowane w sposób otwarty. Organ prowadzący oraz poszczególne szkoły mają zatem możliwość dostosowania sposobu realizacji tego zadania do lokalnych potrzeb i uwarunkowań (w tym posiadanych zasobów kadrowych). Pozwala to zapewnić opiekę nad uczniami szczególnie uzdolnionymi i wspieranie rozwoju ich zainteresowań i uzdolnień poprzez:</w:t>
            </w:r>
          </w:p>
          <w:p w:rsidR="001A12CF" w:rsidRPr="00075175" w:rsidRDefault="001A12CF" w:rsidP="001A12CF">
            <w:pPr>
              <w:pStyle w:val="Akapitzlist"/>
              <w:numPr>
                <w:ilvl w:val="0"/>
                <w:numId w:val="19"/>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Realizację indywidualnych programów nauczania, </w:t>
            </w:r>
          </w:p>
          <w:p w:rsidR="001A12CF" w:rsidRPr="00075175" w:rsidRDefault="001A12CF" w:rsidP="001A12CF">
            <w:pPr>
              <w:pStyle w:val="Akapitzlist"/>
              <w:numPr>
                <w:ilvl w:val="0"/>
                <w:numId w:val="19"/>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Możliwość ukończenia szkoły każdego typu w skróconym czasie, </w:t>
            </w:r>
          </w:p>
          <w:p w:rsidR="001A12CF" w:rsidRPr="00075175" w:rsidRDefault="001A12CF" w:rsidP="001A12CF">
            <w:pPr>
              <w:pStyle w:val="Akapitzlist"/>
              <w:numPr>
                <w:ilvl w:val="0"/>
                <w:numId w:val="19"/>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Organizowanie zajęć pozalekcyjnych i pozaszkolnych. </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To ostatnie zadanie wiąże się niestety często z koniecznością dołożenia przez JST dodatkowych, własnych środków do kwot uzyskanych w ramach części oświatowej subwencji ogólnej. W efekcie można jednak otrzymać bardzo zróżnicowane i dopasowane do potrzeb formy wsparcia. Ich skuteczność zależy zwykle od kreatywności i innowacyjnego podejścia osób zarządzających lokalną oświatą.</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Obok zorganizowanych form rozwoju zainteresowań część gmin korzysta z delegacji ustawowej i tworzy:</w:t>
            </w:r>
          </w:p>
          <w:p w:rsidR="001A12CF" w:rsidRPr="00075175" w:rsidRDefault="001A12CF" w:rsidP="001A12CF">
            <w:pPr>
              <w:pStyle w:val="Akapitzlist"/>
              <w:numPr>
                <w:ilvl w:val="0"/>
                <w:numId w:val="19"/>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Programy stypendialne dla uczniów i studentów wybitnie uzdolnionych. </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Celem tych programów jest m.in.: (a) zwiększenie szans uczniów zdolnych na sukces edukacyjny; (b) tworzenie instytucjonalnych i materialnych warunków sprzyjających rozwojowi utalentowanych dzieci i młodzieży; (c) wspieranie uczniów w rozwijaniu ich zainteresowań́ poprzez możliwość udziału w powiatowych, wojewódzkich i ogólnopolskich imprezach (np. olimpiadach, konkursach, festiwalach, turniejach itp.); (d) promowanie młodzieży szczególnie uzdolnionej.</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t>Narzędzia i rozwiązania zarządcze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075175" w:rsidTr="001A12CF">
        <w:trPr>
          <w:trHeight w:val="119"/>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lastRenderedPageBreak/>
              <w:t>Dobre praktyki</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075175" w:rsidTr="001A12CF">
        <w:trPr>
          <w:trHeight w:val="322"/>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075175" w:rsidTr="001A12CF">
        <w:trPr>
          <w:trHeight w:val="31"/>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2"/>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075175" w:rsidTr="001A12CF">
        <w:trPr>
          <w:trHeight w:val="66"/>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bl>
    <w:p w:rsidR="001A12CF" w:rsidRPr="00075175" w:rsidRDefault="001A12CF">
      <w:pPr>
        <w:spacing w:after="200" w:line="276" w:lineRule="auto"/>
        <w:jc w:val="left"/>
        <w:rPr>
          <w:rFonts w:asciiTheme="minorHAnsi" w:hAnsiTheme="minorHAnsi"/>
          <w:sz w:val="24"/>
          <w:szCs w:val="24"/>
        </w:rPr>
      </w:pPr>
    </w:p>
    <w:p w:rsidR="001A12CF" w:rsidRPr="00075175" w:rsidRDefault="001A12CF">
      <w:pPr>
        <w:spacing w:after="200" w:line="276" w:lineRule="auto"/>
        <w:jc w:val="left"/>
        <w:rPr>
          <w:rFonts w:asciiTheme="minorHAnsi" w:hAnsiTheme="minorHAnsi"/>
          <w:sz w:val="24"/>
          <w:szCs w:val="24"/>
        </w:rPr>
      </w:pPr>
      <w:r w:rsidRPr="00075175">
        <w:rPr>
          <w:rFonts w:asciiTheme="minorHAnsi" w:hAnsiTheme="minorHAnsi"/>
          <w:sz w:val="24"/>
          <w:szCs w:val="24"/>
        </w:rPr>
        <w:br w:type="page"/>
      </w:r>
    </w:p>
    <w:tbl>
      <w:tblPr>
        <w:tblStyle w:val="Tabela-Siatka"/>
        <w:tblW w:w="9634" w:type="dxa"/>
        <w:tblLayout w:type="fixed"/>
        <w:tblCellMar>
          <w:top w:w="57" w:type="dxa"/>
          <w:left w:w="85" w:type="dxa"/>
          <w:bottom w:w="57" w:type="dxa"/>
          <w:right w:w="85" w:type="dxa"/>
        </w:tblCellMar>
        <w:tblLook w:val="04A0"/>
      </w:tblPr>
      <w:tblGrid>
        <w:gridCol w:w="9634"/>
      </w:tblGrid>
      <w:tr w:rsidR="001A12CF" w:rsidRPr="00075175" w:rsidTr="001A12CF">
        <w:tc>
          <w:tcPr>
            <w:tcW w:w="9634" w:type="dxa"/>
          </w:tcPr>
          <w:p w:rsidR="00C60611" w:rsidRPr="00075175" w:rsidRDefault="00C60611" w:rsidP="00C60611">
            <w:pPr>
              <w:rPr>
                <w:rFonts w:asciiTheme="minorHAnsi" w:hAnsiTheme="minorHAnsi"/>
                <w:b/>
                <w:sz w:val="24"/>
                <w:szCs w:val="24"/>
              </w:rPr>
            </w:pPr>
            <w:r w:rsidRPr="00075175">
              <w:rPr>
                <w:rFonts w:asciiTheme="minorHAnsi" w:hAnsiTheme="minorHAnsi"/>
                <w:b/>
                <w:sz w:val="24"/>
                <w:szCs w:val="24"/>
              </w:rPr>
              <w:lastRenderedPageBreak/>
              <w:t>Wsparcie kadry jednostek samorządu terytorialnego w zarządzaniu oświatą ukierunkowanym na rozwój szkół i kompetencji kluczowych uczniów  (POWR.02.10.00-IP.02-00-003/15)</w:t>
            </w:r>
          </w:p>
          <w:p w:rsidR="00C60611" w:rsidRPr="00075175" w:rsidRDefault="00C60611" w:rsidP="00C60611">
            <w:pPr>
              <w:pStyle w:val="Tytu"/>
              <w:rPr>
                <w:rFonts w:asciiTheme="minorHAnsi" w:hAnsiTheme="minorHAnsi"/>
                <w:sz w:val="24"/>
                <w:szCs w:val="24"/>
              </w:rPr>
            </w:pPr>
            <w:r w:rsidRPr="00075175">
              <w:rPr>
                <w:rFonts w:asciiTheme="minorHAnsi" w:hAnsiTheme="minorHAnsi"/>
                <w:sz w:val="24"/>
                <w:szCs w:val="24"/>
              </w:rPr>
              <w:t xml:space="preserve">Strategiczny przegląd sytuacji w obszarze 9: </w:t>
            </w:r>
          </w:p>
          <w:p w:rsidR="001A12CF" w:rsidRPr="00075175" w:rsidRDefault="001A12CF" w:rsidP="00C60611">
            <w:pPr>
              <w:pStyle w:val="Nagwek1"/>
              <w:jc w:val="left"/>
              <w:outlineLvl w:val="0"/>
              <w:rPr>
                <w:rFonts w:asciiTheme="minorHAnsi" w:hAnsiTheme="minorHAnsi"/>
                <w:szCs w:val="24"/>
              </w:rPr>
            </w:pPr>
            <w:bookmarkStart w:id="2" w:name="_Toc494887096"/>
            <w:r w:rsidRPr="00075175">
              <w:rPr>
                <w:rFonts w:asciiTheme="minorHAnsi" w:hAnsiTheme="minorHAnsi"/>
                <w:szCs w:val="24"/>
              </w:rPr>
              <w:t>Gospodarowanie zasobami materialnymi, umożliwiającymi realizację wyznaczonych celów edukacyjnych</w:t>
            </w:r>
            <w:bookmarkEnd w:id="2"/>
          </w:p>
        </w:tc>
      </w:tr>
      <w:tr w:rsidR="001A12CF" w:rsidRPr="00075175" w:rsidTr="001A12CF">
        <w:tc>
          <w:tcPr>
            <w:tcW w:w="9634" w:type="dxa"/>
          </w:tcPr>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t>Podstawa prawna działania samorządu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075175" w:rsidTr="001A12CF">
        <w:trPr>
          <w:trHeight w:val="3059"/>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Punktem wyjścia do analizy podstawy prawnej dla obszaru gospodarowania zasobami materialnymi jest art. 10 ust. 1 ustawy Prawo oświatowe. Określa on obowiązki organu prowadzącego szkołę i placówkę. Dotyczą one zapewnienia: bezpiecznych i higienicznych warunków nauki, wychowania i opieki; warunków umożliwiających stosowanie specjalnej organizacji nauki i metod pracy dla dzieci i młodzieży objętych kształceniem specjalnym; wykonywanie remontów obiektów szkolnych oraz zadań inwestycyjnych w tym zakresie; zapewnienie obsługi administracyjnej, prawnej i finansowej; wyposażanie szkoły w pomoce dydaktyczne i sprzęt niezbędny do pełnej realizacji programów nauczania i wychowawczo-profilaktycznych oraz przeprowadzania egzaminów; wykonywanie czynności w sprawach z zakresu prawa pracy w stosunku do dyrektora szkoły lub placówki.</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Z zarządzaniem bazą materialną wiąże się również kształtowanie sieci szkół (art. 39 ustawy Prawo oświatowe). JST racjonalizują sieci, dostosowując je do potrzeb funkcjonowania wspólnot lokalnych. Samorządy zostały przez ustawodawcę wyposażone w kilka instrumentów w tym zakresie, tj. możliwość: przekazywania prowadzenia szkoły publicznej (art. 9 upo); likwidacji szkoły lub placówki publicznej (art. 89 upo); przekształcenia szkoły lub placówki publicznej (art. 89 upo).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Jednak swobodę samorządu w tym zakresie ogranicza obowiązek uzyskania pozytywnej opinii kuratora oświaty w szeregu przypadków: przy ustalaniu planu sieci publicznych szkół (art. 39 ust. 8 upo), przy zatwierdzaniu arkuszy organizacji publicznych szkół i placówek (art. 51 ust. 1 pkt 12 upo); przy przekazywaniu prowadzenia szkoły podmiotowi prywatnemu (art. 9 ust. 1 upo), przy likwidacji szkoły lub placówki publicznej (art. 89 ust. 3 upo).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weryfikacji / uzupełnienia]</w:t>
            </w:r>
            <w:r w:rsidRPr="00075175">
              <w:rPr>
                <w:rFonts w:asciiTheme="minorHAnsi" w:hAnsiTheme="minorHAnsi"/>
                <w:sz w:val="24"/>
                <w:szCs w:val="24"/>
              </w:rPr>
              <w:t xml:space="preserve">  </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lastRenderedPageBreak/>
              <w:t>Analiza ilościowa</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075175" w:rsidTr="001A12CF">
        <w:trPr>
          <w:trHeight w:val="2249"/>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Możliwości wywiązania się z uwarunkowań prawnych i efektywnego gospodarowania zasobami materialnymi, kształtowane są przez wiele czynników.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Kluczowe znaczenie ma aspekt finansowy, w tym wolumen dochodów (a w nim przekazywana z budżetu państwa część oświatowa subwencji ogólnej) oraz analiza wydatków budżetu JST.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Ze względu na temat opracowania głównym przedmiotem analizy powinny być wydatki majątkowe według obowiązującej klasyfikacji budżetowej, co pozwoli zorientować się co do struktury wydatków i ich wysokości.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Odpowiednie łączenie elementów klasyfikacji budżetowej pozwalana na agregowanie danych porównawczych w różnych konfiguracjach (np. proporcji wydatków majątkowych na oświatę w wydatkach majątkowych JST ogółem, udziału w wydatkach majątkowych wydatków z różnych źródeł (np. własnych, budżetu państwa i unijnych) oraz analiza w/w w rozbiciu na poszczególne kategorie JST.</w:t>
            </w:r>
          </w:p>
          <w:p w:rsidR="001A12CF" w:rsidRPr="00075175" w:rsidRDefault="001A12CF" w:rsidP="001A12CF">
            <w:pPr>
              <w:rPr>
                <w:rFonts w:asciiTheme="minorHAnsi" w:hAnsiTheme="minorHAnsi"/>
                <w:sz w:val="24"/>
                <w:szCs w:val="24"/>
                <w:u w:val="single"/>
              </w:rPr>
            </w:pPr>
            <w:r w:rsidRPr="00075175">
              <w:rPr>
                <w:rFonts w:asciiTheme="minorHAnsi" w:hAnsiTheme="minorHAnsi"/>
                <w:sz w:val="24"/>
                <w:szCs w:val="24"/>
                <w:u w:val="single"/>
              </w:rPr>
              <w:t>Przykładowe wskaźniki:</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Wykorzystanie pomieszczeń lekcyjnych</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Bieżące wydatki na zadania oświatowe jako procent otrzymanej subwencji oświatowej</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Wydatki bieżące na zadania oświatowe w przeliczeniu na jednego ucznia / jeden oddział</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Wydatki majątkowe w stosunku do całkowitych wydatków na zadania oświatowe i edukacyjną opiekę wychowawczą</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Wydatki finansowane z funduszy strukturalnych UE i innych środków bezzwrotnych jako procent całkowitych wydatków na zadania oświatowe i edukacyjną opiekę wychowawczą</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Wydatki majątkowe w oświacie i edukacyjnej opiece wychowawczej w stosunku do całkowitych wydatków majątkowych JST</w:t>
            </w:r>
          </w:p>
          <w:p w:rsidR="001A12CF" w:rsidRPr="00075175" w:rsidRDefault="001A12CF" w:rsidP="001A12CF">
            <w:pPr>
              <w:rPr>
                <w:rFonts w:asciiTheme="minorHAnsi" w:hAnsiTheme="minorHAnsi"/>
                <w:sz w:val="24"/>
                <w:szCs w:val="24"/>
                <w:highlight w:val="yellow"/>
              </w:rPr>
            </w:pPr>
            <w:r w:rsidRPr="00075175">
              <w:rPr>
                <w:rFonts w:asciiTheme="minorHAnsi" w:hAnsiTheme="minorHAnsi"/>
                <w:sz w:val="24"/>
                <w:szCs w:val="24"/>
                <w:highlight w:val="yellow"/>
              </w:rPr>
              <w:t xml:space="preserve"> [Do uzupełnienia – W poszukiwaniu propozycji wskaźników ilościowych na ten temat może pomóc lektura opracowania M.Tobora i J.M. Czajkowskiego (załącznik nr 2) oraz opracowania </w:t>
            </w:r>
            <w:hyperlink r:id="rId8" w:history="1">
              <w:r w:rsidRPr="00075175">
                <w:rPr>
                  <w:rStyle w:val="Hipercze"/>
                  <w:rFonts w:asciiTheme="minorHAnsi" w:hAnsiTheme="minorHAnsi"/>
                  <w:sz w:val="24"/>
                  <w:szCs w:val="24"/>
                </w:rPr>
                <w:t>J.Herczyński „Wskaźniki oświatowe”</w:t>
              </w:r>
            </w:hyperlink>
            <w:r w:rsidRPr="00075175">
              <w:rPr>
                <w:rFonts w:asciiTheme="minorHAnsi" w:hAnsiTheme="minorHAnsi"/>
                <w:sz w:val="24"/>
                <w:szCs w:val="24"/>
                <w:highlight w:val="yellow"/>
              </w:rPr>
              <w:t>]</w:t>
            </w:r>
          </w:p>
          <w:p w:rsidR="001A12CF" w:rsidRPr="00075175" w:rsidRDefault="001A12CF" w:rsidP="001A12CF">
            <w:pPr>
              <w:rPr>
                <w:rFonts w:asciiTheme="minorHAnsi" w:hAnsiTheme="minorHAnsi"/>
                <w:sz w:val="24"/>
                <w:szCs w:val="24"/>
                <w:highlight w:val="yellow"/>
              </w:rPr>
            </w:pPr>
          </w:p>
          <w:p w:rsidR="001A12CF" w:rsidRPr="00075175" w:rsidRDefault="001A12CF" w:rsidP="001A12CF">
            <w:pPr>
              <w:rPr>
                <w:rFonts w:asciiTheme="minorHAnsi" w:hAnsiTheme="minorHAnsi"/>
                <w:sz w:val="24"/>
                <w:szCs w:val="24"/>
                <w:highlight w:val="yellow"/>
              </w:rPr>
            </w:pPr>
          </w:p>
        </w:tc>
      </w:tr>
      <w:tr w:rsidR="001A12CF" w:rsidRPr="00075175" w:rsidTr="001A12CF">
        <w:trPr>
          <w:trHeight w:val="584"/>
        </w:trPr>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t>Rola organu prowadzącego</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xml:space="preserve">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w:t>
            </w:r>
            <w:r w:rsidRPr="00075175">
              <w:rPr>
                <w:rFonts w:asciiTheme="minorHAnsi" w:hAnsiTheme="minorHAnsi"/>
                <w:i/>
                <w:sz w:val="24"/>
                <w:szCs w:val="24"/>
              </w:rPr>
              <w:lastRenderedPageBreak/>
              <w:t>które powinny być / mogą być realizowane przez JST w tym zakresie.</w:t>
            </w:r>
          </w:p>
        </w:tc>
      </w:tr>
      <w:tr w:rsidR="001A12CF" w:rsidRPr="00075175" w:rsidTr="001A12CF">
        <w:trPr>
          <w:trHeight w:val="4316"/>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lastRenderedPageBreak/>
              <w:t>Rola organu prowadzącego w zakresie gospodarowania zasobami materialnymi lokalnego systemu edukacyjnego wiąże się z kilkoma zasadniczymi funkcjami / zadaniami:</w:t>
            </w:r>
          </w:p>
          <w:p w:rsidR="001A12CF" w:rsidRPr="00075175" w:rsidRDefault="001A12CF" w:rsidP="001A12CF">
            <w:pPr>
              <w:pStyle w:val="Akapitzlist"/>
              <w:numPr>
                <w:ilvl w:val="0"/>
                <w:numId w:val="20"/>
              </w:numPr>
              <w:spacing w:after="120"/>
              <w:ind w:left="357" w:hanging="357"/>
              <w:rPr>
                <w:rFonts w:asciiTheme="minorHAnsi" w:hAnsiTheme="minorHAnsi"/>
                <w:sz w:val="24"/>
                <w:szCs w:val="24"/>
              </w:rPr>
            </w:pPr>
            <w:r w:rsidRPr="00075175">
              <w:rPr>
                <w:rFonts w:asciiTheme="minorHAnsi" w:hAnsiTheme="minorHAnsi"/>
                <w:sz w:val="24"/>
                <w:szCs w:val="24"/>
              </w:rPr>
              <w:t>Regularne inwentaryzowanie posiadanych zasobów oraz analiza ich wykorzystania na poziomie pojedynczych szkół i placówek oraz na poziomie całej jednostki samorządu - Analiza powinna być prowadzona pod kątem zidentyfikowanych potrzeb lokalnego systemu oraz z uwzględnieniem zmian zachodzących w jego otoczeniu (zwłaszcza zmiany demograficzne i sytuacji na rynku pracy).</w:t>
            </w:r>
          </w:p>
          <w:p w:rsidR="001A12CF" w:rsidRPr="00075175" w:rsidRDefault="001A12CF" w:rsidP="001A12CF">
            <w:pPr>
              <w:pStyle w:val="Akapitzlist"/>
              <w:numPr>
                <w:ilvl w:val="0"/>
                <w:numId w:val="20"/>
              </w:numPr>
              <w:spacing w:after="120"/>
              <w:ind w:left="357" w:hanging="357"/>
              <w:rPr>
                <w:rFonts w:asciiTheme="minorHAnsi" w:hAnsiTheme="minorHAnsi"/>
                <w:sz w:val="24"/>
                <w:szCs w:val="24"/>
              </w:rPr>
            </w:pPr>
            <w:r w:rsidRPr="00075175">
              <w:rPr>
                <w:rFonts w:asciiTheme="minorHAnsi" w:hAnsiTheme="minorHAnsi"/>
                <w:sz w:val="24"/>
                <w:szCs w:val="24"/>
              </w:rPr>
              <w:t xml:space="preserve">Bieżące administrowanie zasobami systemu oświaty oraz inicjowanie działań restrukturyzacyjnych, poprawiających jakoś bazy i efektywność jej wykorzystania - Wykorzystanie wniosków z prowadzonych analiz; tworzenie planów inwestycyjnych pod kątem funduszy własnych oraz pozyskiwanych z zewnętrz. </w:t>
            </w:r>
          </w:p>
          <w:p w:rsidR="001A12CF" w:rsidRPr="00075175" w:rsidRDefault="001A12CF" w:rsidP="001A12CF">
            <w:pPr>
              <w:pStyle w:val="Akapitzlist"/>
              <w:numPr>
                <w:ilvl w:val="0"/>
                <w:numId w:val="20"/>
              </w:numPr>
              <w:spacing w:after="120"/>
              <w:ind w:left="357" w:hanging="357"/>
              <w:rPr>
                <w:rFonts w:asciiTheme="minorHAnsi" w:hAnsiTheme="minorHAnsi"/>
                <w:sz w:val="24"/>
                <w:szCs w:val="24"/>
              </w:rPr>
            </w:pPr>
            <w:r w:rsidRPr="00075175">
              <w:rPr>
                <w:rFonts w:asciiTheme="minorHAnsi" w:hAnsiTheme="minorHAnsi"/>
                <w:sz w:val="24"/>
                <w:szCs w:val="24"/>
              </w:rPr>
              <w:t>Pozyskiwanie zewnętrznego finansowania na realizację celów oświatowych.</w:t>
            </w:r>
          </w:p>
          <w:p w:rsidR="001A12CF" w:rsidRPr="00075175" w:rsidRDefault="001A12CF" w:rsidP="001A12CF">
            <w:pPr>
              <w:pStyle w:val="Akapitzlist"/>
              <w:numPr>
                <w:ilvl w:val="0"/>
                <w:numId w:val="20"/>
              </w:numPr>
              <w:spacing w:after="120"/>
              <w:ind w:left="357" w:hanging="357"/>
              <w:rPr>
                <w:rFonts w:asciiTheme="minorHAnsi" w:hAnsiTheme="minorHAnsi"/>
                <w:sz w:val="24"/>
                <w:szCs w:val="24"/>
              </w:rPr>
            </w:pPr>
            <w:r w:rsidRPr="00075175">
              <w:rPr>
                <w:rFonts w:asciiTheme="minorHAnsi" w:hAnsiTheme="minorHAnsi"/>
                <w:sz w:val="24"/>
                <w:szCs w:val="24"/>
              </w:rPr>
              <w:t>Rozwijanie kompetencji kadry organów prowadzących w zakresie  analizy i optymalizacji kosztów oraz prognozowania zapotrzebowania.</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 przypadku działań optymalizujących lokalną sieć szkół / placówek organ prowadzący musi się wykazać umiejętnością angażowania lokalnych interesariuszy (w tym przede wszystkim uczniów i ich rodziców) i prowadzenia dialogu.</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[Powyższy tekst jedynie sygnalizuje przykładowe kierunki analizy. Prosimy o rozwinięcie m.in. wątku dot. likwidacji szkół oraz zarządzania majątkiem po zlikwidowanych szkołach. - 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t>Narzędzia i rozwiązania zarządcze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t>Dobre praktyki</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xml:space="preserve">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w:t>
            </w:r>
            <w:r w:rsidRPr="00075175">
              <w:rPr>
                <w:rFonts w:asciiTheme="minorHAnsi" w:hAnsiTheme="minorHAnsi"/>
                <w:i/>
                <w:sz w:val="24"/>
                <w:szCs w:val="24"/>
              </w:rPr>
              <w:lastRenderedPageBreak/>
              <w:t>dotyczą? W jakiej mierze są ilustracją omówionych wcześniej narzędzi? Kto i dlaczego powinien się zapoznać z opisem? Na co ma zwrócić uwagę?</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3"/>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075175" w:rsidTr="001A12CF">
        <w:trPr>
          <w:trHeight w:val="26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bl>
    <w:p w:rsidR="001A12CF" w:rsidRPr="00075175" w:rsidRDefault="001A12CF">
      <w:pPr>
        <w:spacing w:after="200" w:line="276" w:lineRule="auto"/>
        <w:jc w:val="left"/>
        <w:rPr>
          <w:rFonts w:asciiTheme="minorHAnsi" w:hAnsiTheme="minorHAnsi"/>
          <w:sz w:val="24"/>
          <w:szCs w:val="24"/>
        </w:rPr>
      </w:pPr>
    </w:p>
    <w:p w:rsidR="001A12CF" w:rsidRPr="00075175" w:rsidRDefault="001A12CF">
      <w:pPr>
        <w:spacing w:after="200" w:line="276" w:lineRule="auto"/>
        <w:jc w:val="left"/>
        <w:rPr>
          <w:rFonts w:asciiTheme="minorHAnsi" w:hAnsiTheme="minorHAnsi"/>
          <w:sz w:val="24"/>
          <w:szCs w:val="24"/>
        </w:rPr>
      </w:pPr>
      <w:r w:rsidRPr="00075175">
        <w:rPr>
          <w:rFonts w:asciiTheme="minorHAnsi" w:hAnsiTheme="minorHAnsi"/>
          <w:sz w:val="24"/>
          <w:szCs w:val="24"/>
        </w:rPr>
        <w:br w:type="page"/>
      </w:r>
    </w:p>
    <w:tbl>
      <w:tblPr>
        <w:tblStyle w:val="Tabela-Siatka"/>
        <w:tblW w:w="9634" w:type="dxa"/>
        <w:tblLayout w:type="fixed"/>
        <w:tblCellMar>
          <w:top w:w="57" w:type="dxa"/>
          <w:left w:w="85" w:type="dxa"/>
          <w:bottom w:w="57" w:type="dxa"/>
          <w:right w:w="85" w:type="dxa"/>
        </w:tblCellMar>
        <w:tblLook w:val="04A0"/>
      </w:tblPr>
      <w:tblGrid>
        <w:gridCol w:w="9634"/>
      </w:tblGrid>
      <w:tr w:rsidR="001A12CF" w:rsidRPr="00075175" w:rsidTr="001A12CF">
        <w:tc>
          <w:tcPr>
            <w:tcW w:w="9634" w:type="dxa"/>
          </w:tcPr>
          <w:p w:rsidR="00C60611" w:rsidRPr="00075175" w:rsidRDefault="00C60611" w:rsidP="00C60611">
            <w:pPr>
              <w:rPr>
                <w:rFonts w:asciiTheme="minorHAnsi" w:hAnsiTheme="minorHAnsi" w:cs="Arial"/>
                <w:b/>
                <w:sz w:val="24"/>
                <w:szCs w:val="24"/>
              </w:rPr>
            </w:pPr>
            <w:r w:rsidRPr="00075175">
              <w:rPr>
                <w:rFonts w:asciiTheme="minorHAnsi" w:hAnsiTheme="minorHAnsi" w:cs="Arial"/>
                <w:b/>
                <w:sz w:val="24"/>
                <w:szCs w:val="24"/>
              </w:rPr>
              <w:lastRenderedPageBreak/>
              <w:t>Wsparcie kadry jednostek samorządu terytorialnego w zarządzaniu oświatą ukierunkowanym na rozwój szkół i kompetencji kluczowych uczniów  (POWR.02.10.00-IP.02-00-003/15)</w:t>
            </w:r>
          </w:p>
          <w:p w:rsidR="00C60611" w:rsidRPr="00075175" w:rsidRDefault="00C60611" w:rsidP="00C60611">
            <w:pPr>
              <w:pStyle w:val="Tytu"/>
              <w:rPr>
                <w:rFonts w:asciiTheme="minorHAnsi" w:hAnsiTheme="minorHAnsi" w:cs="Arial"/>
                <w:sz w:val="24"/>
                <w:szCs w:val="24"/>
              </w:rPr>
            </w:pPr>
            <w:r w:rsidRPr="00075175">
              <w:rPr>
                <w:rFonts w:asciiTheme="minorHAnsi" w:hAnsiTheme="minorHAnsi" w:cs="Arial"/>
                <w:sz w:val="24"/>
                <w:szCs w:val="24"/>
              </w:rPr>
              <w:t xml:space="preserve">Strategiczny przegląd sytuacji w obszarze 10: </w:t>
            </w:r>
          </w:p>
          <w:p w:rsidR="001A12CF" w:rsidRPr="00075175" w:rsidRDefault="001A12CF" w:rsidP="001A12CF">
            <w:pPr>
              <w:pStyle w:val="Nagwek1"/>
              <w:outlineLvl w:val="0"/>
              <w:rPr>
                <w:rFonts w:asciiTheme="minorHAnsi" w:hAnsiTheme="minorHAnsi" w:cs="Arial"/>
                <w:szCs w:val="24"/>
              </w:rPr>
            </w:pPr>
            <w:bookmarkStart w:id="3" w:name="_Toc494887097"/>
            <w:r w:rsidRPr="00075175">
              <w:rPr>
                <w:rFonts w:asciiTheme="minorHAnsi" w:hAnsiTheme="minorHAnsi" w:cs="Arial"/>
                <w:szCs w:val="24"/>
              </w:rPr>
              <w:t>Planowanie budżetowe</w:t>
            </w:r>
            <w:bookmarkEnd w:id="3"/>
            <w:r w:rsidRPr="00075175">
              <w:rPr>
                <w:rFonts w:asciiTheme="minorHAnsi" w:hAnsiTheme="minorHAnsi" w:cs="Arial"/>
                <w:szCs w:val="24"/>
              </w:rPr>
              <w:t xml:space="preserve">  </w:t>
            </w:r>
          </w:p>
        </w:tc>
      </w:tr>
      <w:tr w:rsidR="001A12CF" w:rsidRPr="00075175" w:rsidTr="001A12CF">
        <w:tc>
          <w:tcPr>
            <w:tcW w:w="9634" w:type="dxa"/>
          </w:tcPr>
          <w:p w:rsidR="001A12CF" w:rsidRPr="00075175" w:rsidRDefault="001A12CF" w:rsidP="001A12CF">
            <w:pPr>
              <w:rPr>
                <w:rFonts w:asciiTheme="minorHAnsi" w:hAnsiTheme="minorHAnsi" w:cs="Arial"/>
                <w:sz w:val="24"/>
                <w:szCs w:val="24"/>
              </w:rPr>
            </w:pPr>
          </w:p>
        </w:tc>
      </w:tr>
      <w:tr w:rsidR="001A12CF" w:rsidRPr="00075175" w:rsidTr="001A12CF">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t>Podstawa prawna działania samorządu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075175" w:rsidTr="001A12CF">
        <w:trPr>
          <w:trHeight w:val="3059"/>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xml:space="preserve">Zgodnie z art. 11 ust. 1 ustawy – Prawo oświatowe zadania oświatowe jednostek samorządu terytorialnego są finansowane na zasadach określonych w odrębnych ustawach. Natomiast środki niezbędne do realizacji zadań oświatowych tj. zapewnienie kształcenia, wychowania i opieki, w tym kształcenia specjalnego i profilaktyki społecznej, zapewnienie dodatkowej, bezpłatnej nauki języka polskiego, zapewnienie warunków prowadzenia kwalifikacyjnych kursów zawodowych w szkołach i placówkach prowadzonych przez powiat; w tym na wynagrodzenia nauczycieli oraz utrzymanie szkół i placówek, są zagwarantowane w dochodach jednostek samorządu terytorialnego. Źródła dochodów jednostek samorządu terytorialnego określa art. 3 ustawy o dochodach jednostek samorządu terytorialnego. Podstawowym źródłem finansowania zadań oświatowych jest część oświatowa subwencji ogólnej (art. 28 ustawy o dochodach jednostek samorządu terytorialnego). Sposób podziału części oświatowej subwencji ogólnej między poszczególne jednostki samorządu terytorialnego określa na dany rok rozporządzenie wydane na podstawie art. 28 ust. 6 ustawy o dochodach jednostek samorządu terytorialnego. </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Jednym z podstawowych dokumentów regulujących proces budżetowy w oświacie jest arkusz organizacji szkoły / przedszkola. Zatwierdzanie arkuszy organizacyjnych przez organ prowadzący jest swoistym zobowiązaniem JST do sfinansowania wszystkich ujętych w nim działań. Regulacje dotyczące procedury zatwierdzania arkuszy zostały wprowadzone w art. 110 ustawy – Prawo oświatowe, natomiast ustawodawca dokonał ich uszczegółowienia w §17 rozporządzenia Ministra Edukacji Narodowej z dnia 17 marca 2017 r. w sprawie szczegółowej organizacji publicznych szkół i publicznych przedszkoli.</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xml:space="preserve">Planowanie finansów na działalność jednostek oświatowych jest integralną częścią prac nad projektem budżetu jednostek samorządu terytorialnego, którego zakres i szczegółowość oraz zasady i tryb planowania, uchwalania i wykonywania określa ustawa z dnia 27 sierpnia 2009 r. o finansach publicznych. Na podstawie art. 234 ustawy o finansach publicznych organy stanowiące doprecyzowują w odrębnych uchwałach tryb prac nad projektem uchwały budżetowej, określając obowiązujące terminy, jego szczegółowość (jeśli jest większa niż wymagana ustawą), wymogi dotyczące uzasadnienia oraz materiałów informacyjnych towarzyszących uchwale budżetowej. Procedurę tworzenia planów finansowych na działalność jednostek oświatowych a także wprowadzania zmian w planach finansowych określają przepisy rozporządzenia Ministra Finansów z dnia 7 grudnia 2010 r. w sprawie sposobu prowadzenia gospodarki finansowej </w:t>
            </w:r>
            <w:r w:rsidRPr="00075175">
              <w:rPr>
                <w:rFonts w:asciiTheme="minorHAnsi" w:hAnsiTheme="minorHAnsi" w:cs="Arial"/>
                <w:sz w:val="24"/>
                <w:szCs w:val="24"/>
              </w:rPr>
              <w:lastRenderedPageBreak/>
              <w:t>jednostek budżetowych i samorządowych zakładów budżetowych.</w:t>
            </w:r>
          </w:p>
          <w:p w:rsidR="001A12CF" w:rsidRPr="00075175" w:rsidRDefault="001A12CF" w:rsidP="001A12CF">
            <w:pPr>
              <w:spacing w:after="60"/>
              <w:rPr>
                <w:rFonts w:asciiTheme="minorHAnsi" w:hAnsiTheme="minorHAnsi" w:cs="Arial"/>
                <w:sz w:val="24"/>
                <w:szCs w:val="24"/>
              </w:rPr>
            </w:pPr>
            <w:r w:rsidRPr="00075175">
              <w:rPr>
                <w:rFonts w:asciiTheme="minorHAnsi" w:hAnsiTheme="minorHAnsi" w:cs="Arial"/>
                <w:sz w:val="24"/>
                <w:szCs w:val="24"/>
              </w:rPr>
              <w:t>Zgodnie z art. 44 ust. 3 ustawy o finansach publicznych wydatki publiczne, więc także wydatki na oświatę powinny być dokonywane w sposób celowy i oszczędny, z zachowaniem zasad:</w:t>
            </w:r>
          </w:p>
          <w:p w:rsidR="001A12CF" w:rsidRPr="00075175" w:rsidRDefault="001A12CF" w:rsidP="001A12CF">
            <w:pPr>
              <w:spacing w:after="60"/>
              <w:rPr>
                <w:rFonts w:asciiTheme="minorHAnsi" w:hAnsiTheme="minorHAnsi" w:cs="Arial"/>
                <w:sz w:val="24"/>
                <w:szCs w:val="24"/>
              </w:rPr>
            </w:pPr>
            <w:r w:rsidRPr="00075175">
              <w:rPr>
                <w:rFonts w:asciiTheme="minorHAnsi" w:hAnsiTheme="minorHAnsi" w:cs="Arial"/>
                <w:sz w:val="24"/>
                <w:szCs w:val="24"/>
              </w:rPr>
              <w:t>- uzyskiwania najlepszych efektów z danych nakładów,</w:t>
            </w:r>
          </w:p>
          <w:p w:rsidR="001A12CF" w:rsidRPr="00075175" w:rsidRDefault="001A12CF" w:rsidP="001A12CF">
            <w:pPr>
              <w:spacing w:after="60"/>
              <w:rPr>
                <w:rFonts w:asciiTheme="minorHAnsi" w:hAnsiTheme="minorHAnsi" w:cs="Arial"/>
                <w:sz w:val="24"/>
                <w:szCs w:val="24"/>
              </w:rPr>
            </w:pPr>
            <w:r w:rsidRPr="00075175">
              <w:rPr>
                <w:rFonts w:asciiTheme="minorHAnsi" w:hAnsiTheme="minorHAnsi" w:cs="Arial"/>
                <w:sz w:val="24"/>
                <w:szCs w:val="24"/>
              </w:rPr>
              <w:t>- optymalnego doboru metod i środków służących osiągnięciu założonych celów;</w:t>
            </w:r>
          </w:p>
          <w:p w:rsidR="001A12CF" w:rsidRPr="00075175" w:rsidRDefault="001A12CF" w:rsidP="001A12CF">
            <w:pPr>
              <w:spacing w:after="60"/>
              <w:rPr>
                <w:rFonts w:asciiTheme="minorHAnsi" w:hAnsiTheme="minorHAnsi" w:cs="Arial"/>
                <w:sz w:val="24"/>
                <w:szCs w:val="24"/>
              </w:rPr>
            </w:pPr>
            <w:r w:rsidRPr="00075175">
              <w:rPr>
                <w:rFonts w:asciiTheme="minorHAnsi" w:hAnsiTheme="minorHAnsi" w:cs="Arial"/>
                <w:sz w:val="24"/>
                <w:szCs w:val="24"/>
              </w:rPr>
              <w:t>- w sposób umożliwiający terminową realizację zadań;</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w wysokości i terminach wynikających z wcześniej zaciągniętych zobowiązań.</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xml:space="preserve">W obszarze wynagrodzeń nauczycieli jednym z najistotniejszych obowiązków organu Prowadzącego - mającym wpływ na cały proces budżetowy w oświacie, zarówno na etapie planowania organizacji, planowania finansów jak i realizacji budżetów placówek Oświatowych - jest kwestia średnich wynagrodzeń nauczycieli. Należy w tym zakresie zwrócić uwagę na art. 30 ust. 6 ustawy – Karta Nauczyciela (uchwalanie regulaminów dotyczących niektórych składników wynagrodzenia nauczycieli) a także art. 30a ustawy – Karta Nauczyciela (wyplata dodatków uzupełniających). </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Obowiązek analizowania wydatków na wynagrodzenia nauczycieli i wypłaty średnich wynagrodzeń dla nauczycieli został obwarowany obowiązkiem przygotowywania przez samorządy stosownych sprawozdań zgodnie z zasadami określonymi w rozporządzeniu Ministra Edukacji Narodowej z dnia 13 stycznia 2010 r. w sprawie sposobu opracowywania sprawozdania z wysokości średnich wynagrodzeń nauczycieli na poszczególnych stopniach awansu zawodowego w szkołach prowadzonych przez jednostki samorządu terytorialnego.</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Z szeroko rozumianym procesem budżetowania wiąże się również temat udzielania dotacji z budżetów JST dla szkół i placówek publicznych i niepublicznych, które są dość istotną pozycją w budżetach oświatowych. Sprawy te regulują art. 80 i art. 90 ustawy o systemie oświaty.</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highlight w:val="yellow"/>
              </w:rPr>
              <w:t xml:space="preserve"> [do weryfikacji / uzupełnienia]</w:t>
            </w:r>
          </w:p>
          <w:p w:rsidR="001A12CF" w:rsidRPr="00075175" w:rsidRDefault="001A12CF" w:rsidP="001A12CF">
            <w:pPr>
              <w:rPr>
                <w:rFonts w:asciiTheme="minorHAnsi" w:hAnsiTheme="minorHAnsi" w:cs="Arial"/>
                <w:sz w:val="24"/>
                <w:szCs w:val="24"/>
              </w:rPr>
            </w:pPr>
          </w:p>
          <w:p w:rsidR="001A12CF" w:rsidRPr="00075175" w:rsidRDefault="001A12CF" w:rsidP="001A12CF">
            <w:pPr>
              <w:rPr>
                <w:rFonts w:asciiTheme="minorHAnsi" w:hAnsiTheme="minorHAnsi" w:cs="Arial"/>
                <w:sz w:val="24"/>
                <w:szCs w:val="24"/>
              </w:rPr>
            </w:pPr>
          </w:p>
        </w:tc>
      </w:tr>
      <w:tr w:rsidR="001A12CF" w:rsidRPr="00075175" w:rsidTr="001A12CF">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lastRenderedPageBreak/>
              <w:t>Analiza ilościowa</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075175" w:rsidTr="001A12CF">
        <w:trPr>
          <w:trHeight w:val="1283"/>
        </w:trPr>
        <w:tc>
          <w:tcPr>
            <w:tcW w:w="9634" w:type="dxa"/>
          </w:tcPr>
          <w:p w:rsidR="001A12CF" w:rsidRPr="00075175" w:rsidRDefault="001A12CF" w:rsidP="001A12CF">
            <w:pPr>
              <w:rPr>
                <w:rFonts w:asciiTheme="minorHAnsi" w:hAnsiTheme="minorHAnsi" w:cs="Arial"/>
                <w:sz w:val="24"/>
                <w:szCs w:val="24"/>
                <w:highlight w:val="yellow"/>
              </w:rPr>
            </w:pPr>
            <w:r w:rsidRPr="00075175">
              <w:rPr>
                <w:rFonts w:asciiTheme="minorHAnsi" w:hAnsiTheme="minorHAnsi" w:cs="Arial"/>
                <w:sz w:val="24"/>
                <w:szCs w:val="24"/>
                <w:highlight w:val="yellow"/>
              </w:rPr>
              <w:t xml:space="preserve">[Do uzupełnienia – W poszukiwaniu propozycji wskaźników ilościowych na ten temat może pomóc lektura opracowania M.Tobora i J.M. Czajkowskiego (załącznik nr 2) oraz opracowania </w:t>
            </w:r>
            <w:hyperlink r:id="rId9" w:history="1">
              <w:r w:rsidRPr="00075175">
                <w:rPr>
                  <w:rStyle w:val="Hipercze"/>
                  <w:rFonts w:asciiTheme="minorHAnsi" w:hAnsiTheme="minorHAnsi" w:cs="Arial"/>
                  <w:sz w:val="24"/>
                  <w:szCs w:val="24"/>
                </w:rPr>
                <w:t>J.Herczyński „Wskaźniki oświatowe”</w:t>
              </w:r>
            </w:hyperlink>
            <w:r w:rsidRPr="00075175">
              <w:rPr>
                <w:rFonts w:asciiTheme="minorHAnsi" w:hAnsiTheme="minorHAnsi" w:cs="Arial"/>
                <w:sz w:val="24"/>
                <w:szCs w:val="24"/>
                <w:highlight w:val="yellow"/>
              </w:rPr>
              <w:t>]</w:t>
            </w:r>
          </w:p>
          <w:p w:rsidR="001A12CF" w:rsidRPr="00075175" w:rsidRDefault="001A12CF" w:rsidP="001A12CF">
            <w:pPr>
              <w:rPr>
                <w:rFonts w:asciiTheme="minorHAnsi" w:hAnsiTheme="minorHAnsi" w:cs="Arial"/>
                <w:sz w:val="24"/>
                <w:szCs w:val="24"/>
                <w:highlight w:val="yellow"/>
              </w:rPr>
            </w:pPr>
          </w:p>
          <w:p w:rsidR="001A12CF" w:rsidRPr="00075175" w:rsidRDefault="001A12CF" w:rsidP="001A12CF">
            <w:pPr>
              <w:rPr>
                <w:rFonts w:asciiTheme="minorHAnsi" w:hAnsiTheme="minorHAnsi" w:cs="Arial"/>
                <w:sz w:val="24"/>
                <w:szCs w:val="24"/>
                <w:highlight w:val="yellow"/>
              </w:rPr>
            </w:pPr>
          </w:p>
        </w:tc>
      </w:tr>
      <w:tr w:rsidR="001A12CF" w:rsidRPr="00075175" w:rsidTr="001A12CF">
        <w:trPr>
          <w:trHeight w:val="584"/>
        </w:trPr>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lastRenderedPageBreak/>
              <w:t>Rola organu prowadzącego</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075175" w:rsidTr="001A12CF">
        <w:trPr>
          <w:trHeight w:val="5102"/>
        </w:trPr>
        <w:tc>
          <w:tcPr>
            <w:tcW w:w="9634" w:type="dxa"/>
          </w:tcPr>
          <w:p w:rsidR="001A12CF" w:rsidRPr="00075175" w:rsidRDefault="001A12CF" w:rsidP="001A12CF">
            <w:pPr>
              <w:pStyle w:val="Akapitzlist"/>
              <w:spacing w:after="120" w:line="288" w:lineRule="auto"/>
              <w:ind w:left="0"/>
              <w:rPr>
                <w:rFonts w:asciiTheme="minorHAnsi" w:hAnsiTheme="minorHAnsi" w:cs="Arial"/>
                <w:sz w:val="24"/>
                <w:szCs w:val="24"/>
              </w:rPr>
            </w:pPr>
            <w:r w:rsidRPr="00075175">
              <w:rPr>
                <w:rFonts w:asciiTheme="minorHAnsi" w:hAnsiTheme="minorHAnsi" w:cs="Arial"/>
                <w:sz w:val="24"/>
                <w:szCs w:val="24"/>
              </w:rPr>
              <w:t>Na temat planowania budżetowego w jednostkach systemu oświaty powstało wiele opracowań. Niniejsze opracowanie powinno podjąć próbę usystematyzowania i podsumowania problemu – na ile jednostka samorządu terytorialnego, wykonując jedno z najbardziej kosztownych zadań, jakim jest finansowanie oświaty samorządowej, świadomie podejmuje decyzje i wiąże wysokość nakładów na edukację z oczekiwanymi efektami nauczania.</w:t>
            </w:r>
          </w:p>
          <w:p w:rsidR="001A12CF" w:rsidRPr="00075175" w:rsidRDefault="001A12CF" w:rsidP="001A12CF">
            <w:pPr>
              <w:pStyle w:val="Akapitzlist"/>
              <w:spacing w:after="120" w:line="288" w:lineRule="auto"/>
              <w:ind w:left="0"/>
              <w:rPr>
                <w:rFonts w:asciiTheme="minorHAnsi" w:hAnsiTheme="minorHAnsi" w:cs="Arial"/>
                <w:sz w:val="24"/>
                <w:szCs w:val="24"/>
              </w:rPr>
            </w:pPr>
            <w:r w:rsidRPr="00075175">
              <w:rPr>
                <w:rFonts w:asciiTheme="minorHAnsi" w:hAnsiTheme="minorHAnsi" w:cs="Arial"/>
                <w:sz w:val="24"/>
                <w:szCs w:val="24"/>
              </w:rPr>
              <w:t>Wykonawca powinien omówić uwarunkowania decyzji o dofinansowaniu zadań oświatowych kwotą wyższą, niż wynikałaby z wielkości części oświatowej subwencji ogólnej (wielkość  środków własnych w stosunku do wydatków ogółem ponoszonych w działach 801 i 854) oraz opisać kluczowe zadania / funkcje JST w obszarze budżetowania wydatków oświatowych:</w:t>
            </w:r>
          </w:p>
          <w:p w:rsidR="001A12CF" w:rsidRPr="00075175" w:rsidRDefault="001A12CF" w:rsidP="001A12CF">
            <w:pPr>
              <w:pStyle w:val="Akapitzlist"/>
              <w:numPr>
                <w:ilvl w:val="0"/>
                <w:numId w:val="21"/>
              </w:numPr>
              <w:spacing w:after="120" w:line="288" w:lineRule="auto"/>
              <w:ind w:left="357" w:hanging="357"/>
              <w:rPr>
                <w:rFonts w:asciiTheme="minorHAnsi" w:hAnsiTheme="minorHAnsi" w:cs="Arial"/>
                <w:sz w:val="24"/>
                <w:szCs w:val="24"/>
              </w:rPr>
            </w:pPr>
            <w:r w:rsidRPr="00075175">
              <w:rPr>
                <w:rFonts w:asciiTheme="minorHAnsi" w:hAnsiTheme="minorHAnsi" w:cs="Arial"/>
                <w:sz w:val="24"/>
                <w:szCs w:val="24"/>
              </w:rPr>
              <w:t>Tworzenie planów finansowych w sposób uwzględniający realne potrzeby szkół i placówek oświatowych w tym: (a) Stosowanie różnych odmian „bonu finansowego”, wiążącego wielkość środków finansowych przeznaczonych na utrzymanie szkół z liczbą uczniów lub skalą inaczej zdefiniowanych zadań; (b) Podejście „historyczne” – opierające plan finansowy na kolejny rok na wykonaniu planu finansowego w roku bieżącym (przewidywanym) i w latach poprzednich. Należy przedstawić zalety i wady obu metod na podstawie znanych doświadczeń;</w:t>
            </w:r>
          </w:p>
          <w:p w:rsidR="001A12CF" w:rsidRPr="00075175" w:rsidRDefault="001A12CF" w:rsidP="001A12CF">
            <w:pPr>
              <w:pStyle w:val="Akapitzlist"/>
              <w:numPr>
                <w:ilvl w:val="0"/>
                <w:numId w:val="21"/>
              </w:numPr>
              <w:spacing w:after="120" w:line="288" w:lineRule="auto"/>
              <w:ind w:left="357" w:hanging="357"/>
              <w:rPr>
                <w:rFonts w:asciiTheme="minorHAnsi" w:hAnsiTheme="minorHAnsi" w:cs="Arial"/>
                <w:sz w:val="24"/>
                <w:szCs w:val="24"/>
              </w:rPr>
            </w:pPr>
            <w:r w:rsidRPr="00075175">
              <w:rPr>
                <w:rFonts w:asciiTheme="minorHAnsi" w:hAnsiTheme="minorHAnsi" w:cs="Arial"/>
                <w:sz w:val="24"/>
                <w:szCs w:val="24"/>
              </w:rPr>
              <w:t>Podejmowanie decyzji o przeznaczeniu części środków na wydatki majątkowe. Zasady priorytetyzowania projektów inwestycyjnych; uwzględniane czynniki; organizacja procesu decyzyjnego i rola, jaką pełnią w nim interesariusze lokalnego systemu oświaty (w tym dyrektorzy szkół / placówek);</w:t>
            </w:r>
          </w:p>
          <w:p w:rsidR="001A12CF" w:rsidRPr="00075175" w:rsidRDefault="001A12CF" w:rsidP="001A12CF">
            <w:pPr>
              <w:pStyle w:val="Akapitzlist"/>
              <w:numPr>
                <w:ilvl w:val="0"/>
                <w:numId w:val="21"/>
              </w:numPr>
              <w:spacing w:after="120" w:line="288" w:lineRule="auto"/>
              <w:ind w:left="357" w:hanging="357"/>
              <w:rPr>
                <w:rFonts w:asciiTheme="minorHAnsi" w:hAnsiTheme="minorHAnsi" w:cs="Arial"/>
                <w:sz w:val="24"/>
                <w:szCs w:val="24"/>
              </w:rPr>
            </w:pPr>
            <w:r w:rsidRPr="00075175">
              <w:rPr>
                <w:rFonts w:asciiTheme="minorHAnsi" w:hAnsiTheme="minorHAnsi" w:cs="Arial"/>
                <w:sz w:val="24"/>
                <w:szCs w:val="24"/>
              </w:rPr>
              <w:t>Budżetowanie wydatków w układzie zadaniowym – warunki wprowadzenia budżetu zadaniowego; wnioski z dotychczasowych doświadczeń;</w:t>
            </w:r>
          </w:p>
          <w:p w:rsidR="001A12CF" w:rsidRPr="00075175" w:rsidRDefault="001A12CF" w:rsidP="001A12CF">
            <w:pPr>
              <w:pStyle w:val="Akapitzlist"/>
              <w:numPr>
                <w:ilvl w:val="0"/>
                <w:numId w:val="21"/>
              </w:numPr>
              <w:spacing w:after="120" w:line="288" w:lineRule="auto"/>
              <w:ind w:left="357" w:hanging="357"/>
              <w:rPr>
                <w:rFonts w:asciiTheme="minorHAnsi" w:hAnsiTheme="minorHAnsi" w:cs="Arial"/>
                <w:sz w:val="24"/>
                <w:szCs w:val="24"/>
              </w:rPr>
            </w:pPr>
            <w:r w:rsidRPr="00075175">
              <w:rPr>
                <w:rFonts w:asciiTheme="minorHAnsi" w:hAnsiTheme="minorHAnsi" w:cs="Arial"/>
                <w:sz w:val="24"/>
                <w:szCs w:val="24"/>
              </w:rPr>
              <w:t>Realizowanie obowiązku zapewnienia średnich wynagrodzeń nauczycieli na poszczególnych stopniach awansu zawodowego, z uwzględnieniem ostatnich zmian prawnych - jednorazowy dodatek uzupełniający (jdu) i inne podejścia.</w:t>
            </w:r>
          </w:p>
          <w:p w:rsidR="001A12CF" w:rsidRPr="00075175" w:rsidRDefault="001A12CF" w:rsidP="001A12CF">
            <w:pPr>
              <w:pStyle w:val="Akapitzlist"/>
              <w:numPr>
                <w:ilvl w:val="0"/>
                <w:numId w:val="21"/>
              </w:numPr>
              <w:spacing w:after="120" w:line="288" w:lineRule="auto"/>
              <w:ind w:left="357" w:hanging="357"/>
              <w:rPr>
                <w:rFonts w:asciiTheme="minorHAnsi" w:hAnsiTheme="minorHAnsi" w:cs="Arial"/>
                <w:sz w:val="24"/>
                <w:szCs w:val="24"/>
              </w:rPr>
            </w:pPr>
            <w:r w:rsidRPr="00075175">
              <w:rPr>
                <w:rFonts w:asciiTheme="minorHAnsi" w:hAnsiTheme="minorHAnsi" w:cs="Arial"/>
                <w:sz w:val="24"/>
                <w:szCs w:val="24"/>
              </w:rPr>
              <w:t xml:space="preserve">Finansowe motywowanie nauczycieli i dyrektorów – źródła finansowania dodatków (decyzje dot. zatrudnienia nauczycieli a wysokość środków na wypłatę wynagrodzeń za pracę ponad wymiar etatu); powiązanie ich wysokości i zasad wypłacania z efektami edukacyjnymi. </w:t>
            </w:r>
          </w:p>
          <w:p w:rsidR="001A12CF" w:rsidRPr="00075175" w:rsidRDefault="001A12CF" w:rsidP="001A12CF">
            <w:pPr>
              <w:spacing w:line="288" w:lineRule="auto"/>
              <w:rPr>
                <w:rFonts w:asciiTheme="minorHAnsi" w:hAnsiTheme="minorHAnsi" w:cs="Arial"/>
                <w:sz w:val="24"/>
                <w:szCs w:val="24"/>
              </w:rPr>
            </w:pPr>
            <w:r w:rsidRPr="00075175">
              <w:rPr>
                <w:rFonts w:asciiTheme="minorHAnsi" w:hAnsiTheme="minorHAnsi" w:cs="Arial"/>
                <w:sz w:val="24"/>
                <w:szCs w:val="24"/>
              </w:rPr>
              <w:t>Ocena wpływu stosowania nowoczesnych metod zarządzanie finansami oświaty na efekty pracy szkół – na podstawie znanych przykładów dobrej praktyki.</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highlight w:val="yellow"/>
              </w:rPr>
              <w:lastRenderedPageBreak/>
              <w:t>[Powyższy tekst sygnalizuje tylko przykładowe kierunki analizy - do weryfikacji / uzupełnienia]</w:t>
            </w:r>
          </w:p>
          <w:p w:rsidR="001A12CF" w:rsidRPr="00075175" w:rsidRDefault="001A12CF" w:rsidP="001A12CF">
            <w:pPr>
              <w:rPr>
                <w:rFonts w:asciiTheme="minorHAnsi" w:hAnsiTheme="minorHAnsi" w:cs="Arial"/>
                <w:sz w:val="24"/>
                <w:szCs w:val="24"/>
              </w:rPr>
            </w:pPr>
          </w:p>
          <w:p w:rsidR="001A12CF" w:rsidRPr="00075175" w:rsidRDefault="001A12CF" w:rsidP="001A12CF">
            <w:pPr>
              <w:rPr>
                <w:rFonts w:asciiTheme="minorHAnsi" w:hAnsiTheme="minorHAnsi" w:cs="Arial"/>
                <w:sz w:val="24"/>
                <w:szCs w:val="24"/>
              </w:rPr>
            </w:pPr>
          </w:p>
        </w:tc>
      </w:tr>
      <w:tr w:rsidR="001A12CF" w:rsidRPr="00075175" w:rsidTr="001A12CF">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lastRenderedPageBreak/>
              <w:t>Narzędzia i rozwiązania zarządcze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075175" w:rsidTr="001A12CF">
        <w:trPr>
          <w:trHeight w:val="28"/>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highlight w:val="yellow"/>
              </w:rPr>
              <w:t>[do uzupełnienia]</w:t>
            </w:r>
          </w:p>
          <w:p w:rsidR="001A12CF" w:rsidRPr="00075175" w:rsidRDefault="001A12CF" w:rsidP="001A12CF">
            <w:pPr>
              <w:rPr>
                <w:rFonts w:asciiTheme="minorHAnsi" w:hAnsiTheme="minorHAnsi" w:cs="Arial"/>
                <w:sz w:val="24"/>
                <w:szCs w:val="24"/>
              </w:rPr>
            </w:pPr>
          </w:p>
        </w:tc>
      </w:tr>
      <w:tr w:rsidR="001A12CF" w:rsidRPr="00075175" w:rsidTr="001A12CF">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t>Dobre praktyki</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075175" w:rsidTr="001A12CF">
        <w:trPr>
          <w:trHeight w:val="28"/>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highlight w:val="yellow"/>
              </w:rPr>
              <w:lastRenderedPageBreak/>
              <w:t>[do uzupełnienia]</w:t>
            </w:r>
          </w:p>
          <w:p w:rsidR="001A12CF" w:rsidRPr="00075175" w:rsidRDefault="001A12CF" w:rsidP="001A12CF">
            <w:pPr>
              <w:rPr>
                <w:rFonts w:asciiTheme="minorHAnsi" w:hAnsiTheme="minorHAnsi" w:cs="Arial"/>
                <w:sz w:val="24"/>
                <w:szCs w:val="24"/>
              </w:rPr>
            </w:pPr>
          </w:p>
          <w:p w:rsidR="001A12CF" w:rsidRPr="00075175" w:rsidRDefault="001A12CF" w:rsidP="001A12CF">
            <w:pPr>
              <w:rPr>
                <w:rFonts w:asciiTheme="minorHAnsi" w:hAnsiTheme="minorHAnsi" w:cs="Arial"/>
                <w:sz w:val="24"/>
                <w:szCs w:val="24"/>
              </w:rPr>
            </w:pPr>
          </w:p>
        </w:tc>
      </w:tr>
      <w:tr w:rsidR="001A12CF" w:rsidRPr="00075175" w:rsidTr="001A12CF">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t>Analiza kluczowych problemów</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075175" w:rsidTr="001A12CF">
        <w:trPr>
          <w:trHeight w:val="28"/>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highlight w:val="yellow"/>
              </w:rPr>
              <w:t>[do uzupełnienia]</w:t>
            </w:r>
          </w:p>
          <w:p w:rsidR="001A12CF" w:rsidRPr="00075175" w:rsidRDefault="001A12CF" w:rsidP="001A12CF">
            <w:pPr>
              <w:rPr>
                <w:rFonts w:asciiTheme="minorHAnsi" w:hAnsiTheme="minorHAnsi" w:cs="Arial"/>
                <w:sz w:val="24"/>
                <w:szCs w:val="24"/>
              </w:rPr>
            </w:pPr>
          </w:p>
          <w:p w:rsidR="001A12CF" w:rsidRPr="00075175" w:rsidRDefault="001A12CF" w:rsidP="001A12CF">
            <w:pPr>
              <w:rPr>
                <w:rFonts w:asciiTheme="minorHAnsi" w:hAnsiTheme="minorHAnsi" w:cs="Arial"/>
                <w:sz w:val="24"/>
                <w:szCs w:val="24"/>
              </w:rPr>
            </w:pPr>
          </w:p>
        </w:tc>
      </w:tr>
      <w:tr w:rsidR="001A12CF" w:rsidRPr="00075175" w:rsidTr="001A12CF">
        <w:tc>
          <w:tcPr>
            <w:tcW w:w="9634" w:type="dxa"/>
          </w:tcPr>
          <w:p w:rsidR="001A12CF" w:rsidRPr="00075175" w:rsidRDefault="001A12CF" w:rsidP="00225D72">
            <w:pPr>
              <w:pStyle w:val="Nagwek2"/>
              <w:numPr>
                <w:ilvl w:val="0"/>
                <w:numId w:val="34"/>
              </w:numPr>
              <w:outlineLvl w:val="1"/>
              <w:rPr>
                <w:rFonts w:asciiTheme="minorHAnsi" w:hAnsiTheme="minorHAnsi" w:cs="Arial"/>
                <w:sz w:val="24"/>
                <w:szCs w:val="24"/>
              </w:rPr>
            </w:pPr>
            <w:r w:rsidRPr="00075175">
              <w:rPr>
                <w:rFonts w:asciiTheme="minorHAnsi" w:hAnsiTheme="minorHAnsi" w:cs="Arial"/>
                <w:sz w:val="24"/>
                <w:szCs w:val="24"/>
              </w:rPr>
              <w:t>Trendy i tendencje w rozwoju obszaru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cs="Arial"/>
                <w:i/>
                <w:sz w:val="24"/>
                <w:szCs w:val="24"/>
              </w:rPr>
            </w:pPr>
            <w:r w:rsidRPr="00075175">
              <w:rPr>
                <w:rFonts w:asciiTheme="minorHAnsi" w:hAnsiTheme="minorHAnsi" w:cs="Arial"/>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075175" w:rsidTr="001A12CF">
        <w:trPr>
          <w:trHeight w:val="268"/>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highlight w:val="yellow"/>
              </w:rPr>
              <w:t>[do uzupełnienia]</w:t>
            </w:r>
          </w:p>
          <w:p w:rsidR="001A12CF" w:rsidRPr="00075175" w:rsidRDefault="001A12CF" w:rsidP="001A12CF">
            <w:pPr>
              <w:rPr>
                <w:rFonts w:asciiTheme="minorHAnsi" w:hAnsiTheme="minorHAnsi" w:cs="Arial"/>
                <w:sz w:val="24"/>
                <w:szCs w:val="24"/>
              </w:rPr>
            </w:pPr>
          </w:p>
          <w:p w:rsidR="001A12CF" w:rsidRPr="00075175" w:rsidRDefault="001A12CF" w:rsidP="001A12CF">
            <w:pPr>
              <w:rPr>
                <w:rFonts w:asciiTheme="minorHAnsi" w:hAnsiTheme="minorHAnsi" w:cs="Arial"/>
                <w:sz w:val="24"/>
                <w:szCs w:val="24"/>
              </w:rPr>
            </w:pPr>
          </w:p>
        </w:tc>
      </w:tr>
    </w:tbl>
    <w:p w:rsidR="001A12CF" w:rsidRPr="00075175" w:rsidRDefault="001A12CF">
      <w:pPr>
        <w:spacing w:after="200" w:line="276" w:lineRule="auto"/>
        <w:jc w:val="left"/>
        <w:rPr>
          <w:rFonts w:asciiTheme="minorHAnsi" w:hAnsiTheme="minorHAnsi"/>
          <w:sz w:val="24"/>
          <w:szCs w:val="24"/>
        </w:rPr>
      </w:pPr>
    </w:p>
    <w:p w:rsidR="001A12CF" w:rsidRPr="00075175" w:rsidRDefault="001A12CF">
      <w:pPr>
        <w:spacing w:after="200" w:line="276" w:lineRule="auto"/>
        <w:jc w:val="left"/>
        <w:rPr>
          <w:rFonts w:asciiTheme="minorHAnsi" w:hAnsiTheme="minorHAnsi"/>
          <w:sz w:val="24"/>
          <w:szCs w:val="24"/>
        </w:rPr>
      </w:pPr>
      <w:r w:rsidRPr="00075175">
        <w:rPr>
          <w:rFonts w:asciiTheme="minorHAnsi" w:hAnsiTheme="minorHAnsi"/>
          <w:sz w:val="24"/>
          <w:szCs w:val="24"/>
        </w:rPr>
        <w:br w:type="page"/>
      </w:r>
    </w:p>
    <w:tbl>
      <w:tblPr>
        <w:tblStyle w:val="Tabela-Siatka"/>
        <w:tblW w:w="9634" w:type="dxa"/>
        <w:tblLayout w:type="fixed"/>
        <w:tblCellMar>
          <w:top w:w="57" w:type="dxa"/>
          <w:left w:w="85" w:type="dxa"/>
          <w:bottom w:w="57" w:type="dxa"/>
          <w:right w:w="85" w:type="dxa"/>
        </w:tblCellMar>
        <w:tblLook w:val="04A0"/>
      </w:tblPr>
      <w:tblGrid>
        <w:gridCol w:w="9634"/>
      </w:tblGrid>
      <w:tr w:rsidR="001A12CF" w:rsidRPr="00075175" w:rsidTr="001A12CF">
        <w:tc>
          <w:tcPr>
            <w:tcW w:w="9634" w:type="dxa"/>
          </w:tcPr>
          <w:p w:rsidR="00C60611" w:rsidRPr="00075175" w:rsidRDefault="00C60611" w:rsidP="00C60611">
            <w:pPr>
              <w:rPr>
                <w:rFonts w:asciiTheme="minorHAnsi" w:hAnsiTheme="minorHAnsi"/>
                <w:b/>
                <w:sz w:val="24"/>
                <w:szCs w:val="24"/>
              </w:rPr>
            </w:pPr>
            <w:r w:rsidRPr="00075175">
              <w:rPr>
                <w:rFonts w:asciiTheme="minorHAnsi" w:hAnsiTheme="minorHAnsi"/>
                <w:b/>
                <w:sz w:val="24"/>
                <w:szCs w:val="24"/>
              </w:rPr>
              <w:lastRenderedPageBreak/>
              <w:t>Wsparcie kadry jednostek samorządu terytorialnego w zarządzaniu oświatą ukierunkowanym na rozwój szkół i kompetencji kluczowych uczniów  (POWR.02.10.00-IP.02-00-003/15)</w:t>
            </w:r>
          </w:p>
          <w:p w:rsidR="00C60611" w:rsidRPr="00075175" w:rsidRDefault="00C60611" w:rsidP="00C60611">
            <w:pPr>
              <w:pStyle w:val="Tytu"/>
              <w:rPr>
                <w:rFonts w:asciiTheme="minorHAnsi" w:hAnsiTheme="minorHAnsi"/>
                <w:sz w:val="24"/>
                <w:szCs w:val="24"/>
              </w:rPr>
            </w:pPr>
            <w:r w:rsidRPr="00075175">
              <w:rPr>
                <w:rFonts w:asciiTheme="minorHAnsi" w:hAnsiTheme="minorHAnsi"/>
                <w:sz w:val="24"/>
                <w:szCs w:val="24"/>
              </w:rPr>
              <w:t xml:space="preserve">Strategiczny przegląd sytuacji w obszarze 11: </w:t>
            </w:r>
          </w:p>
          <w:p w:rsidR="001A12CF" w:rsidRPr="00075175" w:rsidRDefault="001A12CF" w:rsidP="00C60611">
            <w:pPr>
              <w:pStyle w:val="Nagwek1"/>
              <w:jc w:val="left"/>
              <w:outlineLvl w:val="0"/>
              <w:rPr>
                <w:rFonts w:asciiTheme="minorHAnsi" w:hAnsiTheme="minorHAnsi"/>
                <w:szCs w:val="24"/>
              </w:rPr>
            </w:pPr>
            <w:bookmarkStart w:id="4" w:name="_Toc494887098"/>
            <w:r w:rsidRPr="00075175">
              <w:rPr>
                <w:rFonts w:asciiTheme="minorHAnsi" w:hAnsiTheme="minorHAnsi"/>
                <w:szCs w:val="24"/>
              </w:rPr>
              <w:t>Udział mieszkańców i partnerów instytucjonalnych w procesie planowania, realizacji i oceny usług oświatowych</w:t>
            </w:r>
            <w:bookmarkEnd w:id="4"/>
          </w:p>
        </w:tc>
      </w:tr>
      <w:tr w:rsidR="001A12CF" w:rsidRPr="00075175" w:rsidTr="001A12CF">
        <w:tc>
          <w:tcPr>
            <w:tcW w:w="9634" w:type="dxa"/>
          </w:tcPr>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t>Podstawa prawna działania samorządu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075175" w:rsidTr="001A12CF">
        <w:trPr>
          <w:trHeight w:val="217"/>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Mieszkańcy oraz lokalne instytucje mogą być partnerami szkoły i brać udział w planowaniu lokalnej polityki oświatowej, jej realizacji i jej ocenie. Ustawa Prawo oświatowe formułuje w tym zakresie kilka możliwości, a nawet obowiązków dla organu prowadzącego szkołę.</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Na terenie szkół mogą funkcjonować (art. 86) stowarzyszenia i inne organizacje, a w szczególności organizacje harcerskie, których celem statutowym jest działalność wychowawcza albo rozszerzanie i wzbogacanie form działalności dydaktycznej, wychowawczej, opiekuńczej i innowacyjnej szkoły lub placówki.</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Ustawa (art. 3) wskazuje również na organizacje wspierające system oświaty. Mogą nimi być organizacje pozarządowe, w tym harcerskie, osoby prawne prowadzące statutową działalność w zakresie oświaty i wychowania, a także jednostki organizacyjne Państwowej Straży Pożarnej oraz jednostki innych służb. Organy prowadzące szkoły zostały przez ustawodawcę zobligowane do współdziałania z tymi organizacjami i instytucjami w wykonywaniu zadań oświatowych, w tym prowadzenia zajęć edukacyjnych z zakresu podnoszenia bezpieczeństwa uczniów.</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Prawo oświatowe (rozdz. 4) wymienia także i opisuje społeczne organy w systemie oświaty. Przepisy dają organowi stanowiącemu JST możliwość powołania rady oświatowej. Do jej zadań (art. 78) należy badanie lokalnych potrzeb oświatowych i przygotowywanie projektów ich zaspokajania oraz szeroki zakres opiniowania (budżetu JST w części dotyczącej wydatków na oświatę; projektów sieci publicznych szkół i placówek; projektów aktów prawa miejscowego wydawanych w sprawach oświaty), a także wyrażanie opinii i wniosków w innych sprawach dotyczących oświaty.</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Dla lokalnego systemu edukacji ważna jest współpraca JST z kuratorem oświaty. Sprawuje on nadzór pedagogiczny. Art. 51 ust. 1 pkt 5 Prawa oświatowego wskazuje wprost, że kurator realizuje politykę oświatową państwa, a także współdziała z organami JST w tworzeniu i realizowaniu odpowiednio regionalnej i lokalnej polityki oświatowej, zgodnych z polityką oświatową państwa.</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Jednocześnie obok instytucji i podmiotów explicite wymienionych w treści ustawy, ze względu na otwarty charakter jej zapisów, organy prowadzące oraz dyrekcje szkół mogą współpracować w procesie planowania i realizacji celów oraz oceny ich efektów z innymi podmiotami. Wśród nich </w:t>
            </w:r>
            <w:r w:rsidRPr="00075175">
              <w:rPr>
                <w:rFonts w:asciiTheme="minorHAnsi" w:hAnsiTheme="minorHAnsi"/>
                <w:sz w:val="24"/>
                <w:szCs w:val="24"/>
              </w:rPr>
              <w:lastRenderedPageBreak/>
              <w:t>mogą być przykładowo placówki oświaty niepublicznej lub lokalne organizacje pozarządowe.</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Współpraca w tym zakresie może mieć charakter pozafinansowy i wynikać ze zbieżności celów statutowych podmiotów zewnętrznych (doświadczenie wskazuje, że takie relacje są bardzo częste – jeśli tylko pracownicy organu prowadzącego i/lub dyrektorzy są na to wystarczająco otwarci), lub też może wymagać współfinansowania niektórych działań realizowanych przez organizacje pozarządowe lub nawet finansowania w postaci usług na rzecz lokalnego systemu edukacji (np. usługi eksperckie, badania opinii, itp.) których efekty mogą pomóc w realizacji bądź ocenie zdań oświatowych lub wychowawczych. Podstawą finansowania działań statutowych podmiotów pozarządowych w tym zakresie będzie ustawa o organizacjach pożytku publicznego i wolontariacie, a w odniesieniu do świadczenia usług przez podmioty z różnych sektorów będzie to Prawo zamówień publicznych. Płatnikiem są albo organy prowadzące albo dyrekcje szkół.</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lastRenderedPageBreak/>
              <w:t>Analiza ilościowa</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075175" w:rsidTr="001A12CF">
        <w:trPr>
          <w:trHeight w:val="2249"/>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Wydatki JST na współpracę z organizacjami pozarządowymi w obszarze oświata i wychowanie (w relacji do liczby uczniów lub bieżących wydatków oświatowych ogółem);</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stowarzyszeń i organizacji współpracujących ze szkołami / placówkami oświatowymi  na terenie gminy / powiatu;</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Odsetek uczniów zaangażowanych w działania z zakresu wolontariatu;</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Liczba / odsetek uczniów w szkołach prowadzonych przez podmioty spoza sektora finansów publicznych.</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weryfikacji / uzupełnienia]</w:t>
            </w:r>
          </w:p>
          <w:p w:rsidR="001A12CF" w:rsidRPr="00075175" w:rsidRDefault="001A12CF" w:rsidP="001A12CF">
            <w:pPr>
              <w:rPr>
                <w:rFonts w:asciiTheme="minorHAnsi" w:hAnsiTheme="minorHAnsi"/>
                <w:sz w:val="24"/>
                <w:szCs w:val="24"/>
              </w:rPr>
            </w:pPr>
          </w:p>
        </w:tc>
      </w:tr>
      <w:tr w:rsidR="001A12CF" w:rsidRPr="00075175" w:rsidTr="001A12CF">
        <w:trPr>
          <w:trHeight w:val="584"/>
        </w:trPr>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t>Rola organu prowadzącego</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075175" w:rsidTr="001A12CF">
        <w:trPr>
          <w:trHeight w:val="4902"/>
        </w:trPr>
        <w:tc>
          <w:tcPr>
            <w:tcW w:w="9634" w:type="dxa"/>
          </w:tcPr>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lastRenderedPageBreak/>
              <w:t xml:space="preserve">W celu włączenia przedstawicieli ogółu mieszkańców lub lokalnych organizacji w planowanie, realizację i ocenę usług edukacyjnych, organ prowadzący powinien przede wszystkim zidentyfikować potencjalnych interesariuszy systemu. Budowa lokalnego partnerstwa na rzecz edukacji powinna się rozpocząć od rozpoznania partnerów i podjęcia próby włączenia ich w proces tworzenia / aktualizacji lokalnej strategii rozwoju oświaty i/lub działania związane z jej ewaluacją (np. w ramach gminnej / powiatowej </w:t>
            </w:r>
            <w:r w:rsidRPr="00075175">
              <w:rPr>
                <w:rFonts w:asciiTheme="minorHAnsi" w:hAnsiTheme="minorHAnsi"/>
                <w:sz w:val="24"/>
                <w:szCs w:val="24"/>
              </w:rPr>
              <w:t>rady oświatowej</w:t>
            </w:r>
            <w:r w:rsidRPr="00075175">
              <w:rPr>
                <w:rFonts w:asciiTheme="minorHAnsi" w:hAnsiTheme="minorHAnsi" w:cs="Arial"/>
                <w:sz w:val="24"/>
                <w:szCs w:val="24"/>
              </w:rPr>
              <w:t xml:space="preserve"> lub w formie komitetu monitorującego wdrażanie strategii).</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Regulacje prawne dają tu władzom samorządowym wiele możliwości, ale równie ważne dla budowy trwałego mechanizmu współpracy są rozwiązania mniej formalne, jak np. cykliczne spotkania z mieszkańcami w różnych dzielnicach miasta czy sołectwach, propagowanie inicjatyw podejmowanych przez organizacje i osoby działające na rzecz rozwoju edukacji; systematyczne badania opinii mieszkańców (rodziców i uczniów) itp.</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xml:space="preserve">Źródłem poprawy jakości usług może być współpraca szkół między sobą lub z lokalnymi podmiotami przy realizacji zadań oświatowych - np. organizacja wspólnego transportu dzieci do szkół, organizacja zawodów międzyszkolnych, podejmowanie imprez promujących edukację, organizacja wypoczynku dla dzieci itd. Duże możliwości w tym zakresie stwarza system współpracy samorządu z lokalnymi organizacjami pozarządowymi, którego podstawą jest </w:t>
            </w:r>
            <w:r w:rsidRPr="00075175">
              <w:rPr>
                <w:rFonts w:asciiTheme="minorHAnsi" w:hAnsiTheme="minorHAnsi"/>
                <w:sz w:val="24"/>
                <w:szCs w:val="24"/>
              </w:rPr>
              <w:t>ustawa o organizacjach pożytku publicznego i wolontariacie</w:t>
            </w:r>
            <w:r w:rsidRPr="00075175">
              <w:rPr>
                <w:rFonts w:asciiTheme="minorHAnsi" w:hAnsiTheme="minorHAnsi" w:cs="Arial"/>
                <w:sz w:val="24"/>
                <w:szCs w:val="24"/>
              </w:rPr>
              <w:t>.  Poprzez odpwiednie ukierunkowanie finansowania lokalnych NGOs władze JST mogą promować podejmowanie zadań angażujących partnerów społecznych w działania na rzecz rozwoju lokalnej oświaty.</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 xml:space="preserve">Nie mniej ważne jest bezpośrednie współdziałanie szkół / placówek organizacjami, które chcą wspierać realizację celów oświatowych. Tradycyjnie już szkoła jest miejscem aktywności związków harcerskich. Posiadając jednak odpowiednie zaplecze materialne (pomieszczenia, wyposażenie), może również stać się bazą dla wielu innych inicjatyw – chór, grupy hobbystyczne, kluby sportowe, kluby filmowe i dyskusyjne. Podejście organu prowadzącego do tego typu inicjatyw ma duży wpływ na postawę dyrektora i nauczycieli. </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Na poziomie powiatowym istotne znaczenie ma współpraca szkół zawodowych (branżowych) z lokalnym pracodawcami (klasy patronackie, tzw. dualny system kształcenia) oraz powiatowym urzędem pracy.</w:t>
            </w:r>
          </w:p>
          <w:p w:rsidR="001A12CF" w:rsidRPr="00075175" w:rsidRDefault="001A12CF" w:rsidP="001A12CF">
            <w:pPr>
              <w:rPr>
                <w:rFonts w:asciiTheme="minorHAnsi" w:hAnsiTheme="minorHAnsi" w:cs="Arial"/>
                <w:sz w:val="24"/>
                <w:szCs w:val="24"/>
              </w:rPr>
            </w:pPr>
            <w:r w:rsidRPr="00075175">
              <w:rPr>
                <w:rFonts w:asciiTheme="minorHAnsi" w:hAnsiTheme="minorHAnsi" w:cs="Arial"/>
                <w:sz w:val="24"/>
                <w:szCs w:val="24"/>
              </w:rPr>
              <w:t>Możemy zatem wyróżnić co najmniej kilka zadań / funkcji władz samorządowych w obszarze „Udział mieszkańców i partnerów instytucjonalnych w procesie planowania, realizacji i oceny usług oświatowych”</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Utworzenie i współpraca organu prowadzącego z gminną / powiatową radą oświatową;</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Identyfikowanie i włączanie mieszkańców oraz lokalnych partnerów instytucjonalnych w proces diagnozowania potrzeb i planowania rozwoju oświaty;</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Finansowanie inicjatyw organizacji pozarządowych, ukierunkowanych na realizację celów oświatowych;</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Promowanie bezpośredniej współpracy szkół / placówek oświatowych z osobami i podmiotami, które mogą wzbogacić ofertę edukacyjną dla dzieci i młodzieży; </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Promowanie współpracy szkół zawodowych (branżowych) z lokalnym pracodawcami (w rozdz. 4 oczekujemy na opis narzędzi, które pozwalają robić to skutecznie, zwłaszcza rozwiązań systemowych);</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Włączanie ośrodków naukowych i instytucji eksperckich funkcjonujących na terenie gminy / </w:t>
            </w:r>
            <w:r w:rsidRPr="00075175">
              <w:rPr>
                <w:rFonts w:asciiTheme="minorHAnsi" w:hAnsiTheme="minorHAnsi" w:cs="Arial"/>
                <w:sz w:val="24"/>
                <w:szCs w:val="24"/>
              </w:rPr>
              <w:lastRenderedPageBreak/>
              <w:t>powiatu w proces monitorowania i oceny usług edukacyjnych;</w:t>
            </w:r>
          </w:p>
          <w:p w:rsidR="001A12CF" w:rsidRPr="00075175" w:rsidRDefault="001A12CF" w:rsidP="001A12CF">
            <w:pPr>
              <w:pStyle w:val="Akapitzlist"/>
              <w:numPr>
                <w:ilvl w:val="0"/>
                <w:numId w:val="22"/>
              </w:numPr>
              <w:spacing w:after="120"/>
              <w:ind w:left="357" w:hanging="357"/>
              <w:rPr>
                <w:rFonts w:asciiTheme="minorHAnsi" w:hAnsiTheme="minorHAnsi" w:cs="Arial"/>
                <w:sz w:val="24"/>
                <w:szCs w:val="24"/>
              </w:rPr>
            </w:pPr>
            <w:r w:rsidRPr="00075175">
              <w:rPr>
                <w:rFonts w:asciiTheme="minorHAnsi" w:hAnsiTheme="minorHAnsi" w:cs="Arial"/>
                <w:sz w:val="24"/>
                <w:szCs w:val="24"/>
              </w:rPr>
              <w:t xml:space="preserve">Współdziałanie z </w:t>
            </w:r>
            <w:r w:rsidRPr="00075175">
              <w:rPr>
                <w:rFonts w:asciiTheme="minorHAnsi" w:hAnsiTheme="minorHAnsi"/>
                <w:sz w:val="24"/>
                <w:szCs w:val="24"/>
              </w:rPr>
              <w:t>z kuratorem oświaty</w:t>
            </w:r>
            <w:r w:rsidRPr="00075175">
              <w:rPr>
                <w:rFonts w:asciiTheme="minorHAnsi" w:hAnsiTheme="minorHAnsi" w:cs="Arial"/>
                <w:sz w:val="24"/>
                <w:szCs w:val="24"/>
              </w:rPr>
              <w:t xml:space="preserve"> w tworzeniu i realizowaniu regionalnej i lokalnej polityki oświatowej, zgodnych z polityką oświatową państwa.</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weryfikacji / uzupełnienia]</w:t>
            </w:r>
          </w:p>
          <w:p w:rsidR="001A12CF" w:rsidRPr="00075175" w:rsidRDefault="001A12CF" w:rsidP="001A12CF">
            <w:pPr>
              <w:rPr>
                <w:rFonts w:asciiTheme="minorHAnsi" w:hAnsiTheme="minorHAnsi" w:cs="Arial"/>
                <w:sz w:val="24"/>
                <w:szCs w:val="24"/>
              </w:rPr>
            </w:pPr>
          </w:p>
          <w:p w:rsidR="001A12CF" w:rsidRPr="00075175" w:rsidRDefault="001A12CF" w:rsidP="001A12CF">
            <w:pPr>
              <w:spacing w:before="60" w:after="60"/>
              <w:jc w:val="left"/>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lastRenderedPageBreak/>
              <w:t>Narzędzia i rozwiązania zarządcze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t>Dobre praktyki</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5"/>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075175" w:rsidTr="001A12CF">
        <w:trPr>
          <w:trHeight w:val="26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bl>
    <w:p w:rsidR="001A12CF" w:rsidRPr="00075175" w:rsidRDefault="001A12CF">
      <w:pPr>
        <w:spacing w:after="200" w:line="276" w:lineRule="auto"/>
        <w:jc w:val="left"/>
        <w:rPr>
          <w:rFonts w:asciiTheme="minorHAnsi" w:hAnsiTheme="minorHAnsi"/>
          <w:sz w:val="24"/>
          <w:szCs w:val="24"/>
        </w:rPr>
      </w:pPr>
    </w:p>
    <w:p w:rsidR="001A12CF" w:rsidRPr="00075175" w:rsidRDefault="001A12CF">
      <w:pPr>
        <w:spacing w:after="200" w:line="276" w:lineRule="auto"/>
        <w:jc w:val="left"/>
        <w:rPr>
          <w:rFonts w:asciiTheme="minorHAnsi" w:hAnsiTheme="minorHAnsi"/>
          <w:sz w:val="24"/>
          <w:szCs w:val="24"/>
        </w:rPr>
      </w:pPr>
      <w:r w:rsidRPr="00075175">
        <w:rPr>
          <w:rFonts w:asciiTheme="minorHAnsi" w:hAnsiTheme="minorHAnsi"/>
          <w:sz w:val="24"/>
          <w:szCs w:val="24"/>
        </w:rPr>
        <w:br w:type="page"/>
      </w:r>
    </w:p>
    <w:tbl>
      <w:tblPr>
        <w:tblStyle w:val="Tabela-Siatka"/>
        <w:tblW w:w="9634" w:type="dxa"/>
        <w:tblLayout w:type="fixed"/>
        <w:tblCellMar>
          <w:top w:w="57" w:type="dxa"/>
          <w:left w:w="85" w:type="dxa"/>
          <w:bottom w:w="57" w:type="dxa"/>
          <w:right w:w="85" w:type="dxa"/>
        </w:tblCellMar>
        <w:tblLook w:val="04A0"/>
      </w:tblPr>
      <w:tblGrid>
        <w:gridCol w:w="9634"/>
      </w:tblGrid>
      <w:tr w:rsidR="001A12CF" w:rsidRPr="00075175" w:rsidTr="001A12CF">
        <w:tc>
          <w:tcPr>
            <w:tcW w:w="9634" w:type="dxa"/>
          </w:tcPr>
          <w:p w:rsidR="00C60611" w:rsidRPr="00075175" w:rsidRDefault="00C60611" w:rsidP="00C60611">
            <w:pPr>
              <w:rPr>
                <w:rFonts w:asciiTheme="minorHAnsi" w:hAnsiTheme="minorHAnsi"/>
                <w:b/>
                <w:sz w:val="24"/>
                <w:szCs w:val="24"/>
              </w:rPr>
            </w:pPr>
            <w:r w:rsidRPr="00075175">
              <w:rPr>
                <w:rFonts w:asciiTheme="minorHAnsi" w:hAnsiTheme="minorHAnsi"/>
                <w:b/>
                <w:sz w:val="24"/>
                <w:szCs w:val="24"/>
              </w:rPr>
              <w:lastRenderedPageBreak/>
              <w:t>Wsparcie kadry jednostek samorządu terytorialnego w zarządzaniu oświatą ukierunkowanym na rozwój szkół i kompetencji kluczowych uczniów  (POWR.02.10.00-IP.02-00-003/15)</w:t>
            </w:r>
          </w:p>
          <w:p w:rsidR="00C60611" w:rsidRPr="00075175" w:rsidRDefault="00C60611" w:rsidP="00C60611">
            <w:pPr>
              <w:pStyle w:val="Tytu"/>
              <w:rPr>
                <w:rFonts w:asciiTheme="minorHAnsi" w:hAnsiTheme="minorHAnsi"/>
                <w:sz w:val="24"/>
                <w:szCs w:val="24"/>
              </w:rPr>
            </w:pPr>
            <w:r w:rsidRPr="00075175">
              <w:rPr>
                <w:rFonts w:asciiTheme="minorHAnsi" w:hAnsiTheme="minorHAnsi"/>
                <w:sz w:val="24"/>
                <w:szCs w:val="24"/>
              </w:rPr>
              <w:t xml:space="preserve">Strategiczny przegląd sytuacji w obszarze 12: </w:t>
            </w:r>
          </w:p>
          <w:p w:rsidR="001A12CF" w:rsidRPr="00075175" w:rsidRDefault="001A12CF" w:rsidP="00C60611">
            <w:pPr>
              <w:pStyle w:val="Nagwek1"/>
              <w:outlineLvl w:val="0"/>
              <w:rPr>
                <w:rFonts w:asciiTheme="minorHAnsi" w:hAnsiTheme="minorHAnsi"/>
                <w:szCs w:val="24"/>
              </w:rPr>
            </w:pPr>
            <w:bookmarkStart w:id="5" w:name="_Toc494887099"/>
            <w:r w:rsidRPr="00075175">
              <w:rPr>
                <w:rFonts w:asciiTheme="minorHAnsi" w:hAnsiTheme="minorHAnsi"/>
                <w:szCs w:val="24"/>
              </w:rPr>
              <w:t>Udział rodziców w planowaniu, realizacji i ocenie usług edukacyjnych</w:t>
            </w:r>
            <w:bookmarkEnd w:id="5"/>
          </w:p>
        </w:tc>
      </w:tr>
      <w:tr w:rsidR="001A12CF" w:rsidRPr="00075175" w:rsidTr="001A12CF">
        <w:tc>
          <w:tcPr>
            <w:tcW w:w="9634" w:type="dxa"/>
          </w:tcPr>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t>Podstawa prawna działania samorządu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075175" w:rsidTr="001A12CF">
        <w:trPr>
          <w:trHeight w:val="3059"/>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Ustawa Prawo oświatowe określa, iż w szkołach prowadzonych przez jednostki samorządu terytorialnego co do zasady działają rady szkół (art. 80-82) oraz rady rodziców (art. 83). Są to dwie podstawowe, zinstytucjonalizowane formy zapewnienia rodzicom możliwości wpływu na funkcjonowanie szkoły.</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 xml:space="preserve">Wśród zadań rady szkoły, której członkami również mogą być przedstawiciele rodziców, są m.in. uchwalanie statutu szkoły, opiniowanie planu rozwoju i projektu planu finansowego szkoły. Z kolei  rada rodziców (art. 84 upo) może występować do dyrektora i innych organów szkoły lub organu prowadzącego szkołę, a także do kuratora z wnioskami i opiniami we wszystkich sprawach szkoły. Do kompetencji rady rodziców należy: uchwalanie w porozumieniu z radą pedagogiczną programu wychowawczo-profilaktycznego szkoły, opiniowanie programu i harmonogramu poprawy efektywności kształcenia lub wychowania, opiniowanie projektu planu finansowego szkoły. </w:t>
            </w:r>
          </w:p>
          <w:p w:rsidR="001A12CF" w:rsidRPr="00075175" w:rsidRDefault="001A12CF" w:rsidP="001A12CF">
            <w:pPr>
              <w:rPr>
                <w:rFonts w:asciiTheme="minorHAnsi" w:hAnsiTheme="minorHAnsi"/>
                <w:sz w:val="24"/>
                <w:szCs w:val="24"/>
              </w:rPr>
            </w:pPr>
            <w:r w:rsidRPr="00075175">
              <w:rPr>
                <w:rFonts w:asciiTheme="minorHAnsi" w:hAnsiTheme="minorHAnsi"/>
                <w:sz w:val="24"/>
                <w:szCs w:val="24"/>
              </w:rPr>
              <w:t>W celu wspierania działalności statutowej szkoły rada rodziców może gromadzić fundusze z dobrowolnych składek rodziców oraz innych źródeł. Zasady wydatkowania funduszy rady rodziców określa regulamin rady.</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 xml:space="preserve"> [do weryfikacji /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t>Analiza ilościowa</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highlight w:val="yellow"/>
              </w:rPr>
            </w:pPr>
            <w:r w:rsidRPr="00075175">
              <w:rPr>
                <w:rFonts w:asciiTheme="minorHAnsi" w:hAnsiTheme="minorHAnsi"/>
                <w:sz w:val="24"/>
                <w:szCs w:val="24"/>
                <w:highlight w:val="yellow"/>
              </w:rPr>
              <w:t>[Oczekuje się, że wykonawca krótko omówi zagadnienie w kategoriach ilościowych – w takim zakresie w jakim dane źródłowe lub udokumentowane w literaturze szacunki będą dostępne]</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rPr>
          <w:trHeight w:val="584"/>
        </w:trPr>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lastRenderedPageBreak/>
              <w:t>Rola organu prowadzącego</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075175" w:rsidTr="001A12CF">
        <w:trPr>
          <w:trHeight w:val="4641"/>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rPr>
              <w:t>Wśród zadań / funkcji władz samorządowych w tym obszarze wymienić można np.:</w:t>
            </w:r>
          </w:p>
          <w:p w:rsidR="001A12CF" w:rsidRPr="00075175" w:rsidRDefault="001A12CF" w:rsidP="001A12CF">
            <w:pPr>
              <w:pStyle w:val="Akapitzlist"/>
              <w:numPr>
                <w:ilvl w:val="0"/>
                <w:numId w:val="23"/>
              </w:numPr>
              <w:ind w:left="336" w:hanging="284"/>
              <w:rPr>
                <w:rFonts w:asciiTheme="minorHAnsi" w:hAnsiTheme="minorHAnsi"/>
                <w:sz w:val="24"/>
                <w:szCs w:val="24"/>
              </w:rPr>
            </w:pPr>
            <w:r w:rsidRPr="00075175">
              <w:rPr>
                <w:rFonts w:asciiTheme="minorHAnsi" w:hAnsiTheme="minorHAnsi"/>
                <w:sz w:val="24"/>
                <w:szCs w:val="24"/>
              </w:rPr>
              <w:t>Informowanie rodziców (w tym przy wykorzystaniu funkcjonujących rad rodziców) nt. realizowanej polityki oświatowej, ich roli w lokalnym systemie edukacji oraz możliwościach wpływania na kierunki jego rozwoju;</w:t>
            </w:r>
          </w:p>
          <w:p w:rsidR="001A12CF" w:rsidRPr="00075175" w:rsidRDefault="001A12CF" w:rsidP="001A12CF">
            <w:pPr>
              <w:pStyle w:val="Akapitzlist"/>
              <w:numPr>
                <w:ilvl w:val="0"/>
                <w:numId w:val="23"/>
              </w:numPr>
              <w:ind w:left="336" w:hanging="284"/>
              <w:rPr>
                <w:rFonts w:asciiTheme="minorHAnsi" w:hAnsiTheme="minorHAnsi"/>
                <w:sz w:val="24"/>
                <w:szCs w:val="24"/>
              </w:rPr>
            </w:pPr>
            <w:r w:rsidRPr="00075175">
              <w:rPr>
                <w:rFonts w:asciiTheme="minorHAnsi" w:hAnsiTheme="minorHAnsi"/>
                <w:sz w:val="24"/>
                <w:szCs w:val="24"/>
              </w:rPr>
              <w:t>Włączanie przedstawicieli rodziców w działanie ciał odpowiedzialnych za planowanie i ocenę polityki oświatowej (np. Rada Oświatowa);</w:t>
            </w:r>
          </w:p>
          <w:p w:rsidR="001A12CF" w:rsidRPr="00075175" w:rsidRDefault="001A12CF" w:rsidP="001A12CF">
            <w:pPr>
              <w:pStyle w:val="Akapitzlist"/>
              <w:numPr>
                <w:ilvl w:val="0"/>
                <w:numId w:val="23"/>
              </w:numPr>
              <w:ind w:left="336" w:hanging="284"/>
              <w:rPr>
                <w:rFonts w:asciiTheme="minorHAnsi" w:hAnsiTheme="minorHAnsi"/>
                <w:sz w:val="24"/>
                <w:szCs w:val="24"/>
              </w:rPr>
            </w:pPr>
            <w:r w:rsidRPr="00075175">
              <w:rPr>
                <w:rFonts w:asciiTheme="minorHAnsi" w:hAnsiTheme="minorHAnsi"/>
                <w:sz w:val="24"/>
                <w:szCs w:val="24"/>
              </w:rPr>
              <w:t>Badanie potrzeb i opinii mieszkańców (zwłaszcza uczniów i rodziców) nt. jakości usług edukacyjnych;</w:t>
            </w:r>
          </w:p>
          <w:p w:rsidR="001A12CF" w:rsidRPr="00075175" w:rsidRDefault="001A12CF" w:rsidP="001A12CF">
            <w:pPr>
              <w:pStyle w:val="Akapitzlist"/>
              <w:numPr>
                <w:ilvl w:val="0"/>
                <w:numId w:val="23"/>
              </w:numPr>
              <w:spacing w:before="60"/>
              <w:ind w:left="336" w:hanging="284"/>
              <w:jc w:val="left"/>
              <w:rPr>
                <w:rFonts w:asciiTheme="minorHAnsi" w:hAnsiTheme="minorHAnsi"/>
                <w:sz w:val="24"/>
                <w:szCs w:val="24"/>
              </w:rPr>
            </w:pPr>
            <w:r w:rsidRPr="00075175">
              <w:rPr>
                <w:rFonts w:asciiTheme="minorHAnsi" w:hAnsiTheme="minorHAnsi"/>
                <w:sz w:val="24"/>
                <w:szCs w:val="24"/>
              </w:rPr>
              <w:t xml:space="preserve">Włączanie rodziców w proces podejmowania decyzji istotnych dla konkretnej szkoły / placówki ale również - dla rozwoju całego systemu lokalnej oświaty  (np. przy planowaniu sieci szkół i wyznaczaniu kierunków oferty edukacyjnej). </w:t>
            </w:r>
          </w:p>
          <w:p w:rsidR="001A12CF" w:rsidRPr="00075175" w:rsidRDefault="001A12CF" w:rsidP="001A12CF">
            <w:pPr>
              <w:ind w:left="52"/>
              <w:rPr>
                <w:rFonts w:asciiTheme="minorHAnsi" w:hAnsiTheme="minorHAnsi"/>
                <w:sz w:val="24"/>
                <w:szCs w:val="24"/>
              </w:rPr>
            </w:pPr>
            <w:r w:rsidRPr="00075175">
              <w:rPr>
                <w:rFonts w:asciiTheme="minorHAnsi" w:hAnsiTheme="minorHAnsi"/>
                <w:sz w:val="24"/>
                <w:szCs w:val="24"/>
              </w:rPr>
              <w:t>Podejmując tego typu działania, władze samorządowe powinny poszukiwać form interaktywnych, zachęcających rodziców do samodzielnego podejmowania inicjatyw oraz przyjmowania współodpowiedzialności za proces kształcenia i wychowania dzieci / młodzieży.</w:t>
            </w:r>
          </w:p>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weryfikacji / uzupełnienia oraz zilustrowania narzędziami]</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t>Narzędzia i rozwiązania zarządcze</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t>Dobre praktyki</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xml:space="preserve">Instrukcja: - Nie zakładamy tworzenia nowych opisów dobrej praktyki. Wykonawca powinien </w:t>
            </w:r>
            <w:r w:rsidRPr="00075175">
              <w:rPr>
                <w:rFonts w:asciiTheme="minorHAnsi" w:hAnsiTheme="minorHAnsi"/>
                <w:i/>
                <w:sz w:val="24"/>
                <w:szCs w:val="24"/>
              </w:rPr>
              <w:lastRenderedPageBreak/>
              <w:t>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lastRenderedPageBreak/>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t>Analiza kluczowych problemów</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075175" w:rsidTr="001A12CF">
        <w:trPr>
          <w:trHeight w:val="2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r w:rsidR="001A12CF" w:rsidRPr="00075175" w:rsidTr="001A12CF">
        <w:tc>
          <w:tcPr>
            <w:tcW w:w="9634" w:type="dxa"/>
          </w:tcPr>
          <w:p w:rsidR="001A12CF" w:rsidRPr="00075175" w:rsidRDefault="001A12CF" w:rsidP="00225D72">
            <w:pPr>
              <w:pStyle w:val="Nagwek2"/>
              <w:numPr>
                <w:ilvl w:val="0"/>
                <w:numId w:val="36"/>
              </w:numPr>
              <w:outlineLvl w:val="1"/>
              <w:rPr>
                <w:rFonts w:asciiTheme="minorHAnsi" w:hAnsiTheme="minorHAnsi"/>
                <w:sz w:val="24"/>
                <w:szCs w:val="24"/>
              </w:rPr>
            </w:pPr>
            <w:r w:rsidRPr="00075175">
              <w:rPr>
                <w:rFonts w:asciiTheme="minorHAnsi" w:hAnsiTheme="minorHAnsi"/>
                <w:sz w:val="24"/>
                <w:szCs w:val="24"/>
              </w:rPr>
              <w:t>Trendy i tendencje w rozwoju obszaru</w:t>
            </w:r>
          </w:p>
        </w:tc>
      </w:tr>
      <w:tr w:rsidR="001A12CF" w:rsidRPr="00075175" w:rsidTr="001A12CF">
        <w:tc>
          <w:tcPr>
            <w:tcW w:w="9634" w:type="dxa"/>
            <w:shd w:val="clear" w:color="auto" w:fill="D9D9D9" w:themeFill="background1" w:themeFillShade="D9"/>
          </w:tcPr>
          <w:p w:rsidR="001A12CF" w:rsidRPr="00075175" w:rsidRDefault="001A12CF" w:rsidP="001A12CF">
            <w:pPr>
              <w:rPr>
                <w:rFonts w:asciiTheme="minorHAnsi" w:hAnsiTheme="minorHAnsi"/>
                <w:i/>
                <w:sz w:val="24"/>
                <w:szCs w:val="24"/>
              </w:rPr>
            </w:pPr>
            <w:r w:rsidRPr="00075175">
              <w:rPr>
                <w:rFonts w:asciiTheme="minorHAnsi" w:hAnsiTheme="minorHAnsi"/>
                <w:i/>
                <w:sz w:val="24"/>
                <w:szCs w:val="24"/>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075175" w:rsidTr="001A12CF">
        <w:trPr>
          <w:trHeight w:val="268"/>
        </w:trPr>
        <w:tc>
          <w:tcPr>
            <w:tcW w:w="9634" w:type="dxa"/>
          </w:tcPr>
          <w:p w:rsidR="001A12CF" w:rsidRPr="00075175" w:rsidRDefault="001A12CF" w:rsidP="001A12CF">
            <w:pPr>
              <w:rPr>
                <w:rFonts w:asciiTheme="minorHAnsi" w:hAnsiTheme="minorHAnsi"/>
                <w:sz w:val="24"/>
                <w:szCs w:val="24"/>
              </w:rPr>
            </w:pPr>
            <w:r w:rsidRPr="00075175">
              <w:rPr>
                <w:rFonts w:asciiTheme="minorHAnsi" w:hAnsiTheme="minorHAnsi"/>
                <w:sz w:val="24"/>
                <w:szCs w:val="24"/>
                <w:highlight w:val="yellow"/>
              </w:rPr>
              <w:t>[do uzupełnienia]</w:t>
            </w:r>
          </w:p>
          <w:p w:rsidR="001A12CF" w:rsidRPr="00075175" w:rsidRDefault="001A12CF" w:rsidP="001A12CF">
            <w:pPr>
              <w:rPr>
                <w:rFonts w:asciiTheme="minorHAnsi" w:hAnsiTheme="minorHAnsi"/>
                <w:sz w:val="24"/>
                <w:szCs w:val="24"/>
              </w:rPr>
            </w:pPr>
          </w:p>
          <w:p w:rsidR="001A12CF" w:rsidRPr="00075175" w:rsidRDefault="001A12CF" w:rsidP="001A12CF">
            <w:pPr>
              <w:rPr>
                <w:rFonts w:asciiTheme="minorHAnsi" w:hAnsiTheme="minorHAnsi"/>
                <w:sz w:val="24"/>
                <w:szCs w:val="24"/>
              </w:rPr>
            </w:pPr>
          </w:p>
        </w:tc>
      </w:tr>
    </w:tbl>
    <w:p w:rsidR="001A12CF" w:rsidRPr="00075175" w:rsidRDefault="001A12CF">
      <w:pPr>
        <w:spacing w:after="200" w:line="276" w:lineRule="auto"/>
        <w:jc w:val="left"/>
        <w:rPr>
          <w:rFonts w:asciiTheme="minorHAnsi" w:hAnsiTheme="minorHAnsi"/>
          <w:sz w:val="24"/>
          <w:szCs w:val="24"/>
        </w:rPr>
      </w:pPr>
    </w:p>
    <w:sectPr w:rsidR="001A12CF" w:rsidRPr="00075175" w:rsidSect="00826F75">
      <w:headerReference w:type="default" r:id="rId10"/>
      <w:pgSz w:w="11906" w:h="16838"/>
      <w:pgMar w:top="1531" w:right="1134" w:bottom="1134" w:left="1134"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E36" w:rsidRDefault="00EC0E36" w:rsidP="005501B5">
      <w:pPr>
        <w:spacing w:after="0"/>
      </w:pPr>
      <w:r>
        <w:separator/>
      </w:r>
    </w:p>
  </w:endnote>
  <w:endnote w:type="continuationSeparator" w:id="1">
    <w:p w:rsidR="00EC0E36" w:rsidRDefault="00EC0E36" w:rsidP="005501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E36" w:rsidRDefault="00EC0E36" w:rsidP="005501B5">
      <w:pPr>
        <w:spacing w:after="0"/>
      </w:pPr>
      <w:r>
        <w:separator/>
      </w:r>
    </w:p>
  </w:footnote>
  <w:footnote w:type="continuationSeparator" w:id="1">
    <w:p w:rsidR="00EC0E36" w:rsidRDefault="00EC0E36" w:rsidP="005501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CF" w:rsidRDefault="001A12CF">
    <w:pPr>
      <w:pStyle w:val="Nagwek"/>
    </w:pPr>
    <w:r>
      <w:rPr>
        <w:noProof/>
        <w:lang w:eastAsia="pl-PL"/>
      </w:rPr>
      <w:drawing>
        <wp:inline distT="0" distB="0" distL="0" distR="0">
          <wp:extent cx="576072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05.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586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3DA"/>
    <w:multiLevelType w:val="hybridMultilevel"/>
    <w:tmpl w:val="76A4E7DE"/>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DB71B0"/>
    <w:multiLevelType w:val="hybridMultilevel"/>
    <w:tmpl w:val="5756F97A"/>
    <w:lvl w:ilvl="0" w:tplc="88189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B90F7B"/>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81449"/>
    <w:multiLevelType w:val="hybridMultilevel"/>
    <w:tmpl w:val="CD8E794A"/>
    <w:lvl w:ilvl="0" w:tplc="9182D042">
      <w:start w:val="1"/>
      <w:numFmt w:val="bullet"/>
      <w:lvlText w:val="•"/>
      <w:lvlJc w:val="left"/>
      <w:pPr>
        <w:tabs>
          <w:tab w:val="num" w:pos="720"/>
        </w:tabs>
        <w:ind w:left="720" w:hanging="360"/>
      </w:pPr>
      <w:rPr>
        <w:rFonts w:ascii="Arial" w:hAnsi="Arial" w:hint="default"/>
      </w:rPr>
    </w:lvl>
    <w:lvl w:ilvl="1" w:tplc="14FC822C">
      <w:start w:val="213"/>
      <w:numFmt w:val="bullet"/>
      <w:lvlText w:val="–"/>
      <w:lvlJc w:val="left"/>
      <w:pPr>
        <w:tabs>
          <w:tab w:val="num" w:pos="1440"/>
        </w:tabs>
        <w:ind w:left="1440" w:hanging="360"/>
      </w:pPr>
      <w:rPr>
        <w:rFonts w:ascii="Arial" w:hAnsi="Arial" w:hint="default"/>
      </w:rPr>
    </w:lvl>
    <w:lvl w:ilvl="2" w:tplc="32648904" w:tentative="1">
      <w:start w:val="1"/>
      <w:numFmt w:val="bullet"/>
      <w:lvlText w:val="•"/>
      <w:lvlJc w:val="left"/>
      <w:pPr>
        <w:tabs>
          <w:tab w:val="num" w:pos="2160"/>
        </w:tabs>
        <w:ind w:left="2160" w:hanging="360"/>
      </w:pPr>
      <w:rPr>
        <w:rFonts w:ascii="Arial" w:hAnsi="Arial" w:hint="default"/>
      </w:rPr>
    </w:lvl>
    <w:lvl w:ilvl="3" w:tplc="E8909FC6" w:tentative="1">
      <w:start w:val="1"/>
      <w:numFmt w:val="bullet"/>
      <w:lvlText w:val="•"/>
      <w:lvlJc w:val="left"/>
      <w:pPr>
        <w:tabs>
          <w:tab w:val="num" w:pos="2880"/>
        </w:tabs>
        <w:ind w:left="2880" w:hanging="360"/>
      </w:pPr>
      <w:rPr>
        <w:rFonts w:ascii="Arial" w:hAnsi="Arial" w:hint="default"/>
      </w:rPr>
    </w:lvl>
    <w:lvl w:ilvl="4" w:tplc="092ADF6A" w:tentative="1">
      <w:start w:val="1"/>
      <w:numFmt w:val="bullet"/>
      <w:lvlText w:val="•"/>
      <w:lvlJc w:val="left"/>
      <w:pPr>
        <w:tabs>
          <w:tab w:val="num" w:pos="3600"/>
        </w:tabs>
        <w:ind w:left="3600" w:hanging="360"/>
      </w:pPr>
      <w:rPr>
        <w:rFonts w:ascii="Arial" w:hAnsi="Arial" w:hint="default"/>
      </w:rPr>
    </w:lvl>
    <w:lvl w:ilvl="5" w:tplc="65CE29CE" w:tentative="1">
      <w:start w:val="1"/>
      <w:numFmt w:val="bullet"/>
      <w:lvlText w:val="•"/>
      <w:lvlJc w:val="left"/>
      <w:pPr>
        <w:tabs>
          <w:tab w:val="num" w:pos="4320"/>
        </w:tabs>
        <w:ind w:left="4320" w:hanging="360"/>
      </w:pPr>
      <w:rPr>
        <w:rFonts w:ascii="Arial" w:hAnsi="Arial" w:hint="default"/>
      </w:rPr>
    </w:lvl>
    <w:lvl w:ilvl="6" w:tplc="13F2A47E" w:tentative="1">
      <w:start w:val="1"/>
      <w:numFmt w:val="bullet"/>
      <w:lvlText w:val="•"/>
      <w:lvlJc w:val="left"/>
      <w:pPr>
        <w:tabs>
          <w:tab w:val="num" w:pos="5040"/>
        </w:tabs>
        <w:ind w:left="5040" w:hanging="360"/>
      </w:pPr>
      <w:rPr>
        <w:rFonts w:ascii="Arial" w:hAnsi="Arial" w:hint="default"/>
      </w:rPr>
    </w:lvl>
    <w:lvl w:ilvl="7" w:tplc="02AE159E" w:tentative="1">
      <w:start w:val="1"/>
      <w:numFmt w:val="bullet"/>
      <w:lvlText w:val="•"/>
      <w:lvlJc w:val="left"/>
      <w:pPr>
        <w:tabs>
          <w:tab w:val="num" w:pos="5760"/>
        </w:tabs>
        <w:ind w:left="5760" w:hanging="360"/>
      </w:pPr>
      <w:rPr>
        <w:rFonts w:ascii="Arial" w:hAnsi="Arial" w:hint="default"/>
      </w:rPr>
    </w:lvl>
    <w:lvl w:ilvl="8" w:tplc="9AE82DBA" w:tentative="1">
      <w:start w:val="1"/>
      <w:numFmt w:val="bullet"/>
      <w:lvlText w:val="•"/>
      <w:lvlJc w:val="left"/>
      <w:pPr>
        <w:tabs>
          <w:tab w:val="num" w:pos="6480"/>
        </w:tabs>
        <w:ind w:left="6480" w:hanging="360"/>
      </w:pPr>
      <w:rPr>
        <w:rFonts w:ascii="Arial" w:hAnsi="Arial" w:hint="default"/>
      </w:rPr>
    </w:lvl>
  </w:abstractNum>
  <w:abstractNum w:abstractNumId="4">
    <w:nsid w:val="0B0B4457"/>
    <w:multiLevelType w:val="hybridMultilevel"/>
    <w:tmpl w:val="FB2ECCC8"/>
    <w:lvl w:ilvl="0" w:tplc="A1829DA0">
      <w:start w:val="1"/>
      <w:numFmt w:val="decimal"/>
      <w:lvlText w:val="%1)"/>
      <w:lvlJc w:val="left"/>
      <w:pPr>
        <w:ind w:left="628" w:hanging="511"/>
      </w:pPr>
      <w:rPr>
        <w:rFonts w:ascii="Times New Roman" w:eastAsia="Times New Roman" w:hAnsi="Times New Roman" w:cs="Times New Roman" w:hint="default"/>
        <w:spacing w:val="-3"/>
        <w:w w:val="100"/>
        <w:sz w:val="24"/>
        <w:szCs w:val="24"/>
      </w:rPr>
    </w:lvl>
    <w:lvl w:ilvl="1" w:tplc="91FE5054">
      <w:start w:val="1"/>
      <w:numFmt w:val="bullet"/>
      <w:lvlText w:val="•"/>
      <w:lvlJc w:val="left"/>
      <w:pPr>
        <w:ind w:left="1486" w:hanging="511"/>
      </w:pPr>
      <w:rPr>
        <w:rFonts w:hint="default"/>
      </w:rPr>
    </w:lvl>
    <w:lvl w:ilvl="2" w:tplc="2A544FA0">
      <w:start w:val="1"/>
      <w:numFmt w:val="bullet"/>
      <w:lvlText w:val="•"/>
      <w:lvlJc w:val="left"/>
      <w:pPr>
        <w:ind w:left="2353" w:hanging="511"/>
      </w:pPr>
      <w:rPr>
        <w:rFonts w:hint="default"/>
      </w:rPr>
    </w:lvl>
    <w:lvl w:ilvl="3" w:tplc="17022F9A">
      <w:start w:val="1"/>
      <w:numFmt w:val="bullet"/>
      <w:lvlText w:val="•"/>
      <w:lvlJc w:val="left"/>
      <w:pPr>
        <w:ind w:left="3219" w:hanging="511"/>
      </w:pPr>
      <w:rPr>
        <w:rFonts w:hint="default"/>
      </w:rPr>
    </w:lvl>
    <w:lvl w:ilvl="4" w:tplc="8D184DF0">
      <w:start w:val="1"/>
      <w:numFmt w:val="bullet"/>
      <w:lvlText w:val="•"/>
      <w:lvlJc w:val="left"/>
      <w:pPr>
        <w:ind w:left="4086" w:hanging="511"/>
      </w:pPr>
      <w:rPr>
        <w:rFonts w:hint="default"/>
      </w:rPr>
    </w:lvl>
    <w:lvl w:ilvl="5" w:tplc="59405E74">
      <w:start w:val="1"/>
      <w:numFmt w:val="bullet"/>
      <w:lvlText w:val="•"/>
      <w:lvlJc w:val="left"/>
      <w:pPr>
        <w:ind w:left="4953" w:hanging="511"/>
      </w:pPr>
      <w:rPr>
        <w:rFonts w:hint="default"/>
      </w:rPr>
    </w:lvl>
    <w:lvl w:ilvl="6" w:tplc="FEEEBC34">
      <w:start w:val="1"/>
      <w:numFmt w:val="bullet"/>
      <w:lvlText w:val="•"/>
      <w:lvlJc w:val="left"/>
      <w:pPr>
        <w:ind w:left="5819" w:hanging="511"/>
      </w:pPr>
      <w:rPr>
        <w:rFonts w:hint="default"/>
      </w:rPr>
    </w:lvl>
    <w:lvl w:ilvl="7" w:tplc="9A1EE388">
      <w:start w:val="1"/>
      <w:numFmt w:val="bullet"/>
      <w:lvlText w:val="•"/>
      <w:lvlJc w:val="left"/>
      <w:pPr>
        <w:ind w:left="6686" w:hanging="511"/>
      </w:pPr>
      <w:rPr>
        <w:rFonts w:hint="default"/>
      </w:rPr>
    </w:lvl>
    <w:lvl w:ilvl="8" w:tplc="92DEBE2E">
      <w:start w:val="1"/>
      <w:numFmt w:val="bullet"/>
      <w:lvlText w:val="•"/>
      <w:lvlJc w:val="left"/>
      <w:pPr>
        <w:ind w:left="7553" w:hanging="511"/>
      </w:pPr>
      <w:rPr>
        <w:rFonts w:hint="default"/>
      </w:rPr>
    </w:lvl>
  </w:abstractNum>
  <w:abstractNum w:abstractNumId="5">
    <w:nsid w:val="0E475D15"/>
    <w:multiLevelType w:val="hybridMultilevel"/>
    <w:tmpl w:val="8FBA7736"/>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950B4A"/>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30632"/>
    <w:multiLevelType w:val="hybridMultilevel"/>
    <w:tmpl w:val="C2ACE2D2"/>
    <w:lvl w:ilvl="0" w:tplc="D74058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EA0645"/>
    <w:multiLevelType w:val="hybridMultilevel"/>
    <w:tmpl w:val="89A87A26"/>
    <w:lvl w:ilvl="0" w:tplc="A288B56E">
      <w:start w:val="1"/>
      <w:numFmt w:val="bullet"/>
      <w:lvlText w:val="•"/>
      <w:lvlJc w:val="left"/>
      <w:pPr>
        <w:tabs>
          <w:tab w:val="num" w:pos="720"/>
        </w:tabs>
        <w:ind w:left="720" w:hanging="360"/>
      </w:pPr>
      <w:rPr>
        <w:rFonts w:ascii="Arial" w:hAnsi="Arial" w:hint="default"/>
      </w:rPr>
    </w:lvl>
    <w:lvl w:ilvl="1" w:tplc="B0DC8152">
      <w:start w:val="213"/>
      <w:numFmt w:val="bullet"/>
      <w:lvlText w:val="–"/>
      <w:lvlJc w:val="left"/>
      <w:pPr>
        <w:tabs>
          <w:tab w:val="num" w:pos="1440"/>
        </w:tabs>
        <w:ind w:left="1440" w:hanging="360"/>
      </w:pPr>
      <w:rPr>
        <w:rFonts w:ascii="Arial" w:hAnsi="Arial" w:hint="default"/>
      </w:rPr>
    </w:lvl>
    <w:lvl w:ilvl="2" w:tplc="96E45480" w:tentative="1">
      <w:start w:val="1"/>
      <w:numFmt w:val="bullet"/>
      <w:lvlText w:val="•"/>
      <w:lvlJc w:val="left"/>
      <w:pPr>
        <w:tabs>
          <w:tab w:val="num" w:pos="2160"/>
        </w:tabs>
        <w:ind w:left="2160" w:hanging="360"/>
      </w:pPr>
      <w:rPr>
        <w:rFonts w:ascii="Arial" w:hAnsi="Arial" w:hint="default"/>
      </w:rPr>
    </w:lvl>
    <w:lvl w:ilvl="3" w:tplc="2FDA37EC" w:tentative="1">
      <w:start w:val="1"/>
      <w:numFmt w:val="bullet"/>
      <w:lvlText w:val="•"/>
      <w:lvlJc w:val="left"/>
      <w:pPr>
        <w:tabs>
          <w:tab w:val="num" w:pos="2880"/>
        </w:tabs>
        <w:ind w:left="2880" w:hanging="360"/>
      </w:pPr>
      <w:rPr>
        <w:rFonts w:ascii="Arial" w:hAnsi="Arial" w:hint="default"/>
      </w:rPr>
    </w:lvl>
    <w:lvl w:ilvl="4" w:tplc="B6489BAE" w:tentative="1">
      <w:start w:val="1"/>
      <w:numFmt w:val="bullet"/>
      <w:lvlText w:val="•"/>
      <w:lvlJc w:val="left"/>
      <w:pPr>
        <w:tabs>
          <w:tab w:val="num" w:pos="3600"/>
        </w:tabs>
        <w:ind w:left="3600" w:hanging="360"/>
      </w:pPr>
      <w:rPr>
        <w:rFonts w:ascii="Arial" w:hAnsi="Arial" w:hint="default"/>
      </w:rPr>
    </w:lvl>
    <w:lvl w:ilvl="5" w:tplc="0AB2C10E" w:tentative="1">
      <w:start w:val="1"/>
      <w:numFmt w:val="bullet"/>
      <w:lvlText w:val="•"/>
      <w:lvlJc w:val="left"/>
      <w:pPr>
        <w:tabs>
          <w:tab w:val="num" w:pos="4320"/>
        </w:tabs>
        <w:ind w:left="4320" w:hanging="360"/>
      </w:pPr>
      <w:rPr>
        <w:rFonts w:ascii="Arial" w:hAnsi="Arial" w:hint="default"/>
      </w:rPr>
    </w:lvl>
    <w:lvl w:ilvl="6" w:tplc="B5C4A8E8" w:tentative="1">
      <w:start w:val="1"/>
      <w:numFmt w:val="bullet"/>
      <w:lvlText w:val="•"/>
      <w:lvlJc w:val="left"/>
      <w:pPr>
        <w:tabs>
          <w:tab w:val="num" w:pos="5040"/>
        </w:tabs>
        <w:ind w:left="5040" w:hanging="360"/>
      </w:pPr>
      <w:rPr>
        <w:rFonts w:ascii="Arial" w:hAnsi="Arial" w:hint="default"/>
      </w:rPr>
    </w:lvl>
    <w:lvl w:ilvl="7" w:tplc="554A8812" w:tentative="1">
      <w:start w:val="1"/>
      <w:numFmt w:val="bullet"/>
      <w:lvlText w:val="•"/>
      <w:lvlJc w:val="left"/>
      <w:pPr>
        <w:tabs>
          <w:tab w:val="num" w:pos="5760"/>
        </w:tabs>
        <w:ind w:left="5760" w:hanging="360"/>
      </w:pPr>
      <w:rPr>
        <w:rFonts w:ascii="Arial" w:hAnsi="Arial" w:hint="default"/>
      </w:rPr>
    </w:lvl>
    <w:lvl w:ilvl="8" w:tplc="8FDA1692" w:tentative="1">
      <w:start w:val="1"/>
      <w:numFmt w:val="bullet"/>
      <w:lvlText w:val="•"/>
      <w:lvlJc w:val="left"/>
      <w:pPr>
        <w:tabs>
          <w:tab w:val="num" w:pos="6480"/>
        </w:tabs>
        <w:ind w:left="6480" w:hanging="360"/>
      </w:pPr>
      <w:rPr>
        <w:rFonts w:ascii="Arial" w:hAnsi="Arial" w:hint="default"/>
      </w:rPr>
    </w:lvl>
  </w:abstractNum>
  <w:abstractNum w:abstractNumId="9">
    <w:nsid w:val="1BF673FE"/>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924FA"/>
    <w:multiLevelType w:val="hybridMultilevel"/>
    <w:tmpl w:val="A03EF172"/>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D2B3DE7"/>
    <w:multiLevelType w:val="hybridMultilevel"/>
    <w:tmpl w:val="1EC49B6E"/>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D9F0D05"/>
    <w:multiLevelType w:val="hybridMultilevel"/>
    <w:tmpl w:val="4B546294"/>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E914533"/>
    <w:multiLevelType w:val="hybridMultilevel"/>
    <w:tmpl w:val="E844F990"/>
    <w:lvl w:ilvl="0" w:tplc="8FB6BC84">
      <w:start w:val="2"/>
      <w:numFmt w:val="decimal"/>
      <w:lvlText w:val="%1."/>
      <w:lvlJc w:val="left"/>
      <w:pPr>
        <w:ind w:left="118" w:hanging="251"/>
      </w:pPr>
      <w:rPr>
        <w:rFonts w:ascii="Times New Roman" w:eastAsia="Times New Roman" w:hAnsi="Times New Roman" w:cs="Times New Roman" w:hint="default"/>
        <w:w w:val="100"/>
        <w:sz w:val="24"/>
        <w:szCs w:val="24"/>
      </w:rPr>
    </w:lvl>
    <w:lvl w:ilvl="1" w:tplc="8AD48922">
      <w:start w:val="1"/>
      <w:numFmt w:val="bullet"/>
      <w:lvlText w:val="•"/>
      <w:lvlJc w:val="left"/>
      <w:pPr>
        <w:ind w:left="1036" w:hanging="251"/>
      </w:pPr>
      <w:rPr>
        <w:rFonts w:hint="default"/>
      </w:rPr>
    </w:lvl>
    <w:lvl w:ilvl="2" w:tplc="5330BA18">
      <w:start w:val="1"/>
      <w:numFmt w:val="bullet"/>
      <w:lvlText w:val="•"/>
      <w:lvlJc w:val="left"/>
      <w:pPr>
        <w:ind w:left="1953" w:hanging="251"/>
      </w:pPr>
      <w:rPr>
        <w:rFonts w:hint="default"/>
      </w:rPr>
    </w:lvl>
    <w:lvl w:ilvl="3" w:tplc="DAA8F10C">
      <w:start w:val="1"/>
      <w:numFmt w:val="bullet"/>
      <w:lvlText w:val="•"/>
      <w:lvlJc w:val="left"/>
      <w:pPr>
        <w:ind w:left="2869" w:hanging="251"/>
      </w:pPr>
      <w:rPr>
        <w:rFonts w:hint="default"/>
      </w:rPr>
    </w:lvl>
    <w:lvl w:ilvl="4" w:tplc="DDF45D6A">
      <w:start w:val="1"/>
      <w:numFmt w:val="bullet"/>
      <w:lvlText w:val="•"/>
      <w:lvlJc w:val="left"/>
      <w:pPr>
        <w:ind w:left="3786" w:hanging="251"/>
      </w:pPr>
      <w:rPr>
        <w:rFonts w:hint="default"/>
      </w:rPr>
    </w:lvl>
    <w:lvl w:ilvl="5" w:tplc="1E482B84">
      <w:start w:val="1"/>
      <w:numFmt w:val="bullet"/>
      <w:lvlText w:val="•"/>
      <w:lvlJc w:val="left"/>
      <w:pPr>
        <w:ind w:left="4703" w:hanging="251"/>
      </w:pPr>
      <w:rPr>
        <w:rFonts w:hint="default"/>
      </w:rPr>
    </w:lvl>
    <w:lvl w:ilvl="6" w:tplc="E7DC9444">
      <w:start w:val="1"/>
      <w:numFmt w:val="bullet"/>
      <w:lvlText w:val="•"/>
      <w:lvlJc w:val="left"/>
      <w:pPr>
        <w:ind w:left="5619" w:hanging="251"/>
      </w:pPr>
      <w:rPr>
        <w:rFonts w:hint="default"/>
      </w:rPr>
    </w:lvl>
    <w:lvl w:ilvl="7" w:tplc="85BACF7C">
      <w:start w:val="1"/>
      <w:numFmt w:val="bullet"/>
      <w:lvlText w:val="•"/>
      <w:lvlJc w:val="left"/>
      <w:pPr>
        <w:ind w:left="6536" w:hanging="251"/>
      </w:pPr>
      <w:rPr>
        <w:rFonts w:hint="default"/>
      </w:rPr>
    </w:lvl>
    <w:lvl w:ilvl="8" w:tplc="7A8A81E8">
      <w:start w:val="1"/>
      <w:numFmt w:val="bullet"/>
      <w:lvlText w:val="•"/>
      <w:lvlJc w:val="left"/>
      <w:pPr>
        <w:ind w:left="7453" w:hanging="251"/>
      </w:pPr>
      <w:rPr>
        <w:rFonts w:hint="default"/>
      </w:rPr>
    </w:lvl>
  </w:abstractNum>
  <w:abstractNum w:abstractNumId="14">
    <w:nsid w:val="1F874581"/>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8C5B91"/>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D5476"/>
    <w:multiLevelType w:val="hybridMultilevel"/>
    <w:tmpl w:val="EC645190"/>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AF2798"/>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2232F"/>
    <w:multiLevelType w:val="hybridMultilevel"/>
    <w:tmpl w:val="EFF051DE"/>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CD815F9"/>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501826"/>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3253C0"/>
    <w:multiLevelType w:val="hybridMultilevel"/>
    <w:tmpl w:val="740EAA06"/>
    <w:lvl w:ilvl="0" w:tplc="B3AC79E0">
      <w:start w:val="1"/>
      <w:numFmt w:val="bullet"/>
      <w:lvlText w:val="-"/>
      <w:lvlJc w:val="left"/>
      <w:pPr>
        <w:tabs>
          <w:tab w:val="num" w:pos="720"/>
        </w:tabs>
        <w:ind w:left="720" w:hanging="360"/>
      </w:pPr>
      <w:rPr>
        <w:rFonts w:ascii="Arial" w:hAnsi="Arial" w:hint="default"/>
      </w:rPr>
    </w:lvl>
    <w:lvl w:ilvl="1" w:tplc="B1EAF86A">
      <w:start w:val="213"/>
      <w:numFmt w:val="bullet"/>
      <w:lvlText w:val="–"/>
      <w:lvlJc w:val="left"/>
      <w:pPr>
        <w:tabs>
          <w:tab w:val="num" w:pos="1440"/>
        </w:tabs>
        <w:ind w:left="1440" w:hanging="360"/>
      </w:pPr>
      <w:rPr>
        <w:rFonts w:ascii="Arial" w:hAnsi="Arial" w:hint="default"/>
      </w:rPr>
    </w:lvl>
    <w:lvl w:ilvl="2" w:tplc="7F0C9722" w:tentative="1">
      <w:start w:val="1"/>
      <w:numFmt w:val="bullet"/>
      <w:lvlText w:val="•"/>
      <w:lvlJc w:val="left"/>
      <w:pPr>
        <w:tabs>
          <w:tab w:val="num" w:pos="2160"/>
        </w:tabs>
        <w:ind w:left="2160" w:hanging="360"/>
      </w:pPr>
      <w:rPr>
        <w:rFonts w:ascii="Arial" w:hAnsi="Arial" w:hint="default"/>
      </w:rPr>
    </w:lvl>
    <w:lvl w:ilvl="3" w:tplc="849CF0D4" w:tentative="1">
      <w:start w:val="1"/>
      <w:numFmt w:val="bullet"/>
      <w:lvlText w:val="•"/>
      <w:lvlJc w:val="left"/>
      <w:pPr>
        <w:tabs>
          <w:tab w:val="num" w:pos="2880"/>
        </w:tabs>
        <w:ind w:left="2880" w:hanging="360"/>
      </w:pPr>
      <w:rPr>
        <w:rFonts w:ascii="Arial" w:hAnsi="Arial" w:hint="default"/>
      </w:rPr>
    </w:lvl>
    <w:lvl w:ilvl="4" w:tplc="7A0800E2" w:tentative="1">
      <w:start w:val="1"/>
      <w:numFmt w:val="bullet"/>
      <w:lvlText w:val="•"/>
      <w:lvlJc w:val="left"/>
      <w:pPr>
        <w:tabs>
          <w:tab w:val="num" w:pos="3600"/>
        </w:tabs>
        <w:ind w:left="3600" w:hanging="360"/>
      </w:pPr>
      <w:rPr>
        <w:rFonts w:ascii="Arial" w:hAnsi="Arial" w:hint="default"/>
      </w:rPr>
    </w:lvl>
    <w:lvl w:ilvl="5" w:tplc="1EBC746A" w:tentative="1">
      <w:start w:val="1"/>
      <w:numFmt w:val="bullet"/>
      <w:lvlText w:val="•"/>
      <w:lvlJc w:val="left"/>
      <w:pPr>
        <w:tabs>
          <w:tab w:val="num" w:pos="4320"/>
        </w:tabs>
        <w:ind w:left="4320" w:hanging="360"/>
      </w:pPr>
      <w:rPr>
        <w:rFonts w:ascii="Arial" w:hAnsi="Arial" w:hint="default"/>
      </w:rPr>
    </w:lvl>
    <w:lvl w:ilvl="6" w:tplc="91747E20" w:tentative="1">
      <w:start w:val="1"/>
      <w:numFmt w:val="bullet"/>
      <w:lvlText w:val="•"/>
      <w:lvlJc w:val="left"/>
      <w:pPr>
        <w:tabs>
          <w:tab w:val="num" w:pos="5040"/>
        </w:tabs>
        <w:ind w:left="5040" w:hanging="360"/>
      </w:pPr>
      <w:rPr>
        <w:rFonts w:ascii="Arial" w:hAnsi="Arial" w:hint="default"/>
      </w:rPr>
    </w:lvl>
    <w:lvl w:ilvl="7" w:tplc="24AAD14C" w:tentative="1">
      <w:start w:val="1"/>
      <w:numFmt w:val="bullet"/>
      <w:lvlText w:val="•"/>
      <w:lvlJc w:val="left"/>
      <w:pPr>
        <w:tabs>
          <w:tab w:val="num" w:pos="5760"/>
        </w:tabs>
        <w:ind w:left="5760" w:hanging="360"/>
      </w:pPr>
      <w:rPr>
        <w:rFonts w:ascii="Arial" w:hAnsi="Arial" w:hint="default"/>
      </w:rPr>
    </w:lvl>
    <w:lvl w:ilvl="8" w:tplc="0302BEA0" w:tentative="1">
      <w:start w:val="1"/>
      <w:numFmt w:val="bullet"/>
      <w:lvlText w:val="•"/>
      <w:lvlJc w:val="left"/>
      <w:pPr>
        <w:tabs>
          <w:tab w:val="num" w:pos="6480"/>
        </w:tabs>
        <w:ind w:left="6480" w:hanging="360"/>
      </w:pPr>
      <w:rPr>
        <w:rFonts w:ascii="Arial" w:hAnsi="Arial" w:hint="default"/>
      </w:rPr>
    </w:lvl>
  </w:abstractNum>
  <w:abstractNum w:abstractNumId="22">
    <w:nsid w:val="37173749"/>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F23AF"/>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E45EB"/>
    <w:multiLevelType w:val="hybridMultilevel"/>
    <w:tmpl w:val="19DC6888"/>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A096DE2"/>
    <w:multiLevelType w:val="hybridMultilevel"/>
    <w:tmpl w:val="9CD41630"/>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B86336"/>
    <w:multiLevelType w:val="hybridMultilevel"/>
    <w:tmpl w:val="DB480430"/>
    <w:lvl w:ilvl="0" w:tplc="06BA63DE">
      <w:start w:val="1"/>
      <w:numFmt w:val="bullet"/>
      <w:lvlText w:val="•"/>
      <w:lvlJc w:val="left"/>
      <w:pPr>
        <w:tabs>
          <w:tab w:val="num" w:pos="720"/>
        </w:tabs>
        <w:ind w:left="720" w:hanging="360"/>
      </w:pPr>
      <w:rPr>
        <w:rFonts w:ascii="Arial" w:hAnsi="Arial" w:hint="default"/>
      </w:rPr>
    </w:lvl>
    <w:lvl w:ilvl="1" w:tplc="B1EAF86A">
      <w:start w:val="213"/>
      <w:numFmt w:val="bullet"/>
      <w:lvlText w:val="–"/>
      <w:lvlJc w:val="left"/>
      <w:pPr>
        <w:tabs>
          <w:tab w:val="num" w:pos="1440"/>
        </w:tabs>
        <w:ind w:left="1440" w:hanging="360"/>
      </w:pPr>
      <w:rPr>
        <w:rFonts w:ascii="Arial" w:hAnsi="Arial" w:hint="default"/>
      </w:rPr>
    </w:lvl>
    <w:lvl w:ilvl="2" w:tplc="7F0C9722" w:tentative="1">
      <w:start w:val="1"/>
      <w:numFmt w:val="bullet"/>
      <w:lvlText w:val="•"/>
      <w:lvlJc w:val="left"/>
      <w:pPr>
        <w:tabs>
          <w:tab w:val="num" w:pos="2160"/>
        </w:tabs>
        <w:ind w:left="2160" w:hanging="360"/>
      </w:pPr>
      <w:rPr>
        <w:rFonts w:ascii="Arial" w:hAnsi="Arial" w:hint="default"/>
      </w:rPr>
    </w:lvl>
    <w:lvl w:ilvl="3" w:tplc="849CF0D4" w:tentative="1">
      <w:start w:val="1"/>
      <w:numFmt w:val="bullet"/>
      <w:lvlText w:val="•"/>
      <w:lvlJc w:val="left"/>
      <w:pPr>
        <w:tabs>
          <w:tab w:val="num" w:pos="2880"/>
        </w:tabs>
        <w:ind w:left="2880" w:hanging="360"/>
      </w:pPr>
      <w:rPr>
        <w:rFonts w:ascii="Arial" w:hAnsi="Arial" w:hint="default"/>
      </w:rPr>
    </w:lvl>
    <w:lvl w:ilvl="4" w:tplc="7A0800E2" w:tentative="1">
      <w:start w:val="1"/>
      <w:numFmt w:val="bullet"/>
      <w:lvlText w:val="•"/>
      <w:lvlJc w:val="left"/>
      <w:pPr>
        <w:tabs>
          <w:tab w:val="num" w:pos="3600"/>
        </w:tabs>
        <w:ind w:left="3600" w:hanging="360"/>
      </w:pPr>
      <w:rPr>
        <w:rFonts w:ascii="Arial" w:hAnsi="Arial" w:hint="default"/>
      </w:rPr>
    </w:lvl>
    <w:lvl w:ilvl="5" w:tplc="1EBC746A" w:tentative="1">
      <w:start w:val="1"/>
      <w:numFmt w:val="bullet"/>
      <w:lvlText w:val="•"/>
      <w:lvlJc w:val="left"/>
      <w:pPr>
        <w:tabs>
          <w:tab w:val="num" w:pos="4320"/>
        </w:tabs>
        <w:ind w:left="4320" w:hanging="360"/>
      </w:pPr>
      <w:rPr>
        <w:rFonts w:ascii="Arial" w:hAnsi="Arial" w:hint="default"/>
      </w:rPr>
    </w:lvl>
    <w:lvl w:ilvl="6" w:tplc="91747E20" w:tentative="1">
      <w:start w:val="1"/>
      <w:numFmt w:val="bullet"/>
      <w:lvlText w:val="•"/>
      <w:lvlJc w:val="left"/>
      <w:pPr>
        <w:tabs>
          <w:tab w:val="num" w:pos="5040"/>
        </w:tabs>
        <w:ind w:left="5040" w:hanging="360"/>
      </w:pPr>
      <w:rPr>
        <w:rFonts w:ascii="Arial" w:hAnsi="Arial" w:hint="default"/>
      </w:rPr>
    </w:lvl>
    <w:lvl w:ilvl="7" w:tplc="24AAD14C" w:tentative="1">
      <w:start w:val="1"/>
      <w:numFmt w:val="bullet"/>
      <w:lvlText w:val="•"/>
      <w:lvlJc w:val="left"/>
      <w:pPr>
        <w:tabs>
          <w:tab w:val="num" w:pos="5760"/>
        </w:tabs>
        <w:ind w:left="5760" w:hanging="360"/>
      </w:pPr>
      <w:rPr>
        <w:rFonts w:ascii="Arial" w:hAnsi="Arial" w:hint="default"/>
      </w:rPr>
    </w:lvl>
    <w:lvl w:ilvl="8" w:tplc="0302BEA0" w:tentative="1">
      <w:start w:val="1"/>
      <w:numFmt w:val="bullet"/>
      <w:lvlText w:val="•"/>
      <w:lvlJc w:val="left"/>
      <w:pPr>
        <w:tabs>
          <w:tab w:val="num" w:pos="6480"/>
        </w:tabs>
        <w:ind w:left="6480" w:hanging="360"/>
      </w:pPr>
      <w:rPr>
        <w:rFonts w:ascii="Arial" w:hAnsi="Arial" w:hint="default"/>
      </w:rPr>
    </w:lvl>
  </w:abstractNum>
  <w:abstractNum w:abstractNumId="27">
    <w:nsid w:val="5CCD7A49"/>
    <w:multiLevelType w:val="hybridMultilevel"/>
    <w:tmpl w:val="40DC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F424E"/>
    <w:multiLevelType w:val="hybridMultilevel"/>
    <w:tmpl w:val="E362CECA"/>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4A412D"/>
    <w:multiLevelType w:val="hybridMultilevel"/>
    <w:tmpl w:val="3C3E69D4"/>
    <w:lvl w:ilvl="0" w:tplc="0E1A5D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A1E9F"/>
    <w:multiLevelType w:val="hybridMultilevel"/>
    <w:tmpl w:val="C82831FA"/>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CB76DD"/>
    <w:multiLevelType w:val="hybridMultilevel"/>
    <w:tmpl w:val="C73AA0B6"/>
    <w:lvl w:ilvl="0" w:tplc="8B6AE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53C4FEB"/>
    <w:multiLevelType w:val="hybridMultilevel"/>
    <w:tmpl w:val="32740824"/>
    <w:lvl w:ilvl="0" w:tplc="9B6E713C">
      <w:start w:val="1"/>
      <w:numFmt w:val="decimal"/>
      <w:pStyle w:val="Spistreci1"/>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3">
    <w:nsid w:val="77332C46"/>
    <w:multiLevelType w:val="hybridMultilevel"/>
    <w:tmpl w:val="592C5630"/>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A1A038F"/>
    <w:multiLevelType w:val="hybridMultilevel"/>
    <w:tmpl w:val="66DC8B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B734BD"/>
    <w:multiLevelType w:val="hybridMultilevel"/>
    <w:tmpl w:val="D86EABCC"/>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8"/>
  </w:num>
  <w:num w:numId="4">
    <w:abstractNumId w:val="21"/>
  </w:num>
  <w:num w:numId="5">
    <w:abstractNumId w:val="1"/>
  </w:num>
  <w:num w:numId="6">
    <w:abstractNumId w:val="31"/>
  </w:num>
  <w:num w:numId="7">
    <w:abstractNumId w:val="34"/>
  </w:num>
  <w:num w:numId="8">
    <w:abstractNumId w:val="0"/>
  </w:num>
  <w:num w:numId="9">
    <w:abstractNumId w:val="13"/>
  </w:num>
  <w:num w:numId="10">
    <w:abstractNumId w:val="4"/>
  </w:num>
  <w:num w:numId="11">
    <w:abstractNumId w:val="18"/>
  </w:num>
  <w:num w:numId="12">
    <w:abstractNumId w:val="11"/>
  </w:num>
  <w:num w:numId="13">
    <w:abstractNumId w:val="5"/>
  </w:num>
  <w:num w:numId="14">
    <w:abstractNumId w:val="28"/>
  </w:num>
  <w:num w:numId="15">
    <w:abstractNumId w:val="16"/>
  </w:num>
  <w:num w:numId="16">
    <w:abstractNumId w:val="24"/>
  </w:num>
  <w:num w:numId="17">
    <w:abstractNumId w:val="33"/>
  </w:num>
  <w:num w:numId="18">
    <w:abstractNumId w:val="35"/>
  </w:num>
  <w:num w:numId="19">
    <w:abstractNumId w:val="25"/>
  </w:num>
  <w:num w:numId="20">
    <w:abstractNumId w:val="30"/>
  </w:num>
  <w:num w:numId="21">
    <w:abstractNumId w:val="10"/>
  </w:num>
  <w:num w:numId="22">
    <w:abstractNumId w:val="12"/>
  </w:num>
  <w:num w:numId="23">
    <w:abstractNumId w:val="27"/>
  </w:num>
  <w:num w:numId="24">
    <w:abstractNumId w:val="32"/>
  </w:num>
  <w:num w:numId="25">
    <w:abstractNumId w:val="9"/>
  </w:num>
  <w:num w:numId="26">
    <w:abstractNumId w:val="29"/>
  </w:num>
  <w:num w:numId="27">
    <w:abstractNumId w:val="7"/>
  </w:num>
  <w:num w:numId="28">
    <w:abstractNumId w:val="20"/>
  </w:num>
  <w:num w:numId="29">
    <w:abstractNumId w:val="17"/>
  </w:num>
  <w:num w:numId="30">
    <w:abstractNumId w:val="22"/>
  </w:num>
  <w:num w:numId="31">
    <w:abstractNumId w:val="19"/>
  </w:num>
  <w:num w:numId="32">
    <w:abstractNumId w:val="15"/>
  </w:num>
  <w:num w:numId="33">
    <w:abstractNumId w:val="14"/>
  </w:num>
  <w:num w:numId="34">
    <w:abstractNumId w:val="23"/>
  </w:num>
  <w:num w:numId="35">
    <w:abstractNumId w:val="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5501B5"/>
    <w:rsid w:val="00010DCB"/>
    <w:rsid w:val="00047D5C"/>
    <w:rsid w:val="00060A5B"/>
    <w:rsid w:val="00075175"/>
    <w:rsid w:val="000A5B99"/>
    <w:rsid w:val="000E38A4"/>
    <w:rsid w:val="000E7E5B"/>
    <w:rsid w:val="00110074"/>
    <w:rsid w:val="00165C51"/>
    <w:rsid w:val="00180D62"/>
    <w:rsid w:val="001A12CF"/>
    <w:rsid w:val="001C5C62"/>
    <w:rsid w:val="001D69FC"/>
    <w:rsid w:val="001F42D4"/>
    <w:rsid w:val="00220555"/>
    <w:rsid w:val="00225D72"/>
    <w:rsid w:val="0026405C"/>
    <w:rsid w:val="0026415B"/>
    <w:rsid w:val="0028590F"/>
    <w:rsid w:val="00293D5E"/>
    <w:rsid w:val="002C5FBA"/>
    <w:rsid w:val="002F0643"/>
    <w:rsid w:val="00344F62"/>
    <w:rsid w:val="0038516F"/>
    <w:rsid w:val="003E0334"/>
    <w:rsid w:val="00402AB7"/>
    <w:rsid w:val="00433981"/>
    <w:rsid w:val="00482F08"/>
    <w:rsid w:val="00512958"/>
    <w:rsid w:val="005501B5"/>
    <w:rsid w:val="00575901"/>
    <w:rsid w:val="0060508B"/>
    <w:rsid w:val="00612C39"/>
    <w:rsid w:val="00645008"/>
    <w:rsid w:val="006B396D"/>
    <w:rsid w:val="006D671D"/>
    <w:rsid w:val="006D6B90"/>
    <w:rsid w:val="006F3CF6"/>
    <w:rsid w:val="00712D96"/>
    <w:rsid w:val="00766D0A"/>
    <w:rsid w:val="0077168E"/>
    <w:rsid w:val="007720D7"/>
    <w:rsid w:val="00784149"/>
    <w:rsid w:val="008058EC"/>
    <w:rsid w:val="00826F75"/>
    <w:rsid w:val="00847423"/>
    <w:rsid w:val="008612CB"/>
    <w:rsid w:val="008C5C38"/>
    <w:rsid w:val="008D7973"/>
    <w:rsid w:val="00914239"/>
    <w:rsid w:val="0096298F"/>
    <w:rsid w:val="009A776F"/>
    <w:rsid w:val="009E2633"/>
    <w:rsid w:val="009E688E"/>
    <w:rsid w:val="009E7C5A"/>
    <w:rsid w:val="009F14C8"/>
    <w:rsid w:val="00A00C04"/>
    <w:rsid w:val="00A172DA"/>
    <w:rsid w:val="00A9775F"/>
    <w:rsid w:val="00AC1110"/>
    <w:rsid w:val="00AF442D"/>
    <w:rsid w:val="00B01335"/>
    <w:rsid w:val="00B97392"/>
    <w:rsid w:val="00BB2DE0"/>
    <w:rsid w:val="00BB4DD8"/>
    <w:rsid w:val="00BB72A5"/>
    <w:rsid w:val="00BF42B4"/>
    <w:rsid w:val="00C00DF5"/>
    <w:rsid w:val="00C257EE"/>
    <w:rsid w:val="00C60611"/>
    <w:rsid w:val="00CA4A7D"/>
    <w:rsid w:val="00CC6A22"/>
    <w:rsid w:val="00D528D1"/>
    <w:rsid w:val="00D63B1A"/>
    <w:rsid w:val="00D91241"/>
    <w:rsid w:val="00DA56F8"/>
    <w:rsid w:val="00E535FA"/>
    <w:rsid w:val="00E655D5"/>
    <w:rsid w:val="00E82563"/>
    <w:rsid w:val="00EC0E36"/>
    <w:rsid w:val="00F00B58"/>
    <w:rsid w:val="00F762C7"/>
    <w:rsid w:val="00F811D4"/>
    <w:rsid w:val="00FA2C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643"/>
    <w:pPr>
      <w:spacing w:after="120" w:line="240" w:lineRule="auto"/>
      <w:jc w:val="both"/>
    </w:pPr>
    <w:rPr>
      <w:rFonts w:ascii="Arial" w:hAnsi="Arial"/>
    </w:rPr>
  </w:style>
  <w:style w:type="paragraph" w:styleId="Nagwek1">
    <w:name w:val="heading 1"/>
    <w:basedOn w:val="Normalny"/>
    <w:next w:val="Normalny"/>
    <w:link w:val="Nagwek1Znak"/>
    <w:uiPriority w:val="9"/>
    <w:qFormat/>
    <w:rsid w:val="00C60611"/>
    <w:pPr>
      <w:keepNext/>
      <w:keepLines/>
      <w:spacing w:before="240" w:after="180"/>
      <w:outlineLvl w:val="0"/>
    </w:pPr>
    <w:rPr>
      <w:rFonts w:eastAsiaTheme="majorEastAsia" w:cstheme="majorBidi"/>
      <w:b/>
      <w:bCs/>
      <w:color w:val="0070C0"/>
      <w:sz w:val="24"/>
      <w:szCs w:val="28"/>
    </w:rPr>
  </w:style>
  <w:style w:type="paragraph" w:styleId="Nagwek2">
    <w:name w:val="heading 2"/>
    <w:basedOn w:val="Normalny"/>
    <w:next w:val="Normalny"/>
    <w:link w:val="Nagwek2Znak"/>
    <w:uiPriority w:val="9"/>
    <w:qFormat/>
    <w:rsid w:val="006D6B90"/>
    <w:pPr>
      <w:keepNext/>
      <w:keepLines/>
      <w:spacing w:before="240" w:after="180"/>
      <w:outlineLvl w:val="1"/>
    </w:pPr>
    <w:rPr>
      <w:rFonts w:eastAsiaTheme="majorEastAsia" w:cstheme="majorBidi"/>
      <w:b/>
      <w:bCs/>
      <w:szCs w:val="26"/>
    </w:rPr>
  </w:style>
  <w:style w:type="paragraph" w:styleId="Nagwek3">
    <w:name w:val="heading 3"/>
    <w:basedOn w:val="Normalny"/>
    <w:next w:val="Normalny"/>
    <w:link w:val="Nagwek3Znak"/>
    <w:uiPriority w:val="9"/>
    <w:qFormat/>
    <w:rsid w:val="002F0643"/>
    <w:pPr>
      <w:keepNext/>
      <w:keepLines/>
      <w:spacing w:before="240" w:after="180"/>
      <w:outlineLvl w:val="2"/>
    </w:pPr>
    <w:rPr>
      <w:rFonts w:eastAsiaTheme="majorEastAsia" w:cstheme="majorBidi"/>
      <w:b/>
      <w:bCs/>
      <w:i/>
    </w:rPr>
  </w:style>
  <w:style w:type="paragraph" w:styleId="Nagwek4">
    <w:name w:val="heading 4"/>
    <w:basedOn w:val="Normalny"/>
    <w:next w:val="Normalny"/>
    <w:link w:val="Nagwek4Znak"/>
    <w:uiPriority w:val="9"/>
    <w:qFormat/>
    <w:rsid w:val="002F0643"/>
    <w:pPr>
      <w:keepNext/>
      <w:keepLines/>
      <w:spacing w:before="180"/>
      <w:outlineLvl w:val="3"/>
    </w:pPr>
    <w:rPr>
      <w:rFonts w:eastAsiaTheme="majorEastAsia" w:cstheme="majorBidi"/>
      <w:bCs/>
      <w:iCs/>
      <w:u w:val="single"/>
    </w:rPr>
  </w:style>
  <w:style w:type="paragraph" w:styleId="Nagwek5">
    <w:name w:val="heading 5"/>
    <w:basedOn w:val="Normalny"/>
    <w:next w:val="Normalny"/>
    <w:link w:val="Nagwek5Znak"/>
    <w:uiPriority w:val="9"/>
    <w:qFormat/>
    <w:rsid w:val="002F0643"/>
    <w:pPr>
      <w:keepNext/>
      <w:keepLines/>
      <w:spacing w:before="180"/>
      <w:outlineLvl w:val="4"/>
    </w:pPr>
    <w:rPr>
      <w:rFonts w:eastAsiaTheme="majorEastAsia" w:cstheme="majorBid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0611"/>
    <w:rPr>
      <w:rFonts w:ascii="Arial" w:eastAsiaTheme="majorEastAsia" w:hAnsi="Arial" w:cstheme="majorBidi"/>
      <w:b/>
      <w:bCs/>
      <w:color w:val="0070C0"/>
      <w:sz w:val="24"/>
      <w:szCs w:val="28"/>
    </w:rPr>
  </w:style>
  <w:style w:type="character" w:customStyle="1" w:styleId="Nagwek2Znak">
    <w:name w:val="Nagłówek 2 Znak"/>
    <w:basedOn w:val="Domylnaczcionkaakapitu"/>
    <w:link w:val="Nagwek2"/>
    <w:uiPriority w:val="9"/>
    <w:rsid w:val="006D6B90"/>
    <w:rPr>
      <w:rFonts w:ascii="Arial" w:eastAsiaTheme="majorEastAsia" w:hAnsi="Arial" w:cstheme="majorBidi"/>
      <w:b/>
      <w:bCs/>
      <w:szCs w:val="26"/>
    </w:rPr>
  </w:style>
  <w:style w:type="character" w:customStyle="1" w:styleId="Nagwek3Znak">
    <w:name w:val="Nagłówek 3 Znak"/>
    <w:basedOn w:val="Domylnaczcionkaakapitu"/>
    <w:link w:val="Nagwek3"/>
    <w:uiPriority w:val="9"/>
    <w:rsid w:val="002F0643"/>
    <w:rPr>
      <w:rFonts w:ascii="Arial" w:eastAsiaTheme="majorEastAsia" w:hAnsi="Arial" w:cstheme="majorBidi"/>
      <w:b/>
      <w:bCs/>
      <w:i/>
    </w:rPr>
  </w:style>
  <w:style w:type="character" w:customStyle="1" w:styleId="Nagwek4Znak">
    <w:name w:val="Nagłówek 4 Znak"/>
    <w:basedOn w:val="Domylnaczcionkaakapitu"/>
    <w:link w:val="Nagwek4"/>
    <w:uiPriority w:val="9"/>
    <w:rsid w:val="002F0643"/>
    <w:rPr>
      <w:rFonts w:ascii="Arial" w:eastAsiaTheme="majorEastAsia" w:hAnsi="Arial" w:cstheme="majorBidi"/>
      <w:bCs/>
      <w:iCs/>
      <w:u w:val="single"/>
    </w:rPr>
  </w:style>
  <w:style w:type="character" w:customStyle="1" w:styleId="Nagwek5Znak">
    <w:name w:val="Nagłówek 5 Znak"/>
    <w:basedOn w:val="Domylnaczcionkaakapitu"/>
    <w:link w:val="Nagwek5"/>
    <w:uiPriority w:val="9"/>
    <w:rsid w:val="002F0643"/>
    <w:rPr>
      <w:rFonts w:ascii="Arial" w:eastAsiaTheme="majorEastAsia" w:hAnsi="Arial" w:cstheme="majorBidi"/>
      <w:i/>
    </w:rPr>
  </w:style>
  <w:style w:type="paragraph" w:styleId="Tytu">
    <w:name w:val="Title"/>
    <w:basedOn w:val="Normalny"/>
    <w:next w:val="Normalny"/>
    <w:link w:val="TytuZnak"/>
    <w:uiPriority w:val="10"/>
    <w:qFormat/>
    <w:rsid w:val="00C60611"/>
    <w:pPr>
      <w:spacing w:before="240"/>
      <w:jc w:val="left"/>
    </w:pPr>
    <w:rPr>
      <w:rFonts w:eastAsiaTheme="majorEastAsia" w:cstheme="majorBidi"/>
      <w:b/>
      <w:color w:val="000000" w:themeColor="text1"/>
      <w:spacing w:val="5"/>
      <w:kern w:val="28"/>
      <w:sz w:val="28"/>
      <w:szCs w:val="52"/>
    </w:rPr>
  </w:style>
  <w:style w:type="character" w:customStyle="1" w:styleId="TytuZnak">
    <w:name w:val="Tytuł Znak"/>
    <w:basedOn w:val="Domylnaczcionkaakapitu"/>
    <w:link w:val="Tytu"/>
    <w:uiPriority w:val="10"/>
    <w:rsid w:val="00C60611"/>
    <w:rPr>
      <w:rFonts w:ascii="Arial" w:eastAsiaTheme="majorEastAsia" w:hAnsi="Arial" w:cstheme="majorBidi"/>
      <w:b/>
      <w:color w:val="000000" w:themeColor="text1"/>
      <w:spacing w:val="5"/>
      <w:kern w:val="28"/>
      <w:sz w:val="28"/>
      <w:szCs w:val="52"/>
    </w:rPr>
  </w:style>
  <w:style w:type="paragraph" w:styleId="Podtytu">
    <w:name w:val="Subtitle"/>
    <w:basedOn w:val="Normalny"/>
    <w:next w:val="Normalny"/>
    <w:link w:val="PodtytuZnak"/>
    <w:uiPriority w:val="11"/>
    <w:qFormat/>
    <w:rsid w:val="001A12CF"/>
    <w:pPr>
      <w:numPr>
        <w:ilvl w:val="1"/>
      </w:numPr>
      <w:spacing w:before="120"/>
    </w:pPr>
    <w:rPr>
      <w:rFonts w:eastAsiaTheme="majorEastAsia" w:cstheme="majorBidi"/>
      <w:b/>
      <w:iCs/>
      <w:color w:val="0070C0"/>
      <w:spacing w:val="15"/>
      <w:sz w:val="24"/>
      <w:szCs w:val="24"/>
    </w:rPr>
  </w:style>
  <w:style w:type="character" w:customStyle="1" w:styleId="PodtytuZnak">
    <w:name w:val="Podtytuł Znak"/>
    <w:basedOn w:val="Domylnaczcionkaakapitu"/>
    <w:link w:val="Podtytu"/>
    <w:uiPriority w:val="11"/>
    <w:rsid w:val="001A12CF"/>
    <w:rPr>
      <w:rFonts w:ascii="Arial" w:eastAsiaTheme="majorEastAsia" w:hAnsi="Arial" w:cstheme="majorBidi"/>
      <w:b/>
      <w:iCs/>
      <w:color w:val="0070C0"/>
      <w:spacing w:val="15"/>
      <w:sz w:val="24"/>
      <w:szCs w:val="24"/>
    </w:rPr>
  </w:style>
  <w:style w:type="character" w:styleId="Uwydatnienie">
    <w:name w:val="Emphasis"/>
    <w:basedOn w:val="Domylnaczcionkaakapitu"/>
    <w:uiPriority w:val="20"/>
    <w:unhideWhenUsed/>
    <w:qFormat/>
    <w:rsid w:val="002F0643"/>
    <w:rPr>
      <w:i/>
      <w:iCs/>
    </w:rPr>
  </w:style>
  <w:style w:type="paragraph" w:styleId="Bezodstpw">
    <w:name w:val="No Spacing"/>
    <w:uiPriority w:val="1"/>
    <w:unhideWhenUsed/>
    <w:qFormat/>
    <w:rsid w:val="002F0643"/>
    <w:pPr>
      <w:spacing w:after="0" w:line="240" w:lineRule="auto"/>
      <w:jc w:val="both"/>
    </w:pPr>
    <w:rPr>
      <w:rFonts w:ascii="Arial" w:hAnsi="Arial"/>
    </w:rPr>
  </w:style>
  <w:style w:type="paragraph" w:styleId="Akapitzlist">
    <w:name w:val="List Paragraph"/>
    <w:basedOn w:val="Normalny"/>
    <w:uiPriority w:val="34"/>
    <w:unhideWhenUsed/>
    <w:qFormat/>
    <w:rsid w:val="002F0643"/>
    <w:pPr>
      <w:spacing w:after="60"/>
      <w:ind w:left="720"/>
    </w:pPr>
  </w:style>
  <w:style w:type="paragraph" w:styleId="Cytat">
    <w:name w:val="Quote"/>
    <w:basedOn w:val="Normalny"/>
    <w:next w:val="Normalny"/>
    <w:link w:val="CytatZnak"/>
    <w:uiPriority w:val="29"/>
    <w:qFormat/>
    <w:rsid w:val="002F0643"/>
    <w:pPr>
      <w:spacing w:before="60" w:after="60"/>
      <w:ind w:left="113" w:right="113"/>
    </w:pPr>
    <w:rPr>
      <w:i/>
      <w:iCs/>
      <w:color w:val="365F91" w:themeColor="accent1" w:themeShade="BF"/>
      <w:sz w:val="18"/>
    </w:rPr>
  </w:style>
  <w:style w:type="character" w:customStyle="1" w:styleId="CytatZnak">
    <w:name w:val="Cytat Znak"/>
    <w:basedOn w:val="Domylnaczcionkaakapitu"/>
    <w:link w:val="Cytat"/>
    <w:uiPriority w:val="29"/>
    <w:rsid w:val="002F0643"/>
    <w:rPr>
      <w:rFonts w:ascii="Arial" w:hAnsi="Arial"/>
      <w:i/>
      <w:iCs/>
      <w:color w:val="365F91" w:themeColor="accent1" w:themeShade="BF"/>
      <w:sz w:val="18"/>
    </w:rPr>
  </w:style>
  <w:style w:type="paragraph" w:styleId="Cytatintensywny">
    <w:name w:val="Intense Quote"/>
    <w:aliases w:val="Pod obrazkiem"/>
    <w:basedOn w:val="Normalny"/>
    <w:next w:val="Normalny"/>
    <w:link w:val="CytatintensywnyZnak"/>
    <w:uiPriority w:val="30"/>
    <w:qFormat/>
    <w:rsid w:val="002F0643"/>
    <w:pPr>
      <w:spacing w:before="80" w:after="80"/>
      <w:jc w:val="center"/>
    </w:pPr>
    <w:rPr>
      <w:bCs/>
      <w:iCs/>
      <w:sz w:val="16"/>
    </w:rPr>
  </w:style>
  <w:style w:type="character" w:customStyle="1" w:styleId="CytatintensywnyZnak">
    <w:name w:val="Cytat intensywny Znak"/>
    <w:aliases w:val="Pod obrazkiem Znak"/>
    <w:basedOn w:val="Domylnaczcionkaakapitu"/>
    <w:link w:val="Cytatintensywny"/>
    <w:uiPriority w:val="30"/>
    <w:rsid w:val="002F0643"/>
    <w:rPr>
      <w:rFonts w:ascii="Arial" w:hAnsi="Arial"/>
      <w:bCs/>
      <w:iCs/>
      <w:sz w:val="16"/>
    </w:rPr>
  </w:style>
  <w:style w:type="character" w:styleId="Wyrnieniedelikatne">
    <w:name w:val="Subtle Emphasis"/>
    <w:basedOn w:val="Domylnaczcionkaakapitu"/>
    <w:uiPriority w:val="19"/>
    <w:unhideWhenUsed/>
    <w:qFormat/>
    <w:rsid w:val="002F0643"/>
    <w:rPr>
      <w:i/>
      <w:iCs/>
      <w:color w:val="808080" w:themeColor="text1" w:themeTint="7F"/>
    </w:rPr>
  </w:style>
  <w:style w:type="character" w:styleId="Odwoaniedelikatne">
    <w:name w:val="Subtle Reference"/>
    <w:basedOn w:val="Domylnaczcionkaakapitu"/>
    <w:uiPriority w:val="31"/>
    <w:unhideWhenUsed/>
    <w:qFormat/>
    <w:rsid w:val="002F0643"/>
    <w:rPr>
      <w:smallCaps/>
      <w:color w:val="C0504D" w:themeColor="accent2"/>
      <w:u w:val="single"/>
    </w:rPr>
  </w:style>
  <w:style w:type="character" w:styleId="Hipercze">
    <w:name w:val="Hyperlink"/>
    <w:basedOn w:val="Domylnaczcionkaakapitu"/>
    <w:uiPriority w:val="99"/>
    <w:unhideWhenUsed/>
    <w:rsid w:val="00A172DA"/>
    <w:rPr>
      <w:color w:val="0000FF" w:themeColor="hyperlink"/>
      <w:u w:val="single"/>
    </w:rPr>
  </w:style>
  <w:style w:type="paragraph" w:styleId="Nagwek">
    <w:name w:val="header"/>
    <w:basedOn w:val="Normalny"/>
    <w:link w:val="NagwekZnak"/>
    <w:uiPriority w:val="99"/>
    <w:unhideWhenUsed/>
    <w:rsid w:val="005501B5"/>
    <w:pPr>
      <w:tabs>
        <w:tab w:val="center" w:pos="4536"/>
        <w:tab w:val="right" w:pos="9072"/>
      </w:tabs>
      <w:spacing w:after="0"/>
    </w:pPr>
  </w:style>
  <w:style w:type="character" w:customStyle="1" w:styleId="NagwekZnak">
    <w:name w:val="Nagłówek Znak"/>
    <w:basedOn w:val="Domylnaczcionkaakapitu"/>
    <w:link w:val="Nagwek"/>
    <w:uiPriority w:val="99"/>
    <w:rsid w:val="005501B5"/>
    <w:rPr>
      <w:rFonts w:ascii="Arial" w:hAnsi="Arial"/>
    </w:rPr>
  </w:style>
  <w:style w:type="paragraph" w:styleId="Stopka">
    <w:name w:val="footer"/>
    <w:basedOn w:val="Normalny"/>
    <w:link w:val="StopkaZnak"/>
    <w:uiPriority w:val="99"/>
    <w:unhideWhenUsed/>
    <w:rsid w:val="005501B5"/>
    <w:pPr>
      <w:tabs>
        <w:tab w:val="center" w:pos="4536"/>
        <w:tab w:val="right" w:pos="9072"/>
      </w:tabs>
      <w:spacing w:after="0"/>
    </w:pPr>
  </w:style>
  <w:style w:type="character" w:customStyle="1" w:styleId="StopkaZnak">
    <w:name w:val="Stopka Znak"/>
    <w:basedOn w:val="Domylnaczcionkaakapitu"/>
    <w:link w:val="Stopka"/>
    <w:uiPriority w:val="99"/>
    <w:rsid w:val="005501B5"/>
    <w:rPr>
      <w:rFonts w:ascii="Arial" w:hAnsi="Arial"/>
    </w:rPr>
  </w:style>
  <w:style w:type="table" w:styleId="Tabela-Siatka">
    <w:name w:val="Table Grid"/>
    <w:basedOn w:val="Standardowy"/>
    <w:uiPriority w:val="39"/>
    <w:rsid w:val="0055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B97392"/>
    <w:rPr>
      <w:color w:val="800080" w:themeColor="followedHyperlink"/>
      <w:u w:val="single"/>
    </w:rPr>
  </w:style>
  <w:style w:type="paragraph" w:styleId="Tekstdymka">
    <w:name w:val="Balloon Text"/>
    <w:basedOn w:val="Normalny"/>
    <w:link w:val="TekstdymkaZnak"/>
    <w:uiPriority w:val="99"/>
    <w:semiHidden/>
    <w:unhideWhenUsed/>
    <w:rsid w:val="0060508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08B"/>
    <w:rPr>
      <w:rFonts w:ascii="Tahoma" w:hAnsi="Tahoma" w:cs="Tahoma"/>
      <w:sz w:val="16"/>
      <w:szCs w:val="16"/>
    </w:rPr>
  </w:style>
  <w:style w:type="character" w:styleId="Odwoaniedokomentarza">
    <w:name w:val="annotation reference"/>
    <w:basedOn w:val="Domylnaczcionkaakapitu"/>
    <w:uiPriority w:val="99"/>
    <w:semiHidden/>
    <w:unhideWhenUsed/>
    <w:rsid w:val="0060508B"/>
    <w:rPr>
      <w:sz w:val="16"/>
      <w:szCs w:val="16"/>
    </w:rPr>
  </w:style>
  <w:style w:type="paragraph" w:styleId="Tekstkomentarza">
    <w:name w:val="annotation text"/>
    <w:basedOn w:val="Normalny"/>
    <w:link w:val="TekstkomentarzaZnak"/>
    <w:uiPriority w:val="99"/>
    <w:unhideWhenUsed/>
    <w:rsid w:val="0060508B"/>
    <w:rPr>
      <w:sz w:val="20"/>
      <w:szCs w:val="20"/>
    </w:rPr>
  </w:style>
  <w:style w:type="character" w:customStyle="1" w:styleId="TekstkomentarzaZnak">
    <w:name w:val="Tekst komentarza Znak"/>
    <w:basedOn w:val="Domylnaczcionkaakapitu"/>
    <w:link w:val="Tekstkomentarza"/>
    <w:uiPriority w:val="99"/>
    <w:rsid w:val="0060508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0508B"/>
    <w:rPr>
      <w:b/>
      <w:bCs/>
    </w:rPr>
  </w:style>
  <w:style w:type="character" w:customStyle="1" w:styleId="TematkomentarzaZnak">
    <w:name w:val="Temat komentarza Znak"/>
    <w:basedOn w:val="TekstkomentarzaZnak"/>
    <w:link w:val="Tematkomentarza"/>
    <w:uiPriority w:val="99"/>
    <w:semiHidden/>
    <w:rsid w:val="0060508B"/>
    <w:rPr>
      <w:rFonts w:ascii="Arial" w:hAnsi="Arial"/>
      <w:b/>
      <w:bCs/>
      <w:sz w:val="20"/>
      <w:szCs w:val="20"/>
    </w:rPr>
  </w:style>
  <w:style w:type="paragraph" w:styleId="Tekstpodstawowy">
    <w:name w:val="Body Text"/>
    <w:basedOn w:val="Normalny"/>
    <w:link w:val="TekstpodstawowyZnak"/>
    <w:uiPriority w:val="1"/>
    <w:qFormat/>
    <w:rsid w:val="00220555"/>
    <w:pPr>
      <w:widowControl w:val="0"/>
      <w:spacing w:before="5" w:after="0"/>
      <w:ind w:left="118"/>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220555"/>
    <w:rPr>
      <w:rFonts w:ascii="Times New Roman" w:eastAsia="Times New Roman" w:hAnsi="Times New Roman" w:cs="Times New Roman"/>
      <w:sz w:val="24"/>
      <w:szCs w:val="24"/>
      <w:lang w:val="en-US"/>
    </w:rPr>
  </w:style>
  <w:style w:type="paragraph" w:styleId="Tekstprzypisudolnego">
    <w:name w:val="footnote text"/>
    <w:basedOn w:val="Normalny"/>
    <w:link w:val="TekstprzypisudolnegoZnak"/>
    <w:uiPriority w:val="99"/>
    <w:semiHidden/>
    <w:unhideWhenUsed/>
    <w:rsid w:val="001A12CF"/>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1A12CF"/>
    <w:rPr>
      <w:rFonts w:ascii="Arial" w:hAnsi="Arial"/>
      <w:sz w:val="20"/>
      <w:szCs w:val="20"/>
    </w:rPr>
  </w:style>
  <w:style w:type="character" w:styleId="Odwoanieprzypisudolnego">
    <w:name w:val="footnote reference"/>
    <w:basedOn w:val="Domylnaczcionkaakapitu"/>
    <w:uiPriority w:val="99"/>
    <w:semiHidden/>
    <w:unhideWhenUsed/>
    <w:rsid w:val="001A12CF"/>
    <w:rPr>
      <w:vertAlign w:val="superscript"/>
    </w:rPr>
  </w:style>
  <w:style w:type="character" w:customStyle="1" w:styleId="alb">
    <w:name w:val="a_lb"/>
    <w:basedOn w:val="Domylnaczcionkaakapitu"/>
    <w:rsid w:val="001A12CF"/>
  </w:style>
  <w:style w:type="paragraph" w:styleId="Spistreci1">
    <w:name w:val="toc 1"/>
    <w:basedOn w:val="Normalny"/>
    <w:next w:val="Normalny"/>
    <w:autoRedefine/>
    <w:uiPriority w:val="39"/>
    <w:unhideWhenUsed/>
    <w:rsid w:val="00225D72"/>
    <w:pPr>
      <w:numPr>
        <w:numId w:val="24"/>
      </w:numPr>
      <w:tabs>
        <w:tab w:val="right" w:leader="dot" w:pos="9628"/>
      </w:tabs>
      <w:spacing w:after="240"/>
      <w:ind w:left="714" w:hanging="357"/>
      <w:jc w:val="left"/>
    </w:pPr>
  </w:style>
  <w:style w:type="paragraph" w:styleId="Spistreci2">
    <w:name w:val="toc 2"/>
    <w:basedOn w:val="Normalny"/>
    <w:next w:val="Normalny"/>
    <w:autoRedefine/>
    <w:uiPriority w:val="39"/>
    <w:unhideWhenUsed/>
    <w:rsid w:val="00C60611"/>
    <w:pPr>
      <w:spacing w:after="100"/>
      <w:ind w:left="220"/>
    </w:pPr>
  </w:style>
  <w:style w:type="paragraph" w:styleId="Spistreci3">
    <w:name w:val="toc 3"/>
    <w:basedOn w:val="Normalny"/>
    <w:next w:val="Normalny"/>
    <w:autoRedefine/>
    <w:uiPriority w:val="39"/>
    <w:unhideWhenUsed/>
    <w:rsid w:val="00C60611"/>
    <w:pPr>
      <w:spacing w:after="100" w:line="276" w:lineRule="auto"/>
      <w:ind w:left="440"/>
      <w:jc w:val="left"/>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C60611"/>
    <w:pPr>
      <w:spacing w:after="100" w:line="276" w:lineRule="auto"/>
      <w:ind w:left="660"/>
      <w:jc w:val="left"/>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C60611"/>
    <w:pPr>
      <w:spacing w:after="100" w:line="276" w:lineRule="auto"/>
      <w:ind w:left="880"/>
      <w:jc w:val="left"/>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C60611"/>
    <w:pPr>
      <w:spacing w:after="100" w:line="276" w:lineRule="auto"/>
      <w:ind w:left="1100"/>
      <w:jc w:val="left"/>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C60611"/>
    <w:pPr>
      <w:spacing w:after="100" w:line="276" w:lineRule="auto"/>
      <w:ind w:left="1320"/>
      <w:jc w:val="left"/>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C60611"/>
    <w:pPr>
      <w:spacing w:after="100" w:line="276" w:lineRule="auto"/>
      <w:ind w:left="1540"/>
      <w:jc w:val="left"/>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C60611"/>
    <w:pPr>
      <w:spacing w:after="100" w:line="276" w:lineRule="auto"/>
      <w:ind w:left="1760"/>
      <w:jc w:val="left"/>
    </w:pPr>
    <w:rPr>
      <w:rFonts w:asciiTheme="minorHAnsi" w:eastAsiaTheme="minorEastAsia" w:hAnsiTheme="minorHAns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643"/>
    <w:pPr>
      <w:spacing w:after="120" w:line="240" w:lineRule="auto"/>
      <w:jc w:val="both"/>
    </w:pPr>
    <w:rPr>
      <w:rFonts w:ascii="Arial" w:hAnsi="Arial"/>
    </w:rPr>
  </w:style>
  <w:style w:type="paragraph" w:styleId="Nagwek1">
    <w:name w:val="heading 1"/>
    <w:basedOn w:val="Normalny"/>
    <w:next w:val="Normalny"/>
    <w:link w:val="Nagwek1Znak"/>
    <w:uiPriority w:val="9"/>
    <w:qFormat/>
    <w:rsid w:val="002F0643"/>
    <w:pPr>
      <w:keepNext/>
      <w:keepLines/>
      <w:spacing w:before="360" w:after="240"/>
      <w:outlineLvl w:val="0"/>
    </w:pPr>
    <w:rPr>
      <w:rFonts w:eastAsiaTheme="majorEastAsia" w:cstheme="majorBidi"/>
      <w:b/>
      <w:bCs/>
      <w:sz w:val="24"/>
      <w:szCs w:val="28"/>
    </w:rPr>
  </w:style>
  <w:style w:type="paragraph" w:styleId="Nagwek2">
    <w:name w:val="heading 2"/>
    <w:basedOn w:val="Normalny"/>
    <w:next w:val="Normalny"/>
    <w:link w:val="Nagwek2Znak"/>
    <w:uiPriority w:val="9"/>
    <w:qFormat/>
    <w:rsid w:val="006D6B90"/>
    <w:pPr>
      <w:keepNext/>
      <w:keepLines/>
      <w:spacing w:before="240" w:after="180"/>
      <w:outlineLvl w:val="1"/>
    </w:pPr>
    <w:rPr>
      <w:rFonts w:eastAsiaTheme="majorEastAsia" w:cstheme="majorBidi"/>
      <w:b/>
      <w:bCs/>
      <w:szCs w:val="26"/>
    </w:rPr>
  </w:style>
  <w:style w:type="paragraph" w:styleId="Nagwek3">
    <w:name w:val="heading 3"/>
    <w:basedOn w:val="Normalny"/>
    <w:next w:val="Normalny"/>
    <w:link w:val="Nagwek3Znak"/>
    <w:uiPriority w:val="9"/>
    <w:qFormat/>
    <w:rsid w:val="002F0643"/>
    <w:pPr>
      <w:keepNext/>
      <w:keepLines/>
      <w:spacing w:before="240" w:after="180"/>
      <w:outlineLvl w:val="2"/>
    </w:pPr>
    <w:rPr>
      <w:rFonts w:eastAsiaTheme="majorEastAsia" w:cstheme="majorBidi"/>
      <w:b/>
      <w:bCs/>
      <w:i/>
    </w:rPr>
  </w:style>
  <w:style w:type="paragraph" w:styleId="Nagwek4">
    <w:name w:val="heading 4"/>
    <w:basedOn w:val="Normalny"/>
    <w:next w:val="Normalny"/>
    <w:link w:val="Nagwek4Znak"/>
    <w:uiPriority w:val="9"/>
    <w:qFormat/>
    <w:rsid w:val="002F0643"/>
    <w:pPr>
      <w:keepNext/>
      <w:keepLines/>
      <w:spacing w:before="180"/>
      <w:outlineLvl w:val="3"/>
    </w:pPr>
    <w:rPr>
      <w:rFonts w:eastAsiaTheme="majorEastAsia" w:cstheme="majorBidi"/>
      <w:bCs/>
      <w:iCs/>
      <w:u w:val="single"/>
    </w:rPr>
  </w:style>
  <w:style w:type="paragraph" w:styleId="Nagwek5">
    <w:name w:val="heading 5"/>
    <w:basedOn w:val="Normalny"/>
    <w:next w:val="Normalny"/>
    <w:link w:val="Nagwek5Znak"/>
    <w:uiPriority w:val="9"/>
    <w:qFormat/>
    <w:rsid w:val="002F0643"/>
    <w:pPr>
      <w:keepNext/>
      <w:keepLines/>
      <w:spacing w:before="180"/>
      <w:outlineLvl w:val="4"/>
    </w:pPr>
    <w:rPr>
      <w:rFonts w:eastAsiaTheme="majorEastAsia" w:cstheme="majorBid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643"/>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rsid w:val="006D6B90"/>
    <w:rPr>
      <w:rFonts w:ascii="Arial" w:eastAsiaTheme="majorEastAsia" w:hAnsi="Arial" w:cstheme="majorBidi"/>
      <w:b/>
      <w:bCs/>
      <w:szCs w:val="26"/>
    </w:rPr>
  </w:style>
  <w:style w:type="character" w:customStyle="1" w:styleId="Nagwek3Znak">
    <w:name w:val="Nagłówek 3 Znak"/>
    <w:basedOn w:val="Domylnaczcionkaakapitu"/>
    <w:link w:val="Nagwek3"/>
    <w:uiPriority w:val="9"/>
    <w:rsid w:val="002F0643"/>
    <w:rPr>
      <w:rFonts w:ascii="Arial" w:eastAsiaTheme="majorEastAsia" w:hAnsi="Arial" w:cstheme="majorBidi"/>
      <w:b/>
      <w:bCs/>
      <w:i/>
    </w:rPr>
  </w:style>
  <w:style w:type="character" w:customStyle="1" w:styleId="Nagwek4Znak">
    <w:name w:val="Nagłówek 4 Znak"/>
    <w:basedOn w:val="Domylnaczcionkaakapitu"/>
    <w:link w:val="Nagwek4"/>
    <w:uiPriority w:val="9"/>
    <w:rsid w:val="002F0643"/>
    <w:rPr>
      <w:rFonts w:ascii="Arial" w:eastAsiaTheme="majorEastAsia" w:hAnsi="Arial" w:cstheme="majorBidi"/>
      <w:bCs/>
      <w:iCs/>
      <w:u w:val="single"/>
    </w:rPr>
  </w:style>
  <w:style w:type="character" w:customStyle="1" w:styleId="Nagwek5Znak">
    <w:name w:val="Nagłówek 5 Znak"/>
    <w:basedOn w:val="Domylnaczcionkaakapitu"/>
    <w:link w:val="Nagwek5"/>
    <w:uiPriority w:val="9"/>
    <w:rsid w:val="002F0643"/>
    <w:rPr>
      <w:rFonts w:ascii="Arial" w:eastAsiaTheme="majorEastAsia" w:hAnsi="Arial" w:cstheme="majorBidi"/>
      <w:i/>
    </w:rPr>
  </w:style>
  <w:style w:type="paragraph" w:styleId="Tytu">
    <w:name w:val="Title"/>
    <w:basedOn w:val="Normalny"/>
    <w:next w:val="Normalny"/>
    <w:link w:val="TytuZnak"/>
    <w:uiPriority w:val="10"/>
    <w:qFormat/>
    <w:rsid w:val="002F0643"/>
    <w:pPr>
      <w:spacing w:before="480" w:after="360"/>
      <w:jc w:val="left"/>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0643"/>
    <w:rPr>
      <w:rFonts w:ascii="Arial" w:eastAsiaTheme="majorEastAsia" w:hAnsi="Arial"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2F0643"/>
    <w:pPr>
      <w:numPr>
        <w:ilvl w:val="1"/>
      </w:numPr>
      <w:spacing w:before="240"/>
    </w:pPr>
    <w:rPr>
      <w:rFonts w:eastAsiaTheme="majorEastAsia" w:cstheme="majorBidi"/>
      <w:b/>
      <w:iCs/>
      <w:color w:val="17365D" w:themeColor="text2" w:themeShade="BF"/>
      <w:spacing w:val="15"/>
      <w:sz w:val="24"/>
      <w:szCs w:val="24"/>
    </w:rPr>
  </w:style>
  <w:style w:type="character" w:customStyle="1" w:styleId="PodtytuZnak">
    <w:name w:val="Podtytuł Znak"/>
    <w:basedOn w:val="Domylnaczcionkaakapitu"/>
    <w:link w:val="Podtytu"/>
    <w:uiPriority w:val="11"/>
    <w:rsid w:val="002F0643"/>
    <w:rPr>
      <w:rFonts w:ascii="Arial" w:eastAsiaTheme="majorEastAsia" w:hAnsi="Arial" w:cstheme="majorBidi"/>
      <w:b/>
      <w:iCs/>
      <w:color w:val="17365D" w:themeColor="text2" w:themeShade="BF"/>
      <w:spacing w:val="15"/>
      <w:sz w:val="24"/>
      <w:szCs w:val="24"/>
    </w:rPr>
  </w:style>
  <w:style w:type="character" w:styleId="Uwydatnienie">
    <w:name w:val="Emphasis"/>
    <w:basedOn w:val="Domylnaczcionkaakapitu"/>
    <w:uiPriority w:val="20"/>
    <w:unhideWhenUsed/>
    <w:qFormat/>
    <w:rsid w:val="002F0643"/>
    <w:rPr>
      <w:i/>
      <w:iCs/>
    </w:rPr>
  </w:style>
  <w:style w:type="paragraph" w:styleId="Bezodstpw">
    <w:name w:val="No Spacing"/>
    <w:uiPriority w:val="1"/>
    <w:unhideWhenUsed/>
    <w:qFormat/>
    <w:rsid w:val="002F0643"/>
    <w:pPr>
      <w:spacing w:after="0" w:line="240" w:lineRule="auto"/>
      <w:jc w:val="both"/>
    </w:pPr>
    <w:rPr>
      <w:rFonts w:ascii="Arial" w:hAnsi="Arial"/>
    </w:rPr>
  </w:style>
  <w:style w:type="paragraph" w:styleId="Akapitzlist">
    <w:name w:val="List Paragraph"/>
    <w:basedOn w:val="Normalny"/>
    <w:uiPriority w:val="34"/>
    <w:unhideWhenUsed/>
    <w:qFormat/>
    <w:rsid w:val="002F0643"/>
    <w:pPr>
      <w:spacing w:after="60"/>
      <w:ind w:left="720"/>
    </w:pPr>
  </w:style>
  <w:style w:type="paragraph" w:styleId="Cytat">
    <w:name w:val="Quote"/>
    <w:basedOn w:val="Normalny"/>
    <w:next w:val="Normalny"/>
    <w:link w:val="CytatZnak"/>
    <w:uiPriority w:val="29"/>
    <w:qFormat/>
    <w:rsid w:val="002F0643"/>
    <w:pPr>
      <w:spacing w:before="60" w:after="60"/>
      <w:ind w:left="113" w:right="113"/>
    </w:pPr>
    <w:rPr>
      <w:i/>
      <w:iCs/>
      <w:color w:val="365F91" w:themeColor="accent1" w:themeShade="BF"/>
      <w:sz w:val="18"/>
    </w:rPr>
  </w:style>
  <w:style w:type="character" w:customStyle="1" w:styleId="CytatZnak">
    <w:name w:val="Cytat Znak"/>
    <w:basedOn w:val="Domylnaczcionkaakapitu"/>
    <w:link w:val="Cytat"/>
    <w:uiPriority w:val="29"/>
    <w:rsid w:val="002F0643"/>
    <w:rPr>
      <w:rFonts w:ascii="Arial" w:hAnsi="Arial"/>
      <w:i/>
      <w:iCs/>
      <w:color w:val="365F91" w:themeColor="accent1" w:themeShade="BF"/>
      <w:sz w:val="18"/>
    </w:rPr>
  </w:style>
  <w:style w:type="paragraph" w:styleId="Cytatintensywny">
    <w:name w:val="Intense Quote"/>
    <w:aliases w:val="Pod obrazkiem"/>
    <w:basedOn w:val="Normalny"/>
    <w:next w:val="Normalny"/>
    <w:link w:val="CytatintensywnyZnak"/>
    <w:uiPriority w:val="30"/>
    <w:qFormat/>
    <w:rsid w:val="002F0643"/>
    <w:pPr>
      <w:spacing w:before="80" w:after="80"/>
      <w:jc w:val="center"/>
    </w:pPr>
    <w:rPr>
      <w:bCs/>
      <w:iCs/>
      <w:sz w:val="16"/>
    </w:rPr>
  </w:style>
  <w:style w:type="character" w:customStyle="1" w:styleId="CytatintensywnyZnak">
    <w:name w:val="Cytat intensywny Znak"/>
    <w:aliases w:val="Pod obrazkiem Znak"/>
    <w:basedOn w:val="Domylnaczcionkaakapitu"/>
    <w:link w:val="Cytatintensywny"/>
    <w:uiPriority w:val="30"/>
    <w:rsid w:val="002F0643"/>
    <w:rPr>
      <w:rFonts w:ascii="Arial" w:hAnsi="Arial"/>
      <w:bCs/>
      <w:iCs/>
      <w:sz w:val="16"/>
    </w:rPr>
  </w:style>
  <w:style w:type="character" w:styleId="Wyrnieniedelikatne">
    <w:name w:val="Subtle Emphasis"/>
    <w:basedOn w:val="Domylnaczcionkaakapitu"/>
    <w:uiPriority w:val="19"/>
    <w:unhideWhenUsed/>
    <w:qFormat/>
    <w:rsid w:val="002F0643"/>
    <w:rPr>
      <w:i/>
      <w:iCs/>
      <w:color w:val="808080" w:themeColor="text1" w:themeTint="7F"/>
    </w:rPr>
  </w:style>
  <w:style w:type="character" w:styleId="Odwoaniedelikatne">
    <w:name w:val="Subtle Reference"/>
    <w:basedOn w:val="Domylnaczcionkaakapitu"/>
    <w:uiPriority w:val="31"/>
    <w:unhideWhenUsed/>
    <w:qFormat/>
    <w:rsid w:val="002F0643"/>
    <w:rPr>
      <w:smallCaps/>
      <w:color w:val="C0504D" w:themeColor="accent2"/>
      <w:u w:val="single"/>
    </w:rPr>
  </w:style>
  <w:style w:type="character" w:styleId="Hipercze">
    <w:name w:val="Hyperlink"/>
    <w:basedOn w:val="Domylnaczcionkaakapitu"/>
    <w:uiPriority w:val="99"/>
    <w:unhideWhenUsed/>
    <w:rsid w:val="00A172DA"/>
    <w:rPr>
      <w:color w:val="0000FF" w:themeColor="hyperlink"/>
      <w:u w:val="single"/>
    </w:rPr>
  </w:style>
  <w:style w:type="paragraph" w:styleId="Nagwek">
    <w:name w:val="header"/>
    <w:basedOn w:val="Normalny"/>
    <w:link w:val="NagwekZnak"/>
    <w:uiPriority w:val="99"/>
    <w:unhideWhenUsed/>
    <w:rsid w:val="005501B5"/>
    <w:pPr>
      <w:tabs>
        <w:tab w:val="center" w:pos="4536"/>
        <w:tab w:val="right" w:pos="9072"/>
      </w:tabs>
      <w:spacing w:after="0"/>
    </w:pPr>
  </w:style>
  <w:style w:type="character" w:customStyle="1" w:styleId="NagwekZnak">
    <w:name w:val="Nagłówek Znak"/>
    <w:basedOn w:val="Domylnaczcionkaakapitu"/>
    <w:link w:val="Nagwek"/>
    <w:uiPriority w:val="99"/>
    <w:rsid w:val="005501B5"/>
    <w:rPr>
      <w:rFonts w:ascii="Arial" w:hAnsi="Arial"/>
    </w:rPr>
  </w:style>
  <w:style w:type="paragraph" w:styleId="Stopka">
    <w:name w:val="footer"/>
    <w:basedOn w:val="Normalny"/>
    <w:link w:val="StopkaZnak"/>
    <w:uiPriority w:val="99"/>
    <w:unhideWhenUsed/>
    <w:rsid w:val="005501B5"/>
    <w:pPr>
      <w:tabs>
        <w:tab w:val="center" w:pos="4536"/>
        <w:tab w:val="right" w:pos="9072"/>
      </w:tabs>
      <w:spacing w:after="0"/>
    </w:pPr>
  </w:style>
  <w:style w:type="character" w:customStyle="1" w:styleId="StopkaZnak">
    <w:name w:val="Stopka Znak"/>
    <w:basedOn w:val="Domylnaczcionkaakapitu"/>
    <w:link w:val="Stopka"/>
    <w:uiPriority w:val="99"/>
    <w:rsid w:val="005501B5"/>
    <w:rPr>
      <w:rFonts w:ascii="Arial" w:hAnsi="Arial"/>
    </w:rPr>
  </w:style>
  <w:style w:type="table" w:styleId="Tabela-Siatka">
    <w:name w:val="Table Grid"/>
    <w:basedOn w:val="Standardowy"/>
    <w:uiPriority w:val="39"/>
    <w:rsid w:val="0055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97392"/>
    <w:rPr>
      <w:color w:val="800080" w:themeColor="followedHyperlink"/>
      <w:u w:val="single"/>
    </w:rPr>
  </w:style>
  <w:style w:type="paragraph" w:styleId="Tekstdymka">
    <w:name w:val="Balloon Text"/>
    <w:basedOn w:val="Normalny"/>
    <w:link w:val="TekstdymkaZnak"/>
    <w:uiPriority w:val="99"/>
    <w:semiHidden/>
    <w:unhideWhenUsed/>
    <w:rsid w:val="0060508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08B"/>
    <w:rPr>
      <w:rFonts w:ascii="Tahoma" w:hAnsi="Tahoma" w:cs="Tahoma"/>
      <w:sz w:val="16"/>
      <w:szCs w:val="16"/>
    </w:rPr>
  </w:style>
  <w:style w:type="character" w:styleId="Odwoaniedokomentarza">
    <w:name w:val="annotation reference"/>
    <w:basedOn w:val="Domylnaczcionkaakapitu"/>
    <w:uiPriority w:val="99"/>
    <w:semiHidden/>
    <w:unhideWhenUsed/>
    <w:rsid w:val="0060508B"/>
    <w:rPr>
      <w:sz w:val="16"/>
      <w:szCs w:val="16"/>
    </w:rPr>
  </w:style>
  <w:style w:type="paragraph" w:styleId="Tekstkomentarza">
    <w:name w:val="annotation text"/>
    <w:basedOn w:val="Normalny"/>
    <w:link w:val="TekstkomentarzaZnak"/>
    <w:uiPriority w:val="99"/>
    <w:semiHidden/>
    <w:unhideWhenUsed/>
    <w:rsid w:val="0060508B"/>
    <w:rPr>
      <w:sz w:val="20"/>
      <w:szCs w:val="20"/>
    </w:rPr>
  </w:style>
  <w:style w:type="character" w:customStyle="1" w:styleId="TekstkomentarzaZnak">
    <w:name w:val="Tekst komentarza Znak"/>
    <w:basedOn w:val="Domylnaczcionkaakapitu"/>
    <w:link w:val="Tekstkomentarza"/>
    <w:uiPriority w:val="99"/>
    <w:semiHidden/>
    <w:rsid w:val="0060508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0508B"/>
    <w:rPr>
      <w:b/>
      <w:bCs/>
    </w:rPr>
  </w:style>
  <w:style w:type="character" w:customStyle="1" w:styleId="TematkomentarzaZnak">
    <w:name w:val="Temat komentarza Znak"/>
    <w:basedOn w:val="TekstkomentarzaZnak"/>
    <w:link w:val="Tematkomentarza"/>
    <w:uiPriority w:val="99"/>
    <w:semiHidden/>
    <w:rsid w:val="0060508B"/>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88433185">
      <w:bodyDiv w:val="1"/>
      <w:marLeft w:val="0"/>
      <w:marRight w:val="0"/>
      <w:marTop w:val="0"/>
      <w:marBottom w:val="0"/>
      <w:divBdr>
        <w:top w:val="none" w:sz="0" w:space="0" w:color="auto"/>
        <w:left w:val="none" w:sz="0" w:space="0" w:color="auto"/>
        <w:bottom w:val="none" w:sz="0" w:space="0" w:color="auto"/>
        <w:right w:val="none" w:sz="0" w:space="0" w:color="auto"/>
      </w:divBdr>
      <w:divsChild>
        <w:div w:id="528373016">
          <w:marLeft w:val="547"/>
          <w:marRight w:val="0"/>
          <w:marTop w:val="58"/>
          <w:marBottom w:val="0"/>
          <w:divBdr>
            <w:top w:val="none" w:sz="0" w:space="0" w:color="auto"/>
            <w:left w:val="none" w:sz="0" w:space="0" w:color="auto"/>
            <w:bottom w:val="none" w:sz="0" w:space="0" w:color="auto"/>
            <w:right w:val="none" w:sz="0" w:space="0" w:color="auto"/>
          </w:divBdr>
        </w:div>
        <w:div w:id="1741947648">
          <w:marLeft w:val="1166"/>
          <w:marRight w:val="0"/>
          <w:marTop w:val="58"/>
          <w:marBottom w:val="0"/>
          <w:divBdr>
            <w:top w:val="none" w:sz="0" w:space="0" w:color="auto"/>
            <w:left w:val="none" w:sz="0" w:space="0" w:color="auto"/>
            <w:bottom w:val="none" w:sz="0" w:space="0" w:color="auto"/>
            <w:right w:val="none" w:sz="0" w:space="0" w:color="auto"/>
          </w:divBdr>
        </w:div>
        <w:div w:id="108857702">
          <w:marLeft w:val="1166"/>
          <w:marRight w:val="0"/>
          <w:marTop w:val="58"/>
          <w:marBottom w:val="0"/>
          <w:divBdr>
            <w:top w:val="none" w:sz="0" w:space="0" w:color="auto"/>
            <w:left w:val="none" w:sz="0" w:space="0" w:color="auto"/>
            <w:bottom w:val="none" w:sz="0" w:space="0" w:color="auto"/>
            <w:right w:val="none" w:sz="0" w:space="0" w:color="auto"/>
          </w:divBdr>
        </w:div>
        <w:div w:id="1286500613">
          <w:marLeft w:val="1166"/>
          <w:marRight w:val="0"/>
          <w:marTop w:val="58"/>
          <w:marBottom w:val="0"/>
          <w:divBdr>
            <w:top w:val="none" w:sz="0" w:space="0" w:color="auto"/>
            <w:left w:val="none" w:sz="0" w:space="0" w:color="auto"/>
            <w:bottom w:val="none" w:sz="0" w:space="0" w:color="auto"/>
            <w:right w:val="none" w:sz="0" w:space="0" w:color="auto"/>
          </w:divBdr>
        </w:div>
        <w:div w:id="20057994">
          <w:marLeft w:val="547"/>
          <w:marRight w:val="0"/>
          <w:marTop w:val="58"/>
          <w:marBottom w:val="0"/>
          <w:divBdr>
            <w:top w:val="none" w:sz="0" w:space="0" w:color="auto"/>
            <w:left w:val="none" w:sz="0" w:space="0" w:color="auto"/>
            <w:bottom w:val="none" w:sz="0" w:space="0" w:color="auto"/>
            <w:right w:val="none" w:sz="0" w:space="0" w:color="auto"/>
          </w:divBdr>
        </w:div>
        <w:div w:id="1114864074">
          <w:marLeft w:val="1166"/>
          <w:marRight w:val="0"/>
          <w:marTop w:val="58"/>
          <w:marBottom w:val="0"/>
          <w:divBdr>
            <w:top w:val="none" w:sz="0" w:space="0" w:color="auto"/>
            <w:left w:val="none" w:sz="0" w:space="0" w:color="auto"/>
            <w:bottom w:val="none" w:sz="0" w:space="0" w:color="auto"/>
            <w:right w:val="none" w:sz="0" w:space="0" w:color="auto"/>
          </w:divBdr>
        </w:div>
        <w:div w:id="203182657">
          <w:marLeft w:val="1166"/>
          <w:marRight w:val="0"/>
          <w:marTop w:val="58"/>
          <w:marBottom w:val="0"/>
          <w:divBdr>
            <w:top w:val="none" w:sz="0" w:space="0" w:color="auto"/>
            <w:left w:val="none" w:sz="0" w:space="0" w:color="auto"/>
            <w:bottom w:val="none" w:sz="0" w:space="0" w:color="auto"/>
            <w:right w:val="none" w:sz="0" w:space="0" w:color="auto"/>
          </w:divBdr>
        </w:div>
        <w:div w:id="564679542">
          <w:marLeft w:val="1166"/>
          <w:marRight w:val="0"/>
          <w:marTop w:val="58"/>
          <w:marBottom w:val="0"/>
          <w:divBdr>
            <w:top w:val="none" w:sz="0" w:space="0" w:color="auto"/>
            <w:left w:val="none" w:sz="0" w:space="0" w:color="auto"/>
            <w:bottom w:val="none" w:sz="0" w:space="0" w:color="auto"/>
            <w:right w:val="none" w:sz="0" w:space="0" w:color="auto"/>
          </w:divBdr>
        </w:div>
      </w:divsChild>
    </w:div>
    <w:div w:id="501512164">
      <w:bodyDiv w:val="1"/>
      <w:marLeft w:val="0"/>
      <w:marRight w:val="0"/>
      <w:marTop w:val="0"/>
      <w:marBottom w:val="0"/>
      <w:divBdr>
        <w:top w:val="none" w:sz="0" w:space="0" w:color="auto"/>
        <w:left w:val="none" w:sz="0" w:space="0" w:color="auto"/>
        <w:bottom w:val="none" w:sz="0" w:space="0" w:color="auto"/>
        <w:right w:val="none" w:sz="0" w:space="0" w:color="auto"/>
      </w:divBdr>
      <w:divsChild>
        <w:div w:id="1550919097">
          <w:marLeft w:val="547"/>
          <w:marRight w:val="0"/>
          <w:marTop w:val="58"/>
          <w:marBottom w:val="0"/>
          <w:divBdr>
            <w:top w:val="none" w:sz="0" w:space="0" w:color="auto"/>
            <w:left w:val="none" w:sz="0" w:space="0" w:color="auto"/>
            <w:bottom w:val="none" w:sz="0" w:space="0" w:color="auto"/>
            <w:right w:val="none" w:sz="0" w:space="0" w:color="auto"/>
          </w:divBdr>
        </w:div>
        <w:div w:id="1919754541">
          <w:marLeft w:val="1166"/>
          <w:marRight w:val="0"/>
          <w:marTop w:val="58"/>
          <w:marBottom w:val="0"/>
          <w:divBdr>
            <w:top w:val="none" w:sz="0" w:space="0" w:color="auto"/>
            <w:left w:val="none" w:sz="0" w:space="0" w:color="auto"/>
            <w:bottom w:val="none" w:sz="0" w:space="0" w:color="auto"/>
            <w:right w:val="none" w:sz="0" w:space="0" w:color="auto"/>
          </w:divBdr>
        </w:div>
        <w:div w:id="700520869">
          <w:marLeft w:val="1166"/>
          <w:marRight w:val="0"/>
          <w:marTop w:val="58"/>
          <w:marBottom w:val="0"/>
          <w:divBdr>
            <w:top w:val="none" w:sz="0" w:space="0" w:color="auto"/>
            <w:left w:val="none" w:sz="0" w:space="0" w:color="auto"/>
            <w:bottom w:val="none" w:sz="0" w:space="0" w:color="auto"/>
            <w:right w:val="none" w:sz="0" w:space="0" w:color="auto"/>
          </w:divBdr>
        </w:div>
        <w:div w:id="731387575">
          <w:marLeft w:val="1166"/>
          <w:marRight w:val="0"/>
          <w:marTop w:val="58"/>
          <w:marBottom w:val="0"/>
          <w:divBdr>
            <w:top w:val="none" w:sz="0" w:space="0" w:color="auto"/>
            <w:left w:val="none" w:sz="0" w:space="0" w:color="auto"/>
            <w:bottom w:val="none" w:sz="0" w:space="0" w:color="auto"/>
            <w:right w:val="none" w:sz="0" w:space="0" w:color="auto"/>
          </w:divBdr>
        </w:div>
        <w:div w:id="24135994">
          <w:marLeft w:val="547"/>
          <w:marRight w:val="0"/>
          <w:marTop w:val="58"/>
          <w:marBottom w:val="0"/>
          <w:divBdr>
            <w:top w:val="none" w:sz="0" w:space="0" w:color="auto"/>
            <w:left w:val="none" w:sz="0" w:space="0" w:color="auto"/>
            <w:bottom w:val="none" w:sz="0" w:space="0" w:color="auto"/>
            <w:right w:val="none" w:sz="0" w:space="0" w:color="auto"/>
          </w:divBdr>
        </w:div>
        <w:div w:id="86851901">
          <w:marLeft w:val="1166"/>
          <w:marRight w:val="0"/>
          <w:marTop w:val="58"/>
          <w:marBottom w:val="0"/>
          <w:divBdr>
            <w:top w:val="none" w:sz="0" w:space="0" w:color="auto"/>
            <w:left w:val="none" w:sz="0" w:space="0" w:color="auto"/>
            <w:bottom w:val="none" w:sz="0" w:space="0" w:color="auto"/>
            <w:right w:val="none" w:sz="0" w:space="0" w:color="auto"/>
          </w:divBdr>
        </w:div>
        <w:div w:id="592587410">
          <w:marLeft w:val="1166"/>
          <w:marRight w:val="0"/>
          <w:marTop w:val="58"/>
          <w:marBottom w:val="0"/>
          <w:divBdr>
            <w:top w:val="none" w:sz="0" w:space="0" w:color="auto"/>
            <w:left w:val="none" w:sz="0" w:space="0" w:color="auto"/>
            <w:bottom w:val="none" w:sz="0" w:space="0" w:color="auto"/>
            <w:right w:val="none" w:sz="0" w:space="0" w:color="auto"/>
          </w:divBdr>
        </w:div>
        <w:div w:id="1645084966">
          <w:marLeft w:val="1166"/>
          <w:marRight w:val="0"/>
          <w:marTop w:val="58"/>
          <w:marBottom w:val="0"/>
          <w:divBdr>
            <w:top w:val="none" w:sz="0" w:space="0" w:color="auto"/>
            <w:left w:val="none" w:sz="0" w:space="0" w:color="auto"/>
            <w:bottom w:val="none" w:sz="0" w:space="0" w:color="auto"/>
            <w:right w:val="none" w:sz="0" w:space="0" w:color="auto"/>
          </w:divBdr>
        </w:div>
        <w:div w:id="2141802269">
          <w:marLeft w:val="547"/>
          <w:marRight w:val="0"/>
          <w:marTop w:val="58"/>
          <w:marBottom w:val="0"/>
          <w:divBdr>
            <w:top w:val="none" w:sz="0" w:space="0" w:color="auto"/>
            <w:left w:val="none" w:sz="0" w:space="0" w:color="auto"/>
            <w:bottom w:val="none" w:sz="0" w:space="0" w:color="auto"/>
            <w:right w:val="none" w:sz="0" w:space="0" w:color="auto"/>
          </w:divBdr>
        </w:div>
        <w:div w:id="1211500997">
          <w:marLeft w:val="547"/>
          <w:marRight w:val="0"/>
          <w:marTop w:val="58"/>
          <w:marBottom w:val="0"/>
          <w:divBdr>
            <w:top w:val="none" w:sz="0" w:space="0" w:color="auto"/>
            <w:left w:val="none" w:sz="0" w:space="0" w:color="auto"/>
            <w:bottom w:val="none" w:sz="0" w:space="0" w:color="auto"/>
            <w:right w:val="none" w:sz="0" w:space="0" w:color="auto"/>
          </w:divBdr>
        </w:div>
        <w:div w:id="798039079">
          <w:marLeft w:val="547"/>
          <w:marRight w:val="0"/>
          <w:marTop w:val="58"/>
          <w:marBottom w:val="0"/>
          <w:divBdr>
            <w:top w:val="none" w:sz="0" w:space="0" w:color="auto"/>
            <w:left w:val="none" w:sz="0" w:space="0" w:color="auto"/>
            <w:bottom w:val="none" w:sz="0" w:space="0" w:color="auto"/>
            <w:right w:val="none" w:sz="0" w:space="0" w:color="auto"/>
          </w:divBdr>
        </w:div>
      </w:divsChild>
    </w:div>
    <w:div w:id="727581021">
      <w:bodyDiv w:val="1"/>
      <w:marLeft w:val="0"/>
      <w:marRight w:val="0"/>
      <w:marTop w:val="0"/>
      <w:marBottom w:val="0"/>
      <w:divBdr>
        <w:top w:val="none" w:sz="0" w:space="0" w:color="auto"/>
        <w:left w:val="none" w:sz="0" w:space="0" w:color="auto"/>
        <w:bottom w:val="none" w:sz="0" w:space="0" w:color="auto"/>
        <w:right w:val="none" w:sz="0" w:space="0" w:color="auto"/>
      </w:divBdr>
      <w:divsChild>
        <w:div w:id="113328129">
          <w:marLeft w:val="547"/>
          <w:marRight w:val="0"/>
          <w:marTop w:val="80"/>
          <w:marBottom w:val="0"/>
          <w:divBdr>
            <w:top w:val="none" w:sz="0" w:space="0" w:color="auto"/>
            <w:left w:val="none" w:sz="0" w:space="0" w:color="auto"/>
            <w:bottom w:val="none" w:sz="0" w:space="0" w:color="auto"/>
            <w:right w:val="none" w:sz="0" w:space="0" w:color="auto"/>
          </w:divBdr>
        </w:div>
        <w:div w:id="1842546419">
          <w:marLeft w:val="1166"/>
          <w:marRight w:val="0"/>
          <w:marTop w:val="58"/>
          <w:marBottom w:val="0"/>
          <w:divBdr>
            <w:top w:val="none" w:sz="0" w:space="0" w:color="auto"/>
            <w:left w:val="none" w:sz="0" w:space="0" w:color="auto"/>
            <w:bottom w:val="none" w:sz="0" w:space="0" w:color="auto"/>
            <w:right w:val="none" w:sz="0" w:space="0" w:color="auto"/>
          </w:divBdr>
        </w:div>
        <w:div w:id="1344822712">
          <w:marLeft w:val="1166"/>
          <w:marRight w:val="0"/>
          <w:marTop w:val="58"/>
          <w:marBottom w:val="0"/>
          <w:divBdr>
            <w:top w:val="none" w:sz="0" w:space="0" w:color="auto"/>
            <w:left w:val="none" w:sz="0" w:space="0" w:color="auto"/>
            <w:bottom w:val="none" w:sz="0" w:space="0" w:color="auto"/>
            <w:right w:val="none" w:sz="0" w:space="0" w:color="auto"/>
          </w:divBdr>
        </w:div>
        <w:div w:id="2036535021">
          <w:marLeft w:val="1166"/>
          <w:marRight w:val="0"/>
          <w:marTop w:val="58"/>
          <w:marBottom w:val="0"/>
          <w:divBdr>
            <w:top w:val="none" w:sz="0" w:space="0" w:color="auto"/>
            <w:left w:val="none" w:sz="0" w:space="0" w:color="auto"/>
            <w:bottom w:val="none" w:sz="0" w:space="0" w:color="auto"/>
            <w:right w:val="none" w:sz="0" w:space="0" w:color="auto"/>
          </w:divBdr>
        </w:div>
        <w:div w:id="440497259">
          <w:marLeft w:val="1166"/>
          <w:marRight w:val="0"/>
          <w:marTop w:val="58"/>
          <w:marBottom w:val="0"/>
          <w:divBdr>
            <w:top w:val="none" w:sz="0" w:space="0" w:color="auto"/>
            <w:left w:val="none" w:sz="0" w:space="0" w:color="auto"/>
            <w:bottom w:val="none" w:sz="0" w:space="0" w:color="auto"/>
            <w:right w:val="none" w:sz="0" w:space="0" w:color="auto"/>
          </w:divBdr>
        </w:div>
        <w:div w:id="345637789">
          <w:marLeft w:val="547"/>
          <w:marRight w:val="0"/>
          <w:marTop w:val="0"/>
          <w:marBottom w:val="0"/>
          <w:divBdr>
            <w:top w:val="none" w:sz="0" w:space="0" w:color="auto"/>
            <w:left w:val="none" w:sz="0" w:space="0" w:color="auto"/>
            <w:bottom w:val="none" w:sz="0" w:space="0" w:color="auto"/>
            <w:right w:val="none" w:sz="0" w:space="0" w:color="auto"/>
          </w:divBdr>
        </w:div>
        <w:div w:id="212621659">
          <w:marLeft w:val="1166"/>
          <w:marRight w:val="0"/>
          <w:marTop w:val="58"/>
          <w:marBottom w:val="0"/>
          <w:divBdr>
            <w:top w:val="none" w:sz="0" w:space="0" w:color="auto"/>
            <w:left w:val="none" w:sz="0" w:space="0" w:color="auto"/>
            <w:bottom w:val="none" w:sz="0" w:space="0" w:color="auto"/>
            <w:right w:val="none" w:sz="0" w:space="0" w:color="auto"/>
          </w:divBdr>
        </w:div>
        <w:div w:id="1945184060">
          <w:marLeft w:val="547"/>
          <w:marRight w:val="0"/>
          <w:marTop w:val="0"/>
          <w:marBottom w:val="0"/>
          <w:divBdr>
            <w:top w:val="none" w:sz="0" w:space="0" w:color="auto"/>
            <w:left w:val="none" w:sz="0" w:space="0" w:color="auto"/>
            <w:bottom w:val="none" w:sz="0" w:space="0" w:color="auto"/>
            <w:right w:val="none" w:sz="0" w:space="0" w:color="auto"/>
          </w:divBdr>
        </w:div>
        <w:div w:id="598565677">
          <w:marLeft w:val="1166"/>
          <w:marRight w:val="0"/>
          <w:marTop w:val="58"/>
          <w:marBottom w:val="0"/>
          <w:divBdr>
            <w:top w:val="none" w:sz="0" w:space="0" w:color="auto"/>
            <w:left w:val="none" w:sz="0" w:space="0" w:color="auto"/>
            <w:bottom w:val="none" w:sz="0" w:space="0" w:color="auto"/>
            <w:right w:val="none" w:sz="0" w:space="0" w:color="auto"/>
          </w:divBdr>
        </w:div>
        <w:div w:id="215628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du.pl/component/phocadownload/category/114-publikacje?download=939:wskaniki-owiat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e.edu.pl/component/phocadownload/category/114-publikacje?download=939:wskaniki-owiato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Documents\Niestandardowe%20szablony%20pakietu%20Office\M&#243;j%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D9DB-2372-47A5-B8BA-CCBDD825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Mój szablon</Template>
  <TotalTime>8</TotalTime>
  <Pages>38</Pages>
  <Words>11824</Words>
  <Characters>70947</Characters>
  <Application>Microsoft Office Word</Application>
  <DocSecurity>0</DocSecurity>
  <Lines>591</Lines>
  <Paragraphs>165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82606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Jaszczot</dc:creator>
  <cp:lastModifiedBy>ala</cp:lastModifiedBy>
  <cp:revision>6</cp:revision>
  <dcterms:created xsi:type="dcterms:W3CDTF">2017-10-19T10:03:00Z</dcterms:created>
  <dcterms:modified xsi:type="dcterms:W3CDTF">2017-10-20T10:25:00Z</dcterms:modified>
</cp:coreProperties>
</file>